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EB3" w:rsidRDefault="009A0EB3" w:rsidP="00816E4C">
      <w:pPr>
        <w:pStyle w:val="Heading4"/>
      </w:pPr>
    </w:p>
    <w:p w:rsidR="003E1929" w:rsidRDefault="003E1929" w:rsidP="003E1929">
      <w:pPr>
        <w:rPr>
          <w:lang w:val="en-IN" w:eastAsia="en-IN"/>
        </w:rPr>
      </w:pPr>
    </w:p>
    <w:p w:rsidR="003E1929" w:rsidRDefault="003E1929" w:rsidP="003E1929">
      <w:pPr>
        <w:rPr>
          <w:lang w:val="en-IN" w:eastAsia="en-IN"/>
        </w:rPr>
      </w:pPr>
    </w:p>
    <w:p w:rsidR="003E1929" w:rsidRDefault="003E1929" w:rsidP="003E1929">
      <w:pPr>
        <w:rPr>
          <w:lang w:val="en-IN" w:eastAsia="en-IN"/>
        </w:rPr>
      </w:pPr>
    </w:p>
    <w:p w:rsidR="003E1929" w:rsidRPr="003E1929" w:rsidRDefault="003E1929" w:rsidP="003E1929">
      <w:pPr>
        <w:rPr>
          <w:lang w:val="en-IN" w:eastAsia="en-IN"/>
        </w:rPr>
      </w:pPr>
    </w:p>
    <w:p w:rsidR="009A0EB3" w:rsidRPr="00C4512E" w:rsidRDefault="009A0EB3" w:rsidP="009A0EB3">
      <w:pPr>
        <w:spacing w:line="20" w:lineRule="atLeast"/>
        <w:jc w:val="center"/>
        <w:outlineLvl w:val="0"/>
        <w:rPr>
          <w:rFonts w:ascii="Garamond" w:hAnsi="Garamond"/>
          <w:b/>
          <w:color w:val="1F4E79" w:themeColor="accent1" w:themeShade="80"/>
          <w:sz w:val="144"/>
          <w:szCs w:val="144"/>
        </w:rPr>
      </w:pPr>
      <w:r w:rsidRPr="00C4512E">
        <w:rPr>
          <w:rFonts w:ascii="Garamond" w:hAnsi="Garamond"/>
          <w:b/>
          <w:color w:val="1F4E79" w:themeColor="accent1" w:themeShade="80"/>
          <w:sz w:val="144"/>
          <w:szCs w:val="144"/>
        </w:rPr>
        <w:t>SEBI</w:t>
      </w:r>
    </w:p>
    <w:p w:rsidR="009A0EB3" w:rsidRPr="00C4512E" w:rsidRDefault="009A0EB3" w:rsidP="009A0EB3">
      <w:pPr>
        <w:spacing w:line="20" w:lineRule="atLeast"/>
        <w:jc w:val="center"/>
        <w:outlineLvl w:val="0"/>
        <w:rPr>
          <w:rFonts w:ascii="Garamond" w:hAnsi="Garamond"/>
          <w:b/>
          <w:color w:val="1F4E79" w:themeColor="accent1" w:themeShade="80"/>
          <w:sz w:val="56"/>
          <w:szCs w:val="56"/>
        </w:rPr>
      </w:pPr>
      <w:r w:rsidRPr="00C4512E">
        <w:rPr>
          <w:rFonts w:ascii="Garamond" w:hAnsi="Garamond"/>
          <w:b/>
          <w:color w:val="1F4E79" w:themeColor="accent1" w:themeShade="80"/>
          <w:sz w:val="56"/>
          <w:szCs w:val="56"/>
        </w:rPr>
        <w:t>BULLETIN</w:t>
      </w: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C4512E" w:rsidRDefault="003C782B" w:rsidP="002C3645">
      <w:pPr>
        <w:spacing w:line="20" w:lineRule="atLeast"/>
        <w:jc w:val="center"/>
        <w:rPr>
          <w:rFonts w:ascii="Garamond" w:hAnsi="Garamond"/>
          <w:b/>
          <w:color w:val="1F4E79" w:themeColor="accent1" w:themeShade="80"/>
        </w:rPr>
      </w:pPr>
      <w:r>
        <w:rPr>
          <w:rFonts w:ascii="Garamond" w:hAnsi="Garamond"/>
          <w:b/>
          <w:color w:val="1F4E79" w:themeColor="accent1" w:themeShade="80"/>
        </w:rPr>
        <w:t xml:space="preserve">March 2022        VOL. 20       </w:t>
      </w:r>
      <w:r w:rsidR="00B20597" w:rsidRPr="00C4512E">
        <w:rPr>
          <w:rFonts w:ascii="Garamond" w:hAnsi="Garamond"/>
          <w:b/>
          <w:color w:val="1F4E79" w:themeColor="accent1" w:themeShade="80"/>
        </w:rPr>
        <w:t xml:space="preserve">NUMBER </w:t>
      </w:r>
      <w:r>
        <w:rPr>
          <w:rFonts w:ascii="Garamond" w:hAnsi="Garamond"/>
          <w:b/>
          <w:color w:val="1F4E79" w:themeColor="accent1" w:themeShade="80"/>
        </w:rPr>
        <w:t>03</w:t>
      </w: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2C3645" w:rsidRPr="009A0EB3" w:rsidRDefault="002C3645" w:rsidP="002C3645">
      <w:pPr>
        <w:spacing w:line="20" w:lineRule="atLeast"/>
        <w:jc w:val="center"/>
        <w:rPr>
          <w:rFonts w:ascii="Palatino Linotype" w:hAnsi="Palatino Linotype"/>
          <w:b/>
          <w:color w:val="000080"/>
          <w:sz w:val="22"/>
          <w:szCs w:val="22"/>
        </w:rPr>
      </w:pPr>
    </w:p>
    <w:p w:rsidR="0018049A" w:rsidRPr="009A0EB3" w:rsidRDefault="0018049A"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Default="002C3645" w:rsidP="00C4512E">
      <w:pPr>
        <w:outlineLvl w:val="0"/>
        <w:rPr>
          <w:rFonts w:ascii="Palatino Linotype" w:hAnsi="Palatino Linotype" w:cs="Helvetica"/>
          <w:b/>
          <w:color w:val="000099"/>
          <w:sz w:val="22"/>
          <w:szCs w:val="22"/>
        </w:rPr>
      </w:pPr>
    </w:p>
    <w:p w:rsidR="00C4512E" w:rsidRDefault="00C4512E" w:rsidP="00C4512E">
      <w:pPr>
        <w:outlineLvl w:val="0"/>
        <w:rPr>
          <w:rFonts w:ascii="Palatino Linotype" w:hAnsi="Palatino Linotype" w:cs="Helvetica"/>
          <w:b/>
          <w:color w:val="000099"/>
          <w:sz w:val="22"/>
          <w:szCs w:val="22"/>
        </w:rPr>
      </w:pPr>
    </w:p>
    <w:p w:rsidR="008E4467" w:rsidRPr="009A0EB3" w:rsidRDefault="008E4467"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Default="002C3645" w:rsidP="00B25DA6">
      <w:pPr>
        <w:jc w:val="center"/>
        <w:outlineLvl w:val="0"/>
        <w:rPr>
          <w:rFonts w:ascii="Palatino Linotype" w:hAnsi="Palatino Linotype" w:cs="Helvetica"/>
          <w:b/>
          <w:color w:val="000099"/>
          <w:sz w:val="22"/>
          <w:szCs w:val="22"/>
        </w:rPr>
      </w:pPr>
    </w:p>
    <w:p w:rsidR="00A76333" w:rsidRDefault="00A76333" w:rsidP="00B25DA6">
      <w:pPr>
        <w:jc w:val="center"/>
        <w:outlineLvl w:val="0"/>
        <w:rPr>
          <w:rFonts w:ascii="Palatino Linotype" w:hAnsi="Palatino Linotype" w:cs="Helvetica"/>
          <w:b/>
          <w:color w:val="000099"/>
          <w:sz w:val="22"/>
          <w:szCs w:val="22"/>
        </w:rPr>
      </w:pPr>
    </w:p>
    <w:p w:rsidR="00A76333" w:rsidRDefault="00A76333" w:rsidP="00B25DA6">
      <w:pPr>
        <w:jc w:val="center"/>
        <w:outlineLvl w:val="0"/>
        <w:rPr>
          <w:rFonts w:ascii="Palatino Linotype" w:hAnsi="Palatino Linotype" w:cs="Helvetica"/>
          <w:b/>
          <w:color w:val="000099"/>
          <w:sz w:val="22"/>
          <w:szCs w:val="22"/>
        </w:rPr>
      </w:pPr>
    </w:p>
    <w:p w:rsidR="00A76333" w:rsidRPr="009A0EB3" w:rsidRDefault="00A76333" w:rsidP="00B25DA6">
      <w:pPr>
        <w:jc w:val="center"/>
        <w:outlineLvl w:val="0"/>
        <w:rPr>
          <w:rFonts w:ascii="Palatino Linotype" w:hAnsi="Palatino Linotype" w:cs="Helvetica"/>
          <w:b/>
          <w:color w:val="000099"/>
          <w:sz w:val="22"/>
          <w:szCs w:val="22"/>
        </w:rPr>
      </w:pPr>
    </w:p>
    <w:p w:rsidR="002C3645" w:rsidRPr="00C4512E" w:rsidRDefault="002C3645" w:rsidP="002C3645">
      <w:pPr>
        <w:spacing w:line="20" w:lineRule="atLeast"/>
        <w:jc w:val="center"/>
        <w:rPr>
          <w:rFonts w:ascii="Garamond" w:hAnsi="Garamond"/>
          <w:b/>
          <w:color w:val="1F4E79" w:themeColor="accent1" w:themeShade="80"/>
          <w:sz w:val="28"/>
          <w:szCs w:val="28"/>
        </w:rPr>
      </w:pPr>
      <w:r w:rsidRPr="00C4512E">
        <w:rPr>
          <w:rFonts w:ascii="Garamond" w:hAnsi="Garamond"/>
          <w:b/>
          <w:color w:val="1F4E79" w:themeColor="accent1" w:themeShade="80"/>
          <w:sz w:val="28"/>
          <w:szCs w:val="28"/>
        </w:rPr>
        <w:lastRenderedPageBreak/>
        <w:t>SECURITIES AND EXCHANGE BOARD OF INDIA</w:t>
      </w:r>
    </w:p>
    <w:p w:rsidR="002C3645" w:rsidRPr="00C4512E" w:rsidRDefault="002C3645" w:rsidP="002C3645">
      <w:pPr>
        <w:spacing w:line="20" w:lineRule="atLeast"/>
        <w:jc w:val="both"/>
        <w:rPr>
          <w:rFonts w:ascii="Garamond" w:hAnsi="Garamond"/>
          <w:color w:val="FF0000"/>
        </w:rPr>
      </w:pPr>
    </w:p>
    <w:p w:rsidR="009A0EB3" w:rsidRPr="00C4512E" w:rsidRDefault="009A0EB3" w:rsidP="002C3645">
      <w:pPr>
        <w:spacing w:line="20" w:lineRule="atLeast"/>
        <w:rPr>
          <w:rFonts w:ascii="Garamond" w:hAnsi="Garamond"/>
          <w:b/>
        </w:rPr>
      </w:pPr>
    </w:p>
    <w:p w:rsidR="002C3645" w:rsidRPr="00C4512E" w:rsidRDefault="002C3645" w:rsidP="002C3645">
      <w:pPr>
        <w:spacing w:line="20" w:lineRule="atLeast"/>
        <w:rPr>
          <w:rFonts w:ascii="Garamond" w:hAnsi="Garamond"/>
          <w:b/>
        </w:rPr>
      </w:pPr>
      <w:r w:rsidRPr="00C4512E">
        <w:rPr>
          <w:rFonts w:ascii="Garamond" w:hAnsi="Garamond"/>
          <w:b/>
        </w:rPr>
        <w:t xml:space="preserve">EDITORIAL COMMITTEE </w:t>
      </w:r>
      <w:r w:rsidR="009A0EB3" w:rsidRPr="00C4512E">
        <w:rPr>
          <w:rFonts w:ascii="Garamond" w:hAnsi="Garamond"/>
          <w:b/>
        </w:rPr>
        <w:br/>
      </w:r>
    </w:p>
    <w:p w:rsidR="002C3645" w:rsidRPr="00C4512E" w:rsidRDefault="00E4439E" w:rsidP="002C3645">
      <w:pPr>
        <w:spacing w:line="20" w:lineRule="atLeast"/>
        <w:jc w:val="both"/>
        <w:outlineLvl w:val="0"/>
        <w:rPr>
          <w:rFonts w:ascii="Garamond" w:hAnsi="Garamond"/>
          <w:b/>
        </w:rPr>
      </w:pPr>
      <w:r w:rsidRPr="00C4512E">
        <w:rPr>
          <w:rFonts w:ascii="Garamond" w:eastAsia="Times New Roman" w:hAnsi="Garamond"/>
          <w:b/>
        </w:rPr>
        <w:t>Shri Amarjeet Singh</w:t>
      </w:r>
      <w:r w:rsidRPr="00C4512E">
        <w:rPr>
          <w:rFonts w:ascii="Garamond" w:hAnsi="Garamond"/>
          <w:b/>
        </w:rPr>
        <w:t xml:space="preserve"> </w:t>
      </w:r>
    </w:p>
    <w:p w:rsidR="00E71481" w:rsidRPr="00C4512E" w:rsidRDefault="00E71481" w:rsidP="002C3645">
      <w:pPr>
        <w:spacing w:line="20" w:lineRule="atLeast"/>
        <w:jc w:val="both"/>
        <w:outlineLvl w:val="0"/>
        <w:rPr>
          <w:rFonts w:ascii="Garamond" w:hAnsi="Garamond"/>
          <w:b/>
        </w:rPr>
      </w:pPr>
      <w:r w:rsidRPr="00C4512E">
        <w:rPr>
          <w:rFonts w:ascii="Garamond" w:hAnsi="Garamond"/>
          <w:b/>
        </w:rPr>
        <w:t>Shri Prabhas Rath</w:t>
      </w:r>
    </w:p>
    <w:p w:rsidR="00012FAA" w:rsidRPr="00C4512E" w:rsidRDefault="00012FAA" w:rsidP="002C3645">
      <w:pPr>
        <w:spacing w:line="20" w:lineRule="atLeast"/>
        <w:jc w:val="both"/>
        <w:outlineLvl w:val="0"/>
        <w:rPr>
          <w:rFonts w:ascii="Garamond" w:hAnsi="Garamond"/>
          <w:b/>
        </w:rPr>
      </w:pPr>
      <w:r w:rsidRPr="00C4512E">
        <w:rPr>
          <w:rFonts w:ascii="Garamond" w:hAnsi="Garamond"/>
          <w:b/>
        </w:rPr>
        <w:t>Ms. Sangeeta Rathod</w:t>
      </w:r>
    </w:p>
    <w:p w:rsidR="002C3645" w:rsidRPr="00C4512E" w:rsidRDefault="002C1128" w:rsidP="002C3645">
      <w:pPr>
        <w:spacing w:line="20" w:lineRule="atLeast"/>
        <w:jc w:val="both"/>
        <w:outlineLvl w:val="0"/>
        <w:rPr>
          <w:rFonts w:ascii="Garamond" w:hAnsi="Garamond"/>
          <w:b/>
        </w:rPr>
      </w:pPr>
      <w:r w:rsidRPr="00C4512E">
        <w:rPr>
          <w:rFonts w:ascii="Garamond" w:hAnsi="Garamond"/>
          <w:b/>
        </w:rPr>
        <w:t>Ms. Deepthi L S</w:t>
      </w:r>
    </w:p>
    <w:p w:rsidR="002C3645" w:rsidRPr="00C4512E" w:rsidRDefault="00FD1851" w:rsidP="002C3645">
      <w:pPr>
        <w:spacing w:line="20" w:lineRule="atLeast"/>
        <w:jc w:val="both"/>
        <w:outlineLvl w:val="0"/>
        <w:rPr>
          <w:rFonts w:ascii="Garamond" w:hAnsi="Garamond"/>
          <w:b/>
        </w:rPr>
      </w:pPr>
      <w:r w:rsidRPr="00C4512E">
        <w:rPr>
          <w:rFonts w:ascii="Garamond" w:hAnsi="Garamond"/>
          <w:b/>
        </w:rPr>
        <w:t>Dr.</w:t>
      </w:r>
      <w:r w:rsidR="002C3645" w:rsidRPr="00C4512E">
        <w:rPr>
          <w:rFonts w:ascii="Garamond" w:hAnsi="Garamond"/>
          <w:b/>
        </w:rPr>
        <w:t xml:space="preserve"> </w:t>
      </w:r>
      <w:r w:rsidRPr="00C4512E">
        <w:rPr>
          <w:rFonts w:ascii="Garamond" w:hAnsi="Garamond"/>
          <w:b/>
        </w:rPr>
        <w:t xml:space="preserve"> Deepali Dixit</w:t>
      </w:r>
    </w:p>
    <w:p w:rsidR="002C3645" w:rsidRPr="00C4512E" w:rsidRDefault="00E71481" w:rsidP="002C3645">
      <w:pPr>
        <w:spacing w:line="20" w:lineRule="atLeast"/>
        <w:jc w:val="both"/>
        <w:outlineLvl w:val="0"/>
        <w:rPr>
          <w:rFonts w:ascii="Garamond" w:hAnsi="Garamond"/>
          <w:b/>
        </w:rPr>
      </w:pPr>
      <w:r w:rsidRPr="00C4512E">
        <w:rPr>
          <w:rFonts w:ascii="Garamond" w:hAnsi="Garamond"/>
          <w:b/>
        </w:rPr>
        <w:t>Shri</w:t>
      </w:r>
      <w:r w:rsidR="002C3645" w:rsidRPr="00C4512E">
        <w:rPr>
          <w:rFonts w:ascii="Garamond" w:hAnsi="Garamond"/>
          <w:b/>
        </w:rPr>
        <w:t xml:space="preserve"> </w:t>
      </w:r>
      <w:r w:rsidR="00FD1851" w:rsidRPr="00C4512E">
        <w:rPr>
          <w:rFonts w:ascii="Garamond" w:hAnsi="Garamond"/>
          <w:b/>
        </w:rPr>
        <w:t>Jitendra Kumar</w:t>
      </w:r>
    </w:p>
    <w:p w:rsidR="002C3645" w:rsidRPr="00C4512E" w:rsidRDefault="002C3645" w:rsidP="002C3645">
      <w:pPr>
        <w:spacing w:line="20" w:lineRule="atLeast"/>
        <w:jc w:val="both"/>
        <w:outlineLvl w:val="0"/>
        <w:rPr>
          <w:rFonts w:ascii="Garamond" w:hAnsi="Garamond"/>
          <w:b/>
        </w:rPr>
      </w:pPr>
    </w:p>
    <w:p w:rsidR="002C3645" w:rsidRPr="00C4512E" w:rsidRDefault="002C3645" w:rsidP="002C3645">
      <w:pPr>
        <w:spacing w:line="20" w:lineRule="atLeast"/>
        <w:jc w:val="both"/>
        <w:rPr>
          <w:rFonts w:ascii="Garamond" w:hAnsi="Garamond"/>
        </w:rPr>
      </w:pPr>
    </w:p>
    <w:p w:rsidR="00563987" w:rsidRPr="00C4512E" w:rsidRDefault="002C3645" w:rsidP="002C3645">
      <w:pPr>
        <w:spacing w:line="20" w:lineRule="atLeast"/>
        <w:jc w:val="both"/>
        <w:rPr>
          <w:rFonts w:ascii="Garamond" w:hAnsi="Garamond"/>
          <w:bCs/>
        </w:rPr>
      </w:pPr>
      <w:r w:rsidRPr="00C4512E">
        <w:rPr>
          <w:rFonts w:ascii="Garamond" w:hAnsi="Garamond"/>
        </w:rPr>
        <w:t xml:space="preserve">The </w:t>
      </w:r>
      <w:r w:rsidR="00E77B3E" w:rsidRPr="00C4512E">
        <w:rPr>
          <w:rFonts w:ascii="Garamond" w:hAnsi="Garamond"/>
        </w:rPr>
        <w:t xml:space="preserve">SEBI Monthly </w:t>
      </w:r>
      <w:r w:rsidRPr="00C4512E">
        <w:rPr>
          <w:rFonts w:ascii="Garamond" w:hAnsi="Garamond"/>
        </w:rPr>
        <w:t xml:space="preserve">Bulletin is issued by the Department of Economic and Policy Analysis, Securities and Exchange Board of India under the direction of </w:t>
      </w:r>
      <w:r w:rsidR="00563987" w:rsidRPr="00C4512E">
        <w:rPr>
          <w:rFonts w:ascii="Garamond" w:hAnsi="Garamond"/>
        </w:rPr>
        <w:t>the</w:t>
      </w:r>
      <w:r w:rsidRPr="00C4512E">
        <w:rPr>
          <w:rFonts w:ascii="Garamond" w:hAnsi="Garamond"/>
        </w:rPr>
        <w:t xml:space="preserve"> Editorial Committee. SEBI is not responsible for accuracy of data/information/interpretations and opinions expressed in the case of signed articles/speeches as authors are responsible for their personal views. SEBI has no objection to the material published herein being reproduced, provided an acknowledgement of the same is made.</w:t>
      </w:r>
      <w:r w:rsidRPr="00C4512E">
        <w:rPr>
          <w:rFonts w:ascii="Garamond" w:hAnsi="Garamond"/>
          <w:bCs/>
        </w:rPr>
        <w:t xml:space="preserve"> </w:t>
      </w:r>
      <w:r w:rsidR="00E71481" w:rsidRPr="00C4512E">
        <w:rPr>
          <w:rFonts w:ascii="Garamond" w:hAnsi="Garamond"/>
          <w:bCs/>
        </w:rPr>
        <w:t xml:space="preserve"> </w:t>
      </w:r>
    </w:p>
    <w:p w:rsidR="00563987" w:rsidRPr="00C4512E" w:rsidRDefault="00563987" w:rsidP="002C3645">
      <w:pPr>
        <w:spacing w:line="20" w:lineRule="atLeast"/>
        <w:jc w:val="both"/>
        <w:rPr>
          <w:rFonts w:ascii="Garamond" w:hAnsi="Garamond"/>
          <w:bCs/>
        </w:rPr>
      </w:pPr>
    </w:p>
    <w:p w:rsidR="00563987" w:rsidRPr="00C4512E" w:rsidRDefault="00563987" w:rsidP="002C3645">
      <w:pPr>
        <w:spacing w:line="20" w:lineRule="atLeast"/>
        <w:jc w:val="both"/>
        <w:rPr>
          <w:rFonts w:ascii="Garamond" w:hAnsi="Garamond"/>
          <w:bCs/>
        </w:rPr>
      </w:pPr>
      <w:r w:rsidRPr="00C4512E">
        <w:rPr>
          <w:rFonts w:ascii="Garamond" w:hAnsi="Garamond"/>
          <w:bCs/>
        </w:rPr>
        <w:t>The soft</w:t>
      </w:r>
      <w:r w:rsidR="00E71481" w:rsidRPr="00C4512E">
        <w:rPr>
          <w:rFonts w:ascii="Garamond" w:hAnsi="Garamond"/>
          <w:bCs/>
        </w:rPr>
        <w:t xml:space="preserve"> copy of SEBI Bulletin </w:t>
      </w:r>
      <w:r w:rsidRPr="00C4512E">
        <w:rPr>
          <w:rFonts w:ascii="Garamond" w:hAnsi="Garamond"/>
          <w:bCs/>
        </w:rPr>
        <w:t xml:space="preserve">in PDF, Word and Excel formats </w:t>
      </w:r>
      <w:r w:rsidR="00E77B3E" w:rsidRPr="00C4512E">
        <w:rPr>
          <w:rFonts w:ascii="Garamond" w:hAnsi="Garamond"/>
          <w:bCs/>
        </w:rPr>
        <w:t xml:space="preserve">can be freely downloaded from the publications link under Reports and Statistics </w:t>
      </w:r>
      <w:r w:rsidRPr="00C4512E">
        <w:rPr>
          <w:rFonts w:ascii="Garamond" w:hAnsi="Garamond"/>
          <w:bCs/>
        </w:rPr>
        <w:t>s</w:t>
      </w:r>
      <w:r w:rsidR="00E77B3E" w:rsidRPr="00C4512E">
        <w:rPr>
          <w:rFonts w:ascii="Garamond" w:hAnsi="Garamond"/>
          <w:bCs/>
        </w:rPr>
        <w:t>ection in SEBI website</w:t>
      </w:r>
      <w:r w:rsidR="00E77B3E" w:rsidRPr="00C4512E">
        <w:rPr>
          <w:rFonts w:ascii="Garamond" w:hAnsi="Garamond"/>
        </w:rPr>
        <w:t xml:space="preserve"> (</w:t>
      </w:r>
      <w:hyperlink r:id="rId15" w:history="1">
        <w:r w:rsidR="00B522A6" w:rsidRPr="00C4512E">
          <w:rPr>
            <w:rStyle w:val="Hyperlink"/>
            <w:rFonts w:ascii="Garamond" w:hAnsi="Garamond"/>
            <w:bCs/>
          </w:rPr>
          <w:t>https://www.sebi.gov.in/reports-and-statistics.html</w:t>
        </w:r>
      </w:hyperlink>
      <w:r w:rsidR="00E77B3E" w:rsidRPr="00C4512E">
        <w:rPr>
          <w:rFonts w:ascii="Garamond" w:hAnsi="Garamond"/>
          <w:bCs/>
        </w:rPr>
        <w:t>)</w:t>
      </w:r>
      <w:r w:rsidRPr="00C4512E">
        <w:rPr>
          <w:rFonts w:ascii="Garamond" w:hAnsi="Garamond"/>
          <w:bCs/>
        </w:rPr>
        <w:t>.</w:t>
      </w:r>
      <w:r w:rsidR="00E77B3E" w:rsidRPr="00C4512E">
        <w:rPr>
          <w:rFonts w:ascii="Garamond" w:hAnsi="Garamond"/>
          <w:bCs/>
        </w:rPr>
        <w:t xml:space="preserve"> </w:t>
      </w:r>
    </w:p>
    <w:p w:rsidR="00563987" w:rsidRPr="00C4512E" w:rsidRDefault="00563987" w:rsidP="002C3645">
      <w:pPr>
        <w:spacing w:line="20" w:lineRule="atLeast"/>
        <w:jc w:val="both"/>
        <w:rPr>
          <w:rFonts w:ascii="Garamond" w:hAnsi="Garamond"/>
          <w:bCs/>
        </w:rPr>
      </w:pPr>
    </w:p>
    <w:p w:rsidR="00563987" w:rsidRPr="00C4512E" w:rsidRDefault="002C3645" w:rsidP="002C3645">
      <w:pPr>
        <w:spacing w:line="20" w:lineRule="atLeast"/>
        <w:jc w:val="both"/>
        <w:rPr>
          <w:rFonts w:ascii="Garamond" w:hAnsi="Garamond"/>
        </w:rPr>
      </w:pPr>
      <w:r w:rsidRPr="00C4512E">
        <w:rPr>
          <w:rFonts w:ascii="Garamond" w:hAnsi="Garamond"/>
          <w:bCs/>
        </w:rPr>
        <w:t xml:space="preserve">Any comments and suggestions on any of the features/sections may be sent to </w:t>
      </w:r>
      <w:r w:rsidR="00563987" w:rsidRPr="00C4512E">
        <w:rPr>
          <w:rFonts w:ascii="Garamond" w:hAnsi="Garamond"/>
          <w:bCs/>
        </w:rPr>
        <w:t xml:space="preserve">the email id: </w:t>
      </w:r>
    </w:p>
    <w:p w:rsidR="00563987" w:rsidRPr="00C4512E" w:rsidRDefault="00C220AB" w:rsidP="002C3645">
      <w:pPr>
        <w:spacing w:line="20" w:lineRule="atLeast"/>
        <w:jc w:val="both"/>
        <w:rPr>
          <w:rFonts w:ascii="Garamond" w:hAnsi="Garamond"/>
        </w:rPr>
      </w:pPr>
      <w:hyperlink r:id="rId16" w:history="1">
        <w:r w:rsidR="00563987" w:rsidRPr="00C4512E">
          <w:rPr>
            <w:rStyle w:val="Hyperlink"/>
            <w:rFonts w:ascii="Garamond" w:hAnsi="Garamond"/>
          </w:rPr>
          <w:t>bulletin@sebi.gov.in</w:t>
        </w:r>
      </w:hyperlink>
    </w:p>
    <w:p w:rsidR="00563987" w:rsidRPr="00C4512E" w:rsidRDefault="00563987" w:rsidP="002C3645">
      <w:pPr>
        <w:spacing w:line="20" w:lineRule="atLeast"/>
        <w:jc w:val="both"/>
        <w:rPr>
          <w:rFonts w:ascii="Garamond" w:hAnsi="Garamond"/>
        </w:rPr>
      </w:pPr>
    </w:p>
    <w:p w:rsidR="00563987" w:rsidRPr="009A0EB3" w:rsidRDefault="00563987" w:rsidP="002C3645">
      <w:pPr>
        <w:spacing w:line="20" w:lineRule="atLeast"/>
        <w:jc w:val="both"/>
        <w:rPr>
          <w:rFonts w:ascii="Palatino Linotype" w:hAnsi="Palatino Linotype"/>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2C3645" w:rsidRPr="009A0EB3" w:rsidRDefault="002C3645" w:rsidP="00B25DA6">
      <w:pPr>
        <w:jc w:val="center"/>
        <w:outlineLvl w:val="0"/>
        <w:rPr>
          <w:rFonts w:ascii="Palatino Linotype" w:hAnsi="Palatino Linotype" w:cs="Helvetica"/>
          <w:b/>
          <w:color w:val="000099"/>
          <w:sz w:val="22"/>
          <w:szCs w:val="22"/>
        </w:rPr>
      </w:pPr>
    </w:p>
    <w:p w:rsidR="00EB52C5" w:rsidRDefault="00EB52C5" w:rsidP="00B84DDC">
      <w:pPr>
        <w:outlineLvl w:val="0"/>
        <w:rPr>
          <w:rFonts w:ascii="Palatino Linotype" w:hAnsi="Palatino Linotype" w:cs="Helvetica"/>
          <w:b/>
          <w:color w:val="000099"/>
          <w:sz w:val="22"/>
          <w:szCs w:val="22"/>
        </w:rPr>
      </w:pPr>
    </w:p>
    <w:p w:rsidR="00B84DDC" w:rsidRPr="009A0EB3" w:rsidRDefault="00B84DDC" w:rsidP="00B84DDC">
      <w:pPr>
        <w:outlineLvl w:val="0"/>
        <w:rPr>
          <w:rFonts w:ascii="Palatino Linotype" w:hAnsi="Palatino Linotype" w:cs="Helvetica"/>
          <w:b/>
          <w:color w:val="000099"/>
          <w:sz w:val="22"/>
          <w:szCs w:val="22"/>
        </w:rPr>
      </w:pPr>
    </w:p>
    <w:p w:rsidR="002C3645" w:rsidRDefault="002C3645" w:rsidP="00B25DA6">
      <w:pPr>
        <w:jc w:val="center"/>
        <w:outlineLvl w:val="0"/>
        <w:rPr>
          <w:rFonts w:ascii="Palatino Linotype" w:hAnsi="Palatino Linotype" w:cs="Helvetica"/>
          <w:b/>
          <w:color w:val="000099"/>
          <w:sz w:val="22"/>
          <w:szCs w:val="22"/>
        </w:rPr>
      </w:pPr>
    </w:p>
    <w:p w:rsidR="00C4512E" w:rsidRDefault="00C4512E" w:rsidP="00B25DA6">
      <w:pPr>
        <w:jc w:val="center"/>
        <w:outlineLvl w:val="0"/>
        <w:rPr>
          <w:rFonts w:ascii="Palatino Linotype" w:hAnsi="Palatino Linotype" w:cs="Helvetica"/>
          <w:b/>
          <w:color w:val="000099"/>
          <w:sz w:val="22"/>
          <w:szCs w:val="22"/>
        </w:rPr>
      </w:pPr>
    </w:p>
    <w:p w:rsidR="00C4512E" w:rsidRPr="009A0EB3" w:rsidRDefault="00C4512E" w:rsidP="00B25DA6">
      <w:pPr>
        <w:jc w:val="center"/>
        <w:outlineLvl w:val="0"/>
        <w:rPr>
          <w:rFonts w:ascii="Palatino Linotype" w:hAnsi="Palatino Linotype" w:cs="Helvetica"/>
          <w:b/>
          <w:color w:val="000099"/>
          <w:sz w:val="22"/>
          <w:szCs w:val="22"/>
        </w:rPr>
      </w:pPr>
    </w:p>
    <w:p w:rsidR="00C4512E" w:rsidRDefault="00C4512E" w:rsidP="002C3645">
      <w:pPr>
        <w:spacing w:line="20" w:lineRule="atLeast"/>
        <w:jc w:val="center"/>
        <w:rPr>
          <w:rFonts w:ascii="Palatino Linotype" w:hAnsi="Palatino Linotype"/>
          <w:b/>
          <w:color w:val="632423"/>
          <w:sz w:val="22"/>
          <w:szCs w:val="22"/>
        </w:rPr>
      </w:pPr>
    </w:p>
    <w:p w:rsidR="00A76333" w:rsidRDefault="00A76333" w:rsidP="002C3645">
      <w:pPr>
        <w:spacing w:line="20" w:lineRule="atLeast"/>
        <w:jc w:val="center"/>
        <w:rPr>
          <w:rFonts w:ascii="Palatino Linotype" w:hAnsi="Palatino Linotype"/>
          <w:b/>
          <w:color w:val="632423"/>
          <w:sz w:val="22"/>
          <w:szCs w:val="22"/>
        </w:rPr>
      </w:pPr>
    </w:p>
    <w:p w:rsidR="00A76333" w:rsidRDefault="00A76333" w:rsidP="002C3645">
      <w:pPr>
        <w:spacing w:line="20" w:lineRule="atLeast"/>
        <w:jc w:val="center"/>
        <w:rPr>
          <w:rFonts w:ascii="Palatino Linotype" w:hAnsi="Palatino Linotype"/>
          <w:b/>
          <w:color w:val="632423"/>
          <w:sz w:val="22"/>
          <w:szCs w:val="22"/>
        </w:rPr>
      </w:pPr>
    </w:p>
    <w:p w:rsidR="00A76333" w:rsidRDefault="00A76333" w:rsidP="002C3645">
      <w:pPr>
        <w:spacing w:line="20" w:lineRule="atLeast"/>
        <w:jc w:val="center"/>
        <w:rPr>
          <w:rFonts w:ascii="Palatino Linotype" w:hAnsi="Palatino Linotype"/>
          <w:b/>
          <w:color w:val="632423"/>
          <w:sz w:val="22"/>
          <w:szCs w:val="22"/>
        </w:rPr>
      </w:pPr>
    </w:p>
    <w:p w:rsidR="00A76333" w:rsidRDefault="00A76333" w:rsidP="002C3645">
      <w:pPr>
        <w:spacing w:line="20" w:lineRule="atLeast"/>
        <w:jc w:val="center"/>
        <w:rPr>
          <w:rFonts w:ascii="Palatino Linotype" w:hAnsi="Palatino Linotype"/>
          <w:b/>
          <w:color w:val="632423"/>
          <w:sz w:val="22"/>
          <w:szCs w:val="22"/>
        </w:rPr>
      </w:pPr>
    </w:p>
    <w:p w:rsidR="00A76333" w:rsidRDefault="00A76333" w:rsidP="002C3645">
      <w:pPr>
        <w:spacing w:line="20" w:lineRule="atLeast"/>
        <w:jc w:val="center"/>
        <w:rPr>
          <w:rFonts w:ascii="Palatino Linotype" w:hAnsi="Palatino Linotype"/>
          <w:b/>
          <w:color w:val="632423"/>
          <w:sz w:val="22"/>
          <w:szCs w:val="22"/>
        </w:rPr>
      </w:pPr>
    </w:p>
    <w:p w:rsidR="00A76333" w:rsidRDefault="00A76333" w:rsidP="002C3645">
      <w:pPr>
        <w:spacing w:line="20" w:lineRule="atLeast"/>
        <w:jc w:val="center"/>
        <w:rPr>
          <w:rFonts w:ascii="Palatino Linotype" w:hAnsi="Palatino Linotype"/>
          <w:b/>
          <w:color w:val="632423"/>
          <w:sz w:val="22"/>
          <w:szCs w:val="22"/>
        </w:rPr>
      </w:pPr>
    </w:p>
    <w:p w:rsidR="002C3645" w:rsidRPr="00C4512E" w:rsidRDefault="002C3645" w:rsidP="002C3645">
      <w:pPr>
        <w:spacing w:line="20" w:lineRule="atLeast"/>
        <w:jc w:val="center"/>
        <w:rPr>
          <w:rFonts w:ascii="Garamond" w:hAnsi="Garamond"/>
          <w:b/>
          <w:color w:val="1F4E79" w:themeColor="accent1" w:themeShade="80"/>
          <w:sz w:val="28"/>
          <w:szCs w:val="28"/>
        </w:rPr>
      </w:pPr>
      <w:r w:rsidRPr="00C4512E">
        <w:rPr>
          <w:rFonts w:ascii="Garamond" w:hAnsi="Garamond"/>
          <w:b/>
          <w:color w:val="1F4E79" w:themeColor="accent1" w:themeShade="80"/>
          <w:sz w:val="28"/>
          <w:szCs w:val="28"/>
        </w:rPr>
        <w:t>CONTENTS</w:t>
      </w:r>
    </w:p>
    <w:p w:rsidR="002C3645" w:rsidRPr="00C4512E" w:rsidRDefault="002C3645" w:rsidP="002C3645">
      <w:pPr>
        <w:spacing w:line="20" w:lineRule="atLeast"/>
        <w:jc w:val="both"/>
        <w:rPr>
          <w:rFonts w:ascii="Garamond" w:hAnsi="Garamond"/>
          <w:b/>
          <w:color w:val="0000FF"/>
        </w:rPr>
      </w:pPr>
    </w:p>
    <w:p w:rsidR="002C1136" w:rsidRPr="00C4512E" w:rsidRDefault="00D73337" w:rsidP="00A36146">
      <w:pPr>
        <w:spacing w:line="20" w:lineRule="atLeast"/>
        <w:jc w:val="both"/>
        <w:rPr>
          <w:rFonts w:ascii="Garamond" w:hAnsi="Garamond"/>
          <w:b/>
          <w:color w:val="1F4E79" w:themeColor="accent1" w:themeShade="80"/>
        </w:rPr>
      </w:pPr>
      <w:r w:rsidRPr="004D4612">
        <w:rPr>
          <w:rFonts w:ascii="Garamond" w:hAnsi="Garamond"/>
          <w:b/>
          <w:color w:val="1F4E79" w:themeColor="accent1" w:themeShade="80"/>
        </w:rPr>
        <w:t>SPEECH</w:t>
      </w:r>
    </w:p>
    <w:p w:rsidR="00D73337" w:rsidRPr="00C4512E" w:rsidRDefault="00D73337" w:rsidP="00F81232">
      <w:pPr>
        <w:spacing w:line="20" w:lineRule="atLeast"/>
        <w:jc w:val="both"/>
        <w:rPr>
          <w:rFonts w:ascii="Garamond" w:hAnsi="Garamond"/>
          <w:b/>
          <w:color w:val="1F4E79" w:themeColor="accent1" w:themeShade="80"/>
        </w:rPr>
      </w:pPr>
    </w:p>
    <w:p w:rsidR="002C3645" w:rsidRPr="00C4512E" w:rsidRDefault="002C3645" w:rsidP="00F81232">
      <w:pPr>
        <w:spacing w:line="20" w:lineRule="atLeast"/>
        <w:jc w:val="both"/>
        <w:rPr>
          <w:rFonts w:ascii="Garamond" w:hAnsi="Garamond"/>
          <w:b/>
          <w:color w:val="1F4E79" w:themeColor="accent1" w:themeShade="80"/>
        </w:rPr>
      </w:pPr>
      <w:r w:rsidRPr="00C4512E">
        <w:rPr>
          <w:rFonts w:ascii="Garamond" w:hAnsi="Garamond"/>
          <w:b/>
          <w:color w:val="1F4E79" w:themeColor="accent1" w:themeShade="80"/>
        </w:rPr>
        <w:t>CAPITAL MARKET REVIEW</w:t>
      </w:r>
    </w:p>
    <w:p w:rsidR="002C3645" w:rsidRPr="00C4512E" w:rsidRDefault="002C3645" w:rsidP="002C3645">
      <w:pPr>
        <w:spacing w:line="20" w:lineRule="atLeast"/>
        <w:jc w:val="both"/>
        <w:rPr>
          <w:rFonts w:ascii="Garamond" w:hAnsi="Garamond"/>
          <w:b/>
          <w:color w:val="1F4E79" w:themeColor="accent1" w:themeShade="80"/>
        </w:rPr>
      </w:pPr>
    </w:p>
    <w:p w:rsidR="002C3645" w:rsidRPr="00C4512E" w:rsidRDefault="002C3645" w:rsidP="002C3645">
      <w:pPr>
        <w:spacing w:line="20" w:lineRule="atLeast"/>
        <w:jc w:val="both"/>
        <w:rPr>
          <w:rFonts w:ascii="Garamond" w:hAnsi="Garamond"/>
          <w:b/>
          <w:color w:val="1F4E79" w:themeColor="accent1" w:themeShade="80"/>
        </w:rPr>
      </w:pPr>
      <w:r w:rsidRPr="00C4512E">
        <w:rPr>
          <w:rFonts w:ascii="Garamond" w:hAnsi="Garamond"/>
          <w:b/>
          <w:color w:val="1F4E79" w:themeColor="accent1" w:themeShade="80"/>
        </w:rPr>
        <w:t>REVIEW OF GLOBAL FINANCIAL MARKETS</w:t>
      </w:r>
    </w:p>
    <w:p w:rsidR="002C3645" w:rsidRPr="00C4512E" w:rsidRDefault="002C3645" w:rsidP="002C3645">
      <w:pPr>
        <w:spacing w:line="20" w:lineRule="atLeast"/>
        <w:jc w:val="both"/>
        <w:rPr>
          <w:rFonts w:ascii="Garamond" w:hAnsi="Garamond"/>
          <w:b/>
          <w:color w:val="1F4E79" w:themeColor="accent1" w:themeShade="80"/>
        </w:rPr>
      </w:pPr>
    </w:p>
    <w:p w:rsidR="002C3645" w:rsidRPr="00C4512E" w:rsidRDefault="002C3645" w:rsidP="002C3645">
      <w:pPr>
        <w:spacing w:line="20" w:lineRule="atLeast"/>
        <w:jc w:val="both"/>
        <w:rPr>
          <w:rFonts w:ascii="Garamond" w:hAnsi="Garamond"/>
          <w:b/>
          <w:color w:val="1F4E79" w:themeColor="accent1" w:themeShade="80"/>
        </w:rPr>
      </w:pPr>
      <w:r w:rsidRPr="00A76333">
        <w:rPr>
          <w:rFonts w:ascii="Garamond" w:hAnsi="Garamond"/>
          <w:b/>
          <w:color w:val="1F4E79" w:themeColor="accent1" w:themeShade="80"/>
        </w:rPr>
        <w:t>HIGHLIGHTS OF DEVELOPMENTS IN INTERNATIONAL SECURITIES MARKET</w:t>
      </w:r>
    </w:p>
    <w:p w:rsidR="002C3645" w:rsidRPr="00C4512E" w:rsidRDefault="002C3645" w:rsidP="002C3645">
      <w:pPr>
        <w:spacing w:line="20" w:lineRule="atLeast"/>
        <w:jc w:val="both"/>
        <w:rPr>
          <w:rFonts w:ascii="Garamond" w:hAnsi="Garamond"/>
          <w:b/>
          <w:color w:val="1F4E79" w:themeColor="accent1" w:themeShade="80"/>
        </w:rPr>
      </w:pPr>
    </w:p>
    <w:p w:rsidR="002C3645" w:rsidRPr="004D4612" w:rsidRDefault="002C3645" w:rsidP="002C3645">
      <w:pPr>
        <w:spacing w:line="20" w:lineRule="atLeast"/>
        <w:jc w:val="both"/>
        <w:rPr>
          <w:rFonts w:ascii="Garamond" w:hAnsi="Garamond"/>
          <w:b/>
          <w:color w:val="1F4E79" w:themeColor="accent1" w:themeShade="80"/>
        </w:rPr>
      </w:pPr>
      <w:r w:rsidRPr="004D4612">
        <w:rPr>
          <w:rFonts w:ascii="Garamond" w:hAnsi="Garamond"/>
          <w:b/>
          <w:color w:val="1F4E79" w:themeColor="accent1" w:themeShade="80"/>
        </w:rPr>
        <w:t xml:space="preserve">POLICY DEVELOPMENTS </w:t>
      </w:r>
      <w:r w:rsidR="00B522A6" w:rsidRPr="004D4612">
        <w:rPr>
          <w:rFonts w:ascii="Garamond" w:hAnsi="Garamond"/>
          <w:b/>
          <w:color w:val="1F4E79" w:themeColor="accent1" w:themeShade="80"/>
        </w:rPr>
        <w:t>IN INDIAN SECURITIES MARKET</w:t>
      </w:r>
    </w:p>
    <w:p w:rsidR="002C3645" w:rsidRPr="004D4612" w:rsidRDefault="002C3645" w:rsidP="002C3645">
      <w:pPr>
        <w:spacing w:line="20" w:lineRule="atLeast"/>
        <w:jc w:val="both"/>
        <w:rPr>
          <w:rFonts w:ascii="Garamond" w:hAnsi="Garamond"/>
          <w:b/>
          <w:color w:val="1F4E79" w:themeColor="accent1" w:themeShade="80"/>
        </w:rPr>
      </w:pPr>
    </w:p>
    <w:p w:rsidR="002C3645" w:rsidRPr="00C4512E" w:rsidRDefault="002C3645" w:rsidP="002C3645">
      <w:pPr>
        <w:spacing w:line="20" w:lineRule="atLeast"/>
        <w:jc w:val="both"/>
        <w:rPr>
          <w:rFonts w:ascii="Garamond" w:hAnsi="Garamond"/>
          <w:b/>
          <w:color w:val="1F4E79" w:themeColor="accent1" w:themeShade="80"/>
        </w:rPr>
      </w:pPr>
      <w:r w:rsidRPr="004D4612">
        <w:rPr>
          <w:rFonts w:ascii="Garamond" w:hAnsi="Garamond"/>
          <w:b/>
          <w:color w:val="1F4E79" w:themeColor="accent1" w:themeShade="80"/>
        </w:rPr>
        <w:t>REGULATORY ACTIONS TAKEN BY SEBI</w:t>
      </w:r>
      <w:r w:rsidRPr="00C4512E">
        <w:rPr>
          <w:rFonts w:ascii="Garamond" w:hAnsi="Garamond"/>
          <w:b/>
          <w:color w:val="1F4E79" w:themeColor="accent1" w:themeShade="80"/>
        </w:rPr>
        <w:t xml:space="preserve"> </w:t>
      </w:r>
    </w:p>
    <w:p w:rsidR="002C3645" w:rsidRPr="00C4512E" w:rsidRDefault="002C3645" w:rsidP="002C3645">
      <w:pPr>
        <w:spacing w:line="20" w:lineRule="atLeast"/>
        <w:jc w:val="both"/>
        <w:rPr>
          <w:rFonts w:ascii="Garamond" w:hAnsi="Garamond"/>
          <w:b/>
          <w:color w:val="1F4E79" w:themeColor="accent1" w:themeShade="80"/>
        </w:rPr>
      </w:pPr>
    </w:p>
    <w:p w:rsidR="002C3645" w:rsidRPr="00C4512E" w:rsidRDefault="00B522A6" w:rsidP="002C3645">
      <w:pPr>
        <w:spacing w:line="20" w:lineRule="atLeast"/>
        <w:jc w:val="both"/>
        <w:rPr>
          <w:rFonts w:ascii="Garamond" w:hAnsi="Garamond"/>
          <w:b/>
          <w:color w:val="1F4E79" w:themeColor="accent1" w:themeShade="80"/>
        </w:rPr>
      </w:pPr>
      <w:r w:rsidRPr="00C4512E">
        <w:rPr>
          <w:rFonts w:ascii="Garamond" w:hAnsi="Garamond"/>
          <w:b/>
          <w:color w:val="1F4E79" w:themeColor="accent1" w:themeShade="80"/>
        </w:rPr>
        <w:t>CURRENT STATISTICS</w:t>
      </w:r>
    </w:p>
    <w:p w:rsidR="00C4512E" w:rsidRPr="00C4512E" w:rsidRDefault="00C4512E" w:rsidP="002C3645">
      <w:pPr>
        <w:spacing w:line="20" w:lineRule="atLeast"/>
        <w:jc w:val="both"/>
        <w:rPr>
          <w:rFonts w:ascii="Garamond" w:hAnsi="Garamond"/>
          <w:b/>
          <w:color w:val="1F4E79" w:themeColor="accent1" w:themeShade="80"/>
        </w:rPr>
      </w:pPr>
    </w:p>
    <w:p w:rsidR="00C4512E" w:rsidRPr="00C4512E" w:rsidRDefault="00C4512E" w:rsidP="002C3645">
      <w:pPr>
        <w:spacing w:line="20" w:lineRule="atLeast"/>
        <w:jc w:val="both"/>
        <w:rPr>
          <w:rFonts w:ascii="Garamond" w:hAnsi="Garamond"/>
          <w:b/>
          <w:color w:val="1F4E79" w:themeColor="accent1" w:themeShade="80"/>
        </w:rPr>
      </w:pPr>
      <w:r w:rsidRPr="00C4512E">
        <w:rPr>
          <w:rFonts w:ascii="Garamond" w:hAnsi="Garamond"/>
          <w:b/>
          <w:color w:val="1F4E79" w:themeColor="accent1" w:themeShade="80"/>
        </w:rPr>
        <w:t>LATEST PUBLICATIONS</w:t>
      </w:r>
    </w:p>
    <w:p w:rsidR="002C3645" w:rsidRPr="00C4512E" w:rsidRDefault="002C3645" w:rsidP="002C3645">
      <w:pPr>
        <w:spacing w:line="20" w:lineRule="atLeast"/>
        <w:jc w:val="both"/>
        <w:rPr>
          <w:rFonts w:ascii="Palatino Linotype" w:hAnsi="Palatino Linotype"/>
          <w:b/>
          <w:color w:val="1F4E79" w:themeColor="accent1" w:themeShade="80"/>
          <w:sz w:val="22"/>
          <w:szCs w:val="22"/>
        </w:rPr>
      </w:pPr>
    </w:p>
    <w:p w:rsidR="002C3645" w:rsidRPr="009A0EB3" w:rsidRDefault="002C3645" w:rsidP="002C3645">
      <w:pPr>
        <w:spacing w:line="20" w:lineRule="atLeast"/>
        <w:jc w:val="both"/>
        <w:rPr>
          <w:rFonts w:ascii="Palatino Linotype" w:hAnsi="Palatino Linotype"/>
          <w:b/>
          <w:color w:val="0000FF"/>
          <w:sz w:val="22"/>
          <w:szCs w:val="22"/>
        </w:rPr>
      </w:pPr>
    </w:p>
    <w:p w:rsidR="002C3645" w:rsidRDefault="002C3645"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9E322F" w:rsidRDefault="009E322F" w:rsidP="00B25DA6">
      <w:pPr>
        <w:jc w:val="center"/>
        <w:outlineLvl w:val="0"/>
        <w:rPr>
          <w:rFonts w:ascii="Palatino Linotype" w:hAnsi="Palatino Linotype" w:cs="Helvetica"/>
          <w:b/>
          <w:color w:val="000099"/>
          <w:sz w:val="22"/>
          <w:szCs w:val="22"/>
        </w:rPr>
      </w:pPr>
    </w:p>
    <w:p w:rsidR="006A566F" w:rsidRDefault="006A566F" w:rsidP="00B25DA6">
      <w:pPr>
        <w:jc w:val="center"/>
        <w:outlineLvl w:val="0"/>
        <w:rPr>
          <w:rFonts w:ascii="Palatino Linotype" w:hAnsi="Palatino Linotype" w:cs="Helvetica"/>
          <w:b/>
          <w:color w:val="000099"/>
          <w:sz w:val="22"/>
          <w:szCs w:val="22"/>
        </w:rPr>
      </w:pPr>
    </w:p>
    <w:p w:rsidR="006A566F" w:rsidRDefault="006A566F" w:rsidP="00B25DA6">
      <w:pPr>
        <w:jc w:val="center"/>
        <w:outlineLvl w:val="0"/>
        <w:rPr>
          <w:rFonts w:ascii="Palatino Linotype" w:hAnsi="Palatino Linotype" w:cs="Helvetica"/>
          <w:b/>
          <w:color w:val="000099"/>
          <w:sz w:val="22"/>
          <w:szCs w:val="22"/>
        </w:rPr>
      </w:pPr>
    </w:p>
    <w:p w:rsidR="00C4512E" w:rsidRDefault="00C4512E" w:rsidP="00B25DA6">
      <w:pPr>
        <w:jc w:val="center"/>
        <w:outlineLvl w:val="0"/>
        <w:rPr>
          <w:rFonts w:ascii="Palatino Linotype" w:hAnsi="Palatino Linotype" w:cs="Helvetica"/>
          <w:b/>
          <w:color w:val="000099"/>
          <w:sz w:val="22"/>
          <w:szCs w:val="22"/>
        </w:rPr>
      </w:pPr>
    </w:p>
    <w:p w:rsidR="00C4512E" w:rsidRDefault="00C4512E" w:rsidP="00B25DA6">
      <w:pPr>
        <w:jc w:val="center"/>
        <w:outlineLvl w:val="0"/>
        <w:rPr>
          <w:rFonts w:ascii="Palatino Linotype" w:hAnsi="Palatino Linotype" w:cs="Helvetica"/>
          <w:b/>
          <w:color w:val="000099"/>
          <w:sz w:val="22"/>
          <w:szCs w:val="22"/>
        </w:rPr>
      </w:pPr>
    </w:p>
    <w:p w:rsidR="00C4512E" w:rsidRDefault="00C4512E" w:rsidP="00B25DA6">
      <w:pPr>
        <w:jc w:val="center"/>
        <w:outlineLvl w:val="0"/>
        <w:rPr>
          <w:rFonts w:ascii="Palatino Linotype" w:hAnsi="Palatino Linotype" w:cs="Helvetica"/>
          <w:b/>
          <w:color w:val="000099"/>
          <w:sz w:val="22"/>
          <w:szCs w:val="22"/>
        </w:rPr>
      </w:pPr>
    </w:p>
    <w:p w:rsidR="00C4512E" w:rsidRDefault="00C4512E" w:rsidP="00B25DA6">
      <w:pPr>
        <w:jc w:val="center"/>
        <w:outlineLvl w:val="0"/>
        <w:rPr>
          <w:rFonts w:ascii="Palatino Linotype" w:hAnsi="Palatino Linotype" w:cs="Helvetica"/>
          <w:b/>
          <w:color w:val="000099"/>
          <w:sz w:val="22"/>
          <w:szCs w:val="22"/>
        </w:rPr>
      </w:pPr>
    </w:p>
    <w:p w:rsidR="00E24D5D" w:rsidRDefault="00E24D5D" w:rsidP="00C30349">
      <w:pPr>
        <w:shd w:val="clear" w:color="auto" w:fill="FFFFFF"/>
        <w:jc w:val="center"/>
        <w:rPr>
          <w:rFonts w:ascii="Palatino Linotype" w:hAnsi="Palatino Linotype" w:cs="Helvetica"/>
          <w:b/>
          <w:color w:val="000099"/>
          <w:sz w:val="22"/>
          <w:szCs w:val="22"/>
        </w:rPr>
      </w:pPr>
    </w:p>
    <w:p w:rsidR="00567A3B" w:rsidRDefault="00567A3B" w:rsidP="00C30349">
      <w:pPr>
        <w:shd w:val="clear" w:color="auto" w:fill="FFFFFF"/>
        <w:jc w:val="center"/>
        <w:rPr>
          <w:rFonts w:ascii="Garamond" w:eastAsia="Times New Roman" w:hAnsi="Garamond" w:cs="Arial"/>
          <w:b/>
          <w:bCs/>
          <w:color w:val="1F4E79" w:themeColor="accent1" w:themeShade="80"/>
          <w:sz w:val="28"/>
          <w:szCs w:val="28"/>
          <w:lang w:val="en-US" w:bidi="hi-IN"/>
        </w:rPr>
      </w:pPr>
    </w:p>
    <w:p w:rsidR="005D3A87" w:rsidRDefault="005D3A87" w:rsidP="00C30349">
      <w:pPr>
        <w:shd w:val="clear" w:color="auto" w:fill="FFFFFF"/>
        <w:jc w:val="center"/>
        <w:rPr>
          <w:rFonts w:ascii="Garamond" w:eastAsia="Times New Roman" w:hAnsi="Garamond" w:cs="Arial"/>
          <w:b/>
          <w:bCs/>
          <w:color w:val="1F4E79" w:themeColor="accent1" w:themeShade="80"/>
          <w:sz w:val="28"/>
          <w:szCs w:val="28"/>
          <w:lang w:val="en-US" w:bidi="hi-IN"/>
        </w:rPr>
      </w:pPr>
    </w:p>
    <w:p w:rsidR="00563987" w:rsidRPr="00563987" w:rsidRDefault="00563987" w:rsidP="00C30349">
      <w:pPr>
        <w:shd w:val="clear" w:color="auto" w:fill="FFFFFF"/>
        <w:jc w:val="center"/>
        <w:rPr>
          <w:rFonts w:ascii="Garamond" w:eastAsia="Times New Roman" w:hAnsi="Garamond" w:cs="Arial"/>
          <w:b/>
          <w:bCs/>
          <w:color w:val="1F4E79" w:themeColor="accent1" w:themeShade="80"/>
          <w:sz w:val="28"/>
          <w:szCs w:val="28"/>
          <w:lang w:val="en-US" w:bidi="hi-IN"/>
        </w:rPr>
      </w:pPr>
      <w:r w:rsidRPr="00563987">
        <w:rPr>
          <w:rFonts w:ascii="Garamond" w:eastAsia="Times New Roman" w:hAnsi="Garamond" w:cs="Arial"/>
          <w:b/>
          <w:bCs/>
          <w:color w:val="1F4E79" w:themeColor="accent1" w:themeShade="80"/>
          <w:sz w:val="28"/>
          <w:szCs w:val="28"/>
          <w:lang w:val="en-US" w:bidi="hi-IN"/>
        </w:rPr>
        <w:lastRenderedPageBreak/>
        <w:t>SPEECH</w:t>
      </w:r>
    </w:p>
    <w:p w:rsidR="00563987" w:rsidRDefault="00563987" w:rsidP="00563987">
      <w:pPr>
        <w:shd w:val="clear" w:color="auto" w:fill="FFFFFF"/>
        <w:jc w:val="right"/>
        <w:rPr>
          <w:rFonts w:ascii="Garamond" w:eastAsia="Times New Roman" w:hAnsi="Garamond" w:cs="Arial"/>
          <w:b/>
          <w:bCs/>
          <w:color w:val="1F4E79" w:themeColor="accent1" w:themeShade="80"/>
          <w:lang w:val="en-US" w:bidi="hi-IN"/>
        </w:rPr>
      </w:pPr>
    </w:p>
    <w:p w:rsidR="006C501B" w:rsidRDefault="006C501B" w:rsidP="006C501B">
      <w:pPr>
        <w:shd w:val="clear" w:color="auto" w:fill="FFFFFF"/>
        <w:jc w:val="center"/>
        <w:rPr>
          <w:rFonts w:ascii="Garamond" w:eastAsia="Times New Roman" w:hAnsi="Garamond" w:cs="Arial"/>
          <w:b/>
          <w:bCs/>
          <w:color w:val="1F4E79" w:themeColor="accent1" w:themeShade="80"/>
          <w:lang w:bidi="hi-IN"/>
        </w:rPr>
      </w:pPr>
      <w:r w:rsidRPr="006C501B">
        <w:rPr>
          <w:rFonts w:ascii="Garamond" w:eastAsia="Times New Roman" w:hAnsi="Garamond" w:cs="Arial"/>
          <w:b/>
          <w:bCs/>
          <w:color w:val="1F4E79" w:themeColor="accent1" w:themeShade="80"/>
          <w:lang w:bidi="hi-IN"/>
        </w:rPr>
        <w:t>“Investing in Recovery: Challenges and Opportunities for Indian Securities Markets”</w:t>
      </w:r>
    </w:p>
    <w:p w:rsidR="00DB4416" w:rsidRPr="00DB4416" w:rsidRDefault="004D4612" w:rsidP="00563987">
      <w:pPr>
        <w:shd w:val="clear" w:color="auto" w:fill="FFFFFF"/>
        <w:jc w:val="right"/>
        <w:rPr>
          <w:rFonts w:ascii="Garamond" w:hAnsi="Garamond" w:cs="Helvetica"/>
          <w:b/>
          <w:color w:val="000099"/>
        </w:rPr>
      </w:pPr>
      <w:r>
        <w:rPr>
          <w:rFonts w:ascii="Garamond" w:eastAsia="Times New Roman" w:hAnsi="Garamond" w:cs="Arial"/>
          <w:b/>
          <w:bCs/>
          <w:color w:val="1F4E79" w:themeColor="accent1" w:themeShade="80"/>
          <w:lang w:val="en-US" w:bidi="hi-IN"/>
        </w:rPr>
        <w:t>Shri Ajay Tyagi</w:t>
      </w:r>
      <w:r w:rsidR="00563987">
        <w:rPr>
          <w:rStyle w:val="FootnoteReference"/>
          <w:rFonts w:ascii="Garamond" w:eastAsia="Times New Roman" w:hAnsi="Garamond" w:cs="Arial"/>
          <w:b/>
          <w:bCs/>
          <w:color w:val="1F4E79" w:themeColor="accent1" w:themeShade="80"/>
          <w:lang w:val="en-US" w:bidi="hi-IN"/>
        </w:rPr>
        <w:footnoteReference w:id="1"/>
      </w:r>
    </w:p>
    <w:p w:rsidR="00A331B8" w:rsidRDefault="00A331B8" w:rsidP="00481098">
      <w:pPr>
        <w:rPr>
          <w:rFonts w:ascii="Garamond" w:hAnsi="Garamond" w:cs="Arial"/>
          <w:bCs/>
          <w:lang w:val="en-IN"/>
        </w:rPr>
      </w:pPr>
    </w:p>
    <w:p w:rsidR="00A331B8"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Good morning ladies and gentlemen. It is my pleasure to address this inaugural session of the third SEBI-NISM Research Conference. The theme of the conference - “Investing in Recovery: Challenges and Opportunities for Indian Securities Markets” is quite relevant in the present times. It is heartening that the Conference offers a lineup of excellent research papers, and panel discussions with eminent</w:t>
      </w:r>
      <w:r>
        <w:rPr>
          <w:rFonts w:ascii="Garamond" w:hAnsi="Garamond" w:cs="Arial"/>
          <w:bCs/>
          <w:sz w:val="24"/>
          <w:szCs w:val="24"/>
          <w:lang w:val="en-IN"/>
        </w:rPr>
        <w:t xml:space="preserve"> speakers from India and abroad.</w:t>
      </w:r>
    </w:p>
    <w:p w:rsid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In  March  2020,  India  along  with  the  rest  of  the  world  was  catapulted  into  an unprecedented crisis with the outbreak of coronavirus. What started as a health crisis, in hardly any time evolved into a devastating social and economic crisis bringing businesses  and  economies  to  almost  a  standstill.  Lockdowns,  supply  chain disruptions and loss of business led to layoffs and acute financial distress to the masses.</w:t>
      </w:r>
    </w:p>
    <w:p w:rsidR="006C501B" w:rsidRPr="006C501B" w:rsidRDefault="006C501B" w:rsidP="001441E6">
      <w:pPr>
        <w:jc w:val="both"/>
        <w:rPr>
          <w:rFonts w:ascii="Garamond" w:hAnsi="Garamond" w:cs="Arial"/>
          <w:bCs/>
          <w:lang w:val="en-IN"/>
        </w:rPr>
      </w:pPr>
    </w:p>
    <w:p w:rsidR="001441E6" w:rsidRPr="004D4612"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India adopted the path of Atmanirbhar Bharat, focusing on increasing investment in sectors  of  strategic  importance  so  as  to  revive  the  economy.  Naturally,  capital markets had a critical role to play in facilitating such investments. At this time, let’s take a few minutes to recapitulate the developments in the capital market since the onset of pandemic.</w:t>
      </w:r>
    </w:p>
    <w:p w:rsidR="001441E6" w:rsidRPr="001441E6" w:rsidRDefault="001441E6" w:rsidP="001441E6">
      <w:pPr>
        <w:jc w:val="both"/>
        <w:rPr>
          <w:rFonts w:ascii="Garamond" w:hAnsi="Garamond" w:cs="Arial"/>
          <w:b/>
          <w:lang w:val="en-IN"/>
        </w:rPr>
      </w:pPr>
      <w:r>
        <w:rPr>
          <w:rFonts w:ascii="Garamond" w:hAnsi="Garamond" w:cs="Arial"/>
          <w:bCs/>
          <w:lang w:val="en-IN"/>
        </w:rPr>
        <w:t xml:space="preserve">      </w:t>
      </w:r>
      <w:r w:rsidRPr="001441E6">
        <w:rPr>
          <w:rFonts w:ascii="Garamond" w:hAnsi="Garamond" w:cs="Arial"/>
          <w:b/>
          <w:lang w:val="en-IN"/>
        </w:rPr>
        <w:t>Market Snapshot</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Nifty plunged to 7511 on March 24, 2020 due to the concerns and panic of investors, both foreign and domestic. It was in line with the global trend. The markets recovered in the backdrop of stimulus measures announced by governments around the globe and ultra-loose monetary  policy  of  central  banks. Quick market recovery offered financial cushion to large number of investors whose investments were hit by the economic downturn.  We have come a long way since then. In fact, Nifty touched its all-time high of 18,604 on October 19, 2021.</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In line with the trend of the broad market indices, average daily turnover in the equity market increased from INR 39,108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in FY 2020 to INR 66,036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in FY 2021 and INR 73,179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this FY till January 2022. This is an increase of 87% over just 2 years.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A large number of new investors entered the market during this time. As compared to FY 2020 in which around 80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new demat accounts were opened, approximately 1.58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accounts were opened in FY 2021. The 10-month period of FY 2022 ending January 31, 2022 witnessed opening of approximately 3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new demat accounts, which is about 4 times the count in FY 2020.</w:t>
      </w:r>
    </w:p>
    <w:p w:rsidR="006C501B" w:rsidRPr="006C501B" w:rsidRDefault="006C501B" w:rsidP="001441E6">
      <w:pPr>
        <w:pStyle w:val="ListParagraph"/>
        <w:jc w:val="both"/>
        <w:rPr>
          <w:rFonts w:ascii="Garamond" w:hAnsi="Garamond" w:cs="Arial"/>
          <w:bCs/>
          <w:sz w:val="24"/>
          <w:szCs w:val="24"/>
          <w:lang w:val="en-IN"/>
        </w:rPr>
      </w:pPr>
    </w:p>
    <w:p w:rsidR="001441E6" w:rsidRPr="004D4612"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Investment in Mutual Fund schemes also witnessed a surge. The number of Mutual Fund investors, based on unique PANs, as on March 31 of 2020 and 2021 was 2.03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and 2.23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respectively. The number stands at 3.12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as on January 31, 2022. The total assets under management of </w:t>
      </w:r>
      <w:r w:rsidRPr="006C501B">
        <w:rPr>
          <w:rFonts w:ascii="Garamond" w:hAnsi="Garamond" w:cs="Arial"/>
          <w:bCs/>
          <w:sz w:val="24"/>
          <w:szCs w:val="24"/>
          <w:lang w:val="en-IN"/>
        </w:rPr>
        <w:lastRenderedPageBreak/>
        <w:t xml:space="preserve">Mutual Funds increased from INR 22.3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as on March 31, 2020 to INR 31.4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on March 31, 2021 to INR 38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on January 31, 2022.</w:t>
      </w:r>
    </w:p>
    <w:p w:rsidR="001441E6" w:rsidRPr="001441E6" w:rsidRDefault="001441E6" w:rsidP="001441E6">
      <w:pPr>
        <w:jc w:val="both"/>
        <w:rPr>
          <w:rFonts w:ascii="Garamond" w:hAnsi="Garamond" w:cs="Arial"/>
          <w:b/>
          <w:lang w:val="en-IN"/>
        </w:rPr>
      </w:pPr>
      <w:r>
        <w:rPr>
          <w:rFonts w:ascii="Garamond" w:hAnsi="Garamond" w:cs="Arial"/>
          <w:bCs/>
          <w:lang w:val="en-IN"/>
        </w:rPr>
        <w:t xml:space="preserve">      </w:t>
      </w:r>
      <w:r w:rsidRPr="001441E6">
        <w:rPr>
          <w:rFonts w:ascii="Garamond" w:hAnsi="Garamond" w:cs="Arial"/>
          <w:b/>
          <w:lang w:val="en-IN"/>
        </w:rPr>
        <w:t>Policies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Covid-19 not only led to business shutdowns and job losses, but also increased the cost of goods and services. Restoring normalcy not only required increasing the access of businesses to raw materials, but also finding alternatives to resources that are normally taken for granted. Innovative solutions backed by technology played a </w:t>
      </w:r>
      <w:r w:rsidR="004D4612" w:rsidRPr="006C501B">
        <w:rPr>
          <w:rFonts w:ascii="Garamond" w:hAnsi="Garamond" w:cs="Arial"/>
          <w:bCs/>
          <w:sz w:val="24"/>
          <w:szCs w:val="24"/>
          <w:lang w:val="en-IN"/>
        </w:rPr>
        <w:t>key role in addressing these challenges</w:t>
      </w:r>
      <w:r w:rsidRPr="006C501B">
        <w:rPr>
          <w:rFonts w:ascii="Garamond" w:hAnsi="Garamond" w:cs="Arial"/>
          <w:bCs/>
          <w:sz w:val="24"/>
          <w:szCs w:val="24"/>
          <w:lang w:val="en-IN"/>
        </w:rPr>
        <w:t xml:space="preserve">.  </w:t>
      </w:r>
      <w:r w:rsidR="004D4612" w:rsidRPr="006C501B">
        <w:rPr>
          <w:rFonts w:ascii="Garamond" w:hAnsi="Garamond" w:cs="Arial"/>
          <w:bCs/>
          <w:sz w:val="24"/>
          <w:szCs w:val="24"/>
          <w:lang w:val="en-IN"/>
        </w:rPr>
        <w:t>For example, the</w:t>
      </w:r>
      <w:r w:rsidRPr="006C501B">
        <w:rPr>
          <w:rFonts w:ascii="Garamond" w:hAnsi="Garamond" w:cs="Arial"/>
          <w:bCs/>
          <w:sz w:val="24"/>
          <w:szCs w:val="24"/>
          <w:lang w:val="en-IN"/>
        </w:rPr>
        <w:t xml:space="preserve">  social  cost  of  lost educational opportunities would have been catastrophic for a country like India in the absence of online teaching platforms.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Access to capital at reasonable cost in a timely manner is critical to address economic downturn.  Such  capital  is  required  not  only  by  existing  businesses,  but  also  by potential  entrepreneurs.  Naturally,  the  perceived  risk  of  investing  in  an  untested entrepreneur is far higher than that of investing in an established business, especially in  an  environment  of  unprecedented  uncertainty.  Further</w:t>
      </w:r>
      <w:r w:rsidR="004D4612" w:rsidRPr="006C501B">
        <w:rPr>
          <w:rFonts w:ascii="Garamond" w:hAnsi="Garamond" w:cs="Arial"/>
          <w:bCs/>
          <w:sz w:val="24"/>
          <w:szCs w:val="24"/>
          <w:lang w:val="en-IN"/>
        </w:rPr>
        <w:t>, existing companies in</w:t>
      </w:r>
      <w:r w:rsidRPr="006C501B">
        <w:rPr>
          <w:rFonts w:ascii="Garamond" w:hAnsi="Garamond" w:cs="Arial"/>
          <w:bCs/>
          <w:sz w:val="24"/>
          <w:szCs w:val="24"/>
          <w:lang w:val="en-IN"/>
        </w:rPr>
        <w:t xml:space="preserve"> financial distress found it difficult to raise funds, whether from banks or from market</w:t>
      </w:r>
      <w:r>
        <w:rPr>
          <w:rFonts w:ascii="Garamond" w:hAnsi="Garamond" w:cs="Arial"/>
          <w:bCs/>
          <w:sz w:val="24"/>
          <w:szCs w:val="24"/>
          <w:lang w:val="en-IN"/>
        </w:rPr>
        <w:t>.</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In the wake of pandemic, the Government as well as the regulators acted proactively and introduced various measures to stimulate economy and support growth. SEBI came out with a number of relaxations to facilitate fundraising by the corporates.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Some  of  the  policy  measures  for  equity  markets  include  dilution  of  lock-in requirements in public issues, shorter timelines for rights issues, dematerialization &amp; trading of Rights Entitlements on Stock Exchanges, relaxation to minimum public offer requirements for issuers with post issue market capitalization beyond INR 1 </w:t>
      </w:r>
      <w:r w:rsidR="00567A3B">
        <w:rPr>
          <w:rFonts w:ascii="Garamond" w:hAnsi="Garamond" w:cs="Arial"/>
          <w:bCs/>
          <w:sz w:val="24"/>
          <w:szCs w:val="24"/>
          <w:lang w:val="en-IN"/>
        </w:rPr>
        <w:t>lakh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etc.</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On the other hand, debt markets benefited from reforms such as removal of track record as a criterion for accessing the bond market, removal of limit on the number of issues through a shelf prospectus, introduction of Electronic Bidding Platform and Request for Quote Platform for improving transparency, reducing timelines for listing of privately placed debt securities, etc.</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Impact of these policy measures is reflected in the fundraising data. Indian securities market witnessed fund raising of nearly INR 10 </w:t>
      </w:r>
      <w:r w:rsidR="00567A3B">
        <w:rPr>
          <w:rFonts w:ascii="Garamond" w:hAnsi="Garamond" w:cs="Arial"/>
          <w:bCs/>
          <w:sz w:val="24"/>
          <w:szCs w:val="24"/>
          <w:lang w:val="en-IN"/>
        </w:rPr>
        <w:t>lakh</w:t>
      </w:r>
      <w:r w:rsidR="00567A3B"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00567A3B" w:rsidRPr="006C501B">
        <w:rPr>
          <w:rFonts w:ascii="Garamond" w:hAnsi="Garamond" w:cs="Arial"/>
          <w:bCs/>
          <w:sz w:val="24"/>
          <w:szCs w:val="24"/>
          <w:lang w:val="en-IN"/>
        </w:rPr>
        <w:t xml:space="preserve"> </w:t>
      </w:r>
      <w:r w:rsidRPr="006C501B">
        <w:rPr>
          <w:rFonts w:ascii="Garamond" w:hAnsi="Garamond" w:cs="Arial"/>
          <w:bCs/>
          <w:sz w:val="24"/>
          <w:szCs w:val="24"/>
          <w:lang w:val="en-IN"/>
        </w:rPr>
        <w:t>in both FY 2020 and 2021.</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Through public issues, rights issues and private placements, equity capital worth INR 3.06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and INR 2.29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respectively, was raised in FY 2020 and FY 2021. In this FY, the total equity capital raised through the securities market till January 31, 2022 is INR 2.17 </w:t>
      </w:r>
      <w:r w:rsidR="000654C7">
        <w:rPr>
          <w:rFonts w:ascii="Garamond" w:hAnsi="Garamond" w:cs="Arial"/>
          <w:bCs/>
          <w:sz w:val="24"/>
          <w:szCs w:val="24"/>
          <w:lang w:val="en-IN"/>
        </w:rPr>
        <w:t>l</w:t>
      </w:r>
      <w:r w:rsidR="00567A3B">
        <w:rPr>
          <w:rFonts w:ascii="Garamond" w:hAnsi="Garamond" w:cs="Arial"/>
          <w:bCs/>
          <w:sz w:val="24"/>
          <w:szCs w:val="24"/>
          <w:lang w:val="en-IN"/>
        </w:rPr>
        <w:t>akh</w:t>
      </w:r>
      <w:r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The Main Board witnessed 49 public issues and 31 rights issues, while the SME segments of Stock Exchanges brought in 53 public issues and 2 rights issues, for a total of INR 1.31 </w:t>
      </w:r>
      <w:r w:rsidR="00567A3B">
        <w:rPr>
          <w:rFonts w:ascii="Garamond" w:hAnsi="Garamond" w:cs="Arial"/>
          <w:bCs/>
          <w:sz w:val="24"/>
          <w:szCs w:val="24"/>
          <w:lang w:val="en-IN"/>
        </w:rPr>
        <w:t>lakh</w:t>
      </w:r>
      <w:r w:rsidR="00567A3B"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Another INR 86,000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was raised through private placements.</w:t>
      </w:r>
    </w:p>
    <w:p w:rsidR="006C501B" w:rsidRPr="006C501B" w:rsidRDefault="006C501B" w:rsidP="001441E6">
      <w:pPr>
        <w:pStyle w:val="ListParagraph"/>
        <w:jc w:val="both"/>
        <w:rPr>
          <w:rFonts w:ascii="Garamond" w:hAnsi="Garamond" w:cs="Arial"/>
          <w:bCs/>
          <w:sz w:val="24"/>
          <w:szCs w:val="24"/>
          <w:lang w:val="en-IN"/>
        </w:rPr>
      </w:pPr>
    </w:p>
    <w:p w:rsidR="006C501B" w:rsidRPr="004D4612"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Corporates raised debt worth INR 6.9 </w:t>
      </w:r>
      <w:r w:rsidR="000654C7">
        <w:rPr>
          <w:rFonts w:ascii="Garamond" w:hAnsi="Garamond" w:cs="Arial"/>
          <w:bCs/>
          <w:sz w:val="24"/>
          <w:szCs w:val="24"/>
          <w:lang w:val="en-IN"/>
        </w:rPr>
        <w:t>lakh</w:t>
      </w:r>
      <w:r w:rsidR="000654C7"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000654C7" w:rsidRPr="006C501B">
        <w:rPr>
          <w:rFonts w:ascii="Garamond" w:hAnsi="Garamond" w:cs="Arial"/>
          <w:bCs/>
          <w:sz w:val="24"/>
          <w:szCs w:val="24"/>
          <w:lang w:val="en-IN"/>
        </w:rPr>
        <w:t xml:space="preserve"> </w:t>
      </w:r>
      <w:r w:rsidRPr="006C501B">
        <w:rPr>
          <w:rFonts w:ascii="Garamond" w:hAnsi="Garamond" w:cs="Arial"/>
          <w:bCs/>
          <w:sz w:val="24"/>
          <w:szCs w:val="24"/>
          <w:lang w:val="en-IN"/>
        </w:rPr>
        <w:t xml:space="preserve">and INR 7.8 </w:t>
      </w:r>
      <w:r w:rsidR="000654C7">
        <w:rPr>
          <w:rFonts w:ascii="Garamond" w:hAnsi="Garamond" w:cs="Arial"/>
          <w:bCs/>
          <w:sz w:val="24"/>
          <w:szCs w:val="24"/>
          <w:lang w:val="en-IN"/>
        </w:rPr>
        <w:t>lakh</w:t>
      </w:r>
      <w:r w:rsidR="000654C7"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000654C7" w:rsidRPr="006C501B">
        <w:rPr>
          <w:rFonts w:ascii="Garamond" w:hAnsi="Garamond" w:cs="Arial"/>
          <w:bCs/>
          <w:sz w:val="24"/>
          <w:szCs w:val="24"/>
          <w:lang w:val="en-IN"/>
        </w:rPr>
        <w:t xml:space="preserve"> </w:t>
      </w:r>
      <w:r w:rsidRPr="006C501B">
        <w:rPr>
          <w:rFonts w:ascii="Garamond" w:hAnsi="Garamond" w:cs="Arial"/>
          <w:bCs/>
          <w:sz w:val="24"/>
          <w:szCs w:val="24"/>
          <w:lang w:val="en-IN"/>
        </w:rPr>
        <w:t xml:space="preserve">respectively through capital market, in FY 2020 and FY 2021. Till January 31, 2022 the corporate debt market has witnessed fund raising worth INR 4.7 </w:t>
      </w:r>
      <w:r w:rsidR="000654C7">
        <w:rPr>
          <w:rFonts w:ascii="Garamond" w:hAnsi="Garamond" w:cs="Arial"/>
          <w:bCs/>
          <w:sz w:val="24"/>
          <w:szCs w:val="24"/>
          <w:lang w:val="en-IN"/>
        </w:rPr>
        <w:t>lakh</w:t>
      </w:r>
      <w:r w:rsidR="000654C7"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004D4612">
        <w:rPr>
          <w:rFonts w:ascii="Garamond" w:hAnsi="Garamond" w:cs="Arial"/>
          <w:bCs/>
          <w:sz w:val="24"/>
          <w:szCs w:val="24"/>
          <w:lang w:val="en-IN"/>
        </w:rPr>
        <w:t>.</w:t>
      </w: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lastRenderedPageBreak/>
        <w:t>Not every company or promoter is positioned to easily raise funds by accessing the public markets; though their needs may be no less genuine or critical than those who access the public markets. As per the information published by DPIIT, India is home to more than 60,000 recognised startups.  These startups are expected to not only generate employment, but also to advance the country through technology revolution. Some of the areas identified by the Government where startups can have immense impact include Artificial Intelligence, Geospatial Systems and Drones, Green Energy, Clean Mobility Systems, etc.</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The traditional sources of capital raising such as bank loans are not easily accessible to  these  startups  as  they  are  often  asset  light  and  therefore,  unable  to  provide sufficient collateral as is typical for bank loans. Very often, timely availability of capital at reasonable cost is one of the most critical factors in the success story of a startup. SEBI registered Alternative Investment Funds (AIFs) have played a significant role as providers of capital to such startups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As on December 31, 2021 there were 824 AIFs registered with SEBI, with a total capital commitment of INR 6.09 </w:t>
      </w:r>
      <w:r w:rsidR="000654C7">
        <w:rPr>
          <w:rFonts w:ascii="Garamond" w:hAnsi="Garamond" w:cs="Arial"/>
          <w:bCs/>
          <w:sz w:val="24"/>
          <w:szCs w:val="24"/>
          <w:lang w:val="en-IN"/>
        </w:rPr>
        <w:t>lakh</w:t>
      </w:r>
      <w:r w:rsidR="000654C7"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000654C7" w:rsidRPr="006C501B">
        <w:rPr>
          <w:rFonts w:ascii="Garamond" w:hAnsi="Garamond" w:cs="Arial"/>
          <w:bCs/>
          <w:sz w:val="24"/>
          <w:szCs w:val="24"/>
          <w:lang w:val="en-IN"/>
        </w:rPr>
        <w:t xml:space="preserve"> </w:t>
      </w:r>
      <w:r w:rsidRPr="006C501B">
        <w:rPr>
          <w:rFonts w:ascii="Garamond" w:hAnsi="Garamond" w:cs="Arial"/>
          <w:bCs/>
          <w:sz w:val="24"/>
          <w:szCs w:val="24"/>
          <w:lang w:val="en-IN"/>
        </w:rPr>
        <w:t xml:space="preserve">and investments worth INR 2.67 </w:t>
      </w:r>
      <w:r w:rsidR="000654C7">
        <w:rPr>
          <w:rFonts w:ascii="Garamond" w:hAnsi="Garamond" w:cs="Arial"/>
          <w:bCs/>
          <w:sz w:val="24"/>
          <w:szCs w:val="24"/>
          <w:lang w:val="en-IN"/>
        </w:rPr>
        <w:t>lakh</w:t>
      </w:r>
      <w:r w:rsidR="000654C7"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The increasing popularity of AIFs as an investment vehicle is evident from the fact that 11 months of FY 2021-22 saw 125 new AIFs being registered as compared to 90 AIFs in FY 2020-21. Despite the ongoing concerns of Covid-19 pandemic, the industry raised commitments worth INR 81,000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in FY 2020-21 and a further INR 1.58 </w:t>
      </w:r>
      <w:r w:rsidR="000654C7">
        <w:rPr>
          <w:rFonts w:ascii="Garamond" w:hAnsi="Garamond" w:cs="Arial"/>
          <w:bCs/>
          <w:sz w:val="24"/>
          <w:szCs w:val="24"/>
          <w:lang w:val="en-IN"/>
        </w:rPr>
        <w:t>lakh</w:t>
      </w:r>
      <w:r w:rsidR="000654C7" w:rsidRPr="006C501B">
        <w:rPr>
          <w:rFonts w:ascii="Garamond" w:hAnsi="Garamond" w:cs="Arial"/>
          <w:bCs/>
          <w:sz w:val="24"/>
          <w:szCs w:val="24"/>
          <w:lang w:val="en-IN"/>
        </w:rPr>
        <w:t xml:space="preserve"> </w:t>
      </w:r>
      <w:r w:rsidR="000654C7">
        <w:rPr>
          <w:rFonts w:ascii="Garamond" w:hAnsi="Garamond" w:cs="Arial"/>
          <w:bCs/>
          <w:sz w:val="24"/>
          <w:szCs w:val="24"/>
          <w:lang w:val="en-IN"/>
        </w:rPr>
        <w:t>crore</w:t>
      </w:r>
      <w:r w:rsidR="000654C7" w:rsidRPr="006C501B">
        <w:rPr>
          <w:rFonts w:ascii="Garamond" w:hAnsi="Garamond" w:cs="Arial"/>
          <w:bCs/>
          <w:sz w:val="24"/>
          <w:szCs w:val="24"/>
          <w:lang w:val="en-IN"/>
        </w:rPr>
        <w:t xml:space="preserve"> </w:t>
      </w:r>
      <w:r w:rsidRPr="006C501B">
        <w:rPr>
          <w:rFonts w:ascii="Garamond" w:hAnsi="Garamond" w:cs="Arial"/>
          <w:bCs/>
          <w:sz w:val="24"/>
          <w:szCs w:val="24"/>
          <w:lang w:val="en-IN"/>
        </w:rPr>
        <w:t>in the current FY, till December quarter.</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Venture Capital Funds, a sub category of Category I AIFs which are set up to invest primarily in unlisted securities of start-ups, emerging or early-stage venture capital undertakings, numbered 145 as on December 31, 2021 and have together invested over INR 14,000 </w:t>
      </w:r>
      <w:r w:rsidR="000654C7">
        <w:rPr>
          <w:rFonts w:ascii="Garamond" w:hAnsi="Garamond" w:cs="Arial"/>
          <w:bCs/>
          <w:sz w:val="24"/>
          <w:szCs w:val="24"/>
          <w:lang w:val="en-IN"/>
        </w:rPr>
        <w:t>crore</w:t>
      </w:r>
      <w:r w:rsidRPr="006C501B">
        <w:rPr>
          <w:rFonts w:ascii="Garamond" w:hAnsi="Garamond" w:cs="Arial"/>
          <w:bCs/>
          <w:sz w:val="24"/>
          <w:szCs w:val="24"/>
          <w:lang w:val="en-IN"/>
        </w:rPr>
        <w:t xml:space="preserve"> in our economy. To facilitate greater amounts of investments by AIFs in startups, one of the recent measures undertaken by SEBI was to align the definition of startups under the AIF regulatory framework with that specified by DPIIT.</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The distress in economy in the aftermath of pandemic has touched more than just startups and businesses seeking public funding. Bad loans have been a burden on the formal banking system for some years now.</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While the country is charting out a plan of economic recovery it is imperative that the capital  of  Banks,  NBFCs,  etc.  </w:t>
      </w:r>
      <w:r w:rsidR="005D3A87" w:rsidRPr="006C501B">
        <w:rPr>
          <w:rFonts w:ascii="Garamond" w:hAnsi="Garamond" w:cs="Arial"/>
          <w:bCs/>
          <w:sz w:val="24"/>
          <w:szCs w:val="24"/>
          <w:lang w:val="en-IN"/>
        </w:rPr>
        <w:t>locked in</w:t>
      </w:r>
      <w:r w:rsidRPr="006C501B">
        <w:rPr>
          <w:rFonts w:ascii="Garamond" w:hAnsi="Garamond" w:cs="Arial"/>
          <w:bCs/>
          <w:sz w:val="24"/>
          <w:szCs w:val="24"/>
          <w:lang w:val="en-IN"/>
        </w:rPr>
        <w:t xml:space="preserve">  stressed  loans  be  released  and  made available for lending to the desired sectors. To aid in this endeavor, SEBI recently introduced the framework for a new sub category of AIFs termed “special situation funds” (SSFs) which are permitted to buy stressed loans from Banks and NBFCs. The regulatory framework for SSFs has been developed keeping in mind the unique challenges faced by SSFs in restructuring or turning around businesses.</w:t>
      </w:r>
    </w:p>
    <w:p w:rsidR="006C501B" w:rsidRPr="006C501B" w:rsidRDefault="006C501B" w:rsidP="001441E6">
      <w:pPr>
        <w:pStyle w:val="ListParagraph"/>
        <w:jc w:val="both"/>
        <w:rPr>
          <w:rFonts w:ascii="Garamond" w:hAnsi="Garamond" w:cs="Arial"/>
          <w:bCs/>
          <w:sz w:val="24"/>
          <w:szCs w:val="24"/>
          <w:lang w:val="en-IN"/>
        </w:rPr>
      </w:pPr>
    </w:p>
    <w:p w:rsidR="001441E6" w:rsidRPr="004D4612"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Traditionally, the markets’ focus is on businesses and entrepreneurs who raise funds for commercial purposes. However, there are a number of NGOs, philanthropists, social enterprises, etc. which work towards the social welfare of the underserved or less  privileged  population.  A  reliable,  transparent  platform  for  raising  funds  for projects aimed at social welfare can go a long way in helping these stakeholders. The proposed  Social  Stock  Exchange,  a  platform  for  listing  social  enterprises  and voluntary organizations so that they can raise capital, is a step in this direction. The broad framework for introducing Social Stock Exchange as a separate segment under the existing </w:t>
      </w:r>
      <w:r w:rsidRPr="006C501B">
        <w:rPr>
          <w:rFonts w:ascii="Garamond" w:hAnsi="Garamond" w:cs="Arial"/>
          <w:bCs/>
          <w:sz w:val="24"/>
          <w:szCs w:val="24"/>
          <w:lang w:val="en-IN"/>
        </w:rPr>
        <w:lastRenderedPageBreak/>
        <w:t>stock exchanges has recently been approved by the SEBI Board. We are in the process of notifying the detailed modalities in this regard.</w:t>
      </w:r>
    </w:p>
    <w:p w:rsidR="001441E6" w:rsidRPr="001441E6" w:rsidRDefault="001441E6" w:rsidP="001441E6">
      <w:pPr>
        <w:jc w:val="both"/>
        <w:rPr>
          <w:rFonts w:ascii="Garamond" w:hAnsi="Garamond" w:cs="Arial"/>
          <w:b/>
          <w:lang w:val="en-IN"/>
        </w:rPr>
      </w:pPr>
      <w:r>
        <w:rPr>
          <w:rFonts w:ascii="Garamond" w:hAnsi="Garamond" w:cs="Arial"/>
          <w:bCs/>
          <w:lang w:val="en-IN"/>
        </w:rPr>
        <w:t xml:space="preserve">      </w:t>
      </w:r>
      <w:r w:rsidRPr="001441E6">
        <w:rPr>
          <w:rFonts w:ascii="Garamond" w:hAnsi="Garamond" w:cs="Arial"/>
          <w:b/>
          <w:lang w:val="en-IN"/>
        </w:rPr>
        <w:t>Challenges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While a lot has been done, the journey to economic recovery remains riddled with challenges.  Let us take a look at some of the key challenges for the capital markets.</w:t>
      </w:r>
    </w:p>
    <w:p w:rsidR="006C501B" w:rsidRPr="006C501B" w:rsidRDefault="006C501B" w:rsidP="001441E6">
      <w:pPr>
        <w:pStyle w:val="ListParagraph"/>
        <w:jc w:val="both"/>
        <w:rPr>
          <w:rFonts w:ascii="Garamond" w:hAnsi="Garamond" w:cs="Arial"/>
          <w:bCs/>
          <w:sz w:val="24"/>
          <w:szCs w:val="24"/>
          <w:lang w:val="en-IN"/>
        </w:rPr>
      </w:pPr>
    </w:p>
    <w:p w:rsidR="006C501B" w:rsidRDefault="006C501B" w:rsidP="00223C98">
      <w:pPr>
        <w:pStyle w:val="ListParagraph"/>
        <w:numPr>
          <w:ilvl w:val="0"/>
          <w:numId w:val="14"/>
        </w:numPr>
        <w:jc w:val="both"/>
        <w:rPr>
          <w:rFonts w:ascii="Garamond" w:hAnsi="Garamond" w:cs="Arial"/>
          <w:bCs/>
          <w:sz w:val="24"/>
          <w:szCs w:val="24"/>
          <w:lang w:val="en-IN"/>
        </w:rPr>
      </w:pPr>
      <w:r w:rsidRPr="006C501B">
        <w:rPr>
          <w:rFonts w:ascii="Garamond" w:hAnsi="Garamond" w:cs="Arial"/>
          <w:bCs/>
          <w:sz w:val="24"/>
          <w:szCs w:val="24"/>
          <w:lang w:val="en-IN"/>
        </w:rPr>
        <w:t xml:space="preserve">To begin with, we are witnessing the increasing trend of New Age Tech Companies (NATCs) accessing public markets. In the current financial year, NATCs through IPOs have raised approximately INR 43,283 </w:t>
      </w:r>
      <w:r w:rsidR="005D3A87">
        <w:rPr>
          <w:rFonts w:ascii="Garamond" w:hAnsi="Garamond" w:cs="Arial"/>
          <w:bCs/>
          <w:sz w:val="24"/>
          <w:szCs w:val="24"/>
          <w:lang w:val="en-IN"/>
        </w:rPr>
        <w:t>c</w:t>
      </w:r>
      <w:r w:rsidR="000654C7">
        <w:rPr>
          <w:rFonts w:ascii="Garamond" w:hAnsi="Garamond" w:cs="Arial"/>
          <w:bCs/>
          <w:sz w:val="24"/>
          <w:szCs w:val="24"/>
          <w:lang w:val="en-IN"/>
        </w:rPr>
        <w:t>rore</w:t>
      </w:r>
      <w:r w:rsidRPr="006C501B">
        <w:rPr>
          <w:rFonts w:ascii="Garamond" w:hAnsi="Garamond" w:cs="Arial"/>
          <w:bCs/>
          <w:sz w:val="24"/>
          <w:szCs w:val="24"/>
          <w:lang w:val="en-IN"/>
        </w:rPr>
        <w:t xml:space="preserve"> till date. Out of these, no less than 85% of the issuer companies were backed by Private Equity investors and all of such issues also had an offer for sale (OFS) component. Appropriateness of valuation of these companies is a matter of intense debate among stakeholders these days.</w:t>
      </w:r>
    </w:p>
    <w:p w:rsidR="006C501B" w:rsidRPr="006C501B" w:rsidRDefault="006C501B" w:rsidP="001441E6">
      <w:pPr>
        <w:pStyle w:val="ListParagraph"/>
        <w:jc w:val="both"/>
        <w:rPr>
          <w:rFonts w:ascii="Garamond" w:hAnsi="Garamond" w:cs="Arial"/>
          <w:bCs/>
          <w:sz w:val="24"/>
          <w:szCs w:val="24"/>
          <w:lang w:val="en-IN"/>
        </w:rPr>
      </w:pPr>
    </w:p>
    <w:p w:rsidR="006C501B"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 xml:space="preserve">At the time of accessing the capital markets, these companies are generally loss making as they prefer gaining scale over profits in their growth phase. The traditional parameters required to be disclosed in offer document, i.e., the financial ratios, are typically descriptive of profit making companies. Globally, valuation of such NATCs is generally determined on the basis of additional factors – trends in Key Performance Indicators (KPIs) and their comparison with peers, valuation at earlier funding rounds, market conditions etc.  Disclosure of additional parameters will aid investors in making investment decisions in NATCs.  SEBI has come out with a public consultation paper on strengthening the disclosure requirements in offer documents so as to ensure that rationale  adopted  by  issuers  for  valuation  is  transparently  known  to  market  and investors  are  able  to  take  more  informed  investment  decisions.  </w:t>
      </w:r>
      <w:r w:rsidR="004D4612" w:rsidRPr="001441E6">
        <w:rPr>
          <w:rFonts w:ascii="Garamond" w:hAnsi="Garamond" w:cs="Arial"/>
          <w:bCs/>
          <w:sz w:val="24"/>
          <w:szCs w:val="24"/>
          <w:lang w:val="en-IN"/>
        </w:rPr>
        <w:t>Research on</w:t>
      </w:r>
      <w:r w:rsidRPr="001441E6">
        <w:rPr>
          <w:rFonts w:ascii="Garamond" w:hAnsi="Garamond" w:cs="Arial"/>
          <w:bCs/>
          <w:sz w:val="24"/>
          <w:szCs w:val="24"/>
          <w:lang w:val="en-IN"/>
        </w:rPr>
        <w:t xml:space="preserve"> identifying material KPIs and developing valuation models for NATCs could be very useful.</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 xml:space="preserve">Next is the flourishing landscape of ESG investments. According to Bloomberg, global issuance of all sustainable debt in calendar year 2021 was over USD 1.6 Trillion, more than double the previous year’s figure of USD 763 </w:t>
      </w:r>
      <w:r w:rsidR="000654C7">
        <w:rPr>
          <w:rFonts w:ascii="Garamond" w:hAnsi="Garamond" w:cs="Arial"/>
          <w:bCs/>
          <w:sz w:val="24"/>
          <w:szCs w:val="24"/>
          <w:lang w:val="en-IN"/>
        </w:rPr>
        <w:t>b</w:t>
      </w:r>
      <w:r w:rsidRPr="001441E6">
        <w:rPr>
          <w:rFonts w:ascii="Garamond" w:hAnsi="Garamond" w:cs="Arial"/>
          <w:bCs/>
          <w:sz w:val="24"/>
          <w:szCs w:val="24"/>
          <w:lang w:val="en-IN"/>
        </w:rPr>
        <w:t xml:space="preserve">illion. In India, Mutual Funds have been launching equity schemes in the ESG space under thematic category. The Mutual Funds are also launching Exchange Traded Funds (ETFs) and ETF Fund of Funds in ESG space. As on January 31, 2022, there were 10 mutual fund schemes in India having ESG as their theme with assets under management of over INR 12,000 </w:t>
      </w:r>
      <w:r w:rsidR="000654C7">
        <w:rPr>
          <w:rFonts w:ascii="Garamond" w:hAnsi="Garamond" w:cs="Arial"/>
          <w:bCs/>
          <w:sz w:val="24"/>
          <w:szCs w:val="24"/>
          <w:lang w:val="en-IN"/>
        </w:rPr>
        <w:t>crore</w:t>
      </w:r>
      <w:r w:rsidRPr="001441E6">
        <w:rPr>
          <w:rFonts w:ascii="Garamond" w:hAnsi="Garamond" w:cs="Arial"/>
          <w:bCs/>
          <w:sz w:val="24"/>
          <w:szCs w:val="24"/>
          <w:lang w:val="en-IN"/>
        </w:rPr>
        <w:t xml:space="preserve">. In the last 5 years, under the framework for issuance of Green Debt Securities, 10 issues have together mobilized about INR 3,100 </w:t>
      </w:r>
      <w:r w:rsidR="000654C7">
        <w:rPr>
          <w:rFonts w:ascii="Garamond" w:hAnsi="Garamond" w:cs="Arial"/>
          <w:bCs/>
          <w:sz w:val="24"/>
          <w:szCs w:val="24"/>
          <w:lang w:val="en-IN"/>
        </w:rPr>
        <w:t>crore</w:t>
      </w:r>
      <w:r w:rsidRPr="001441E6">
        <w:rPr>
          <w:rFonts w:ascii="Garamond" w:hAnsi="Garamond" w:cs="Arial"/>
          <w:bCs/>
          <w:sz w:val="24"/>
          <w:szCs w:val="24"/>
          <w:lang w:val="en-IN"/>
        </w:rPr>
        <w:t xml:space="preserve"> for exclusively financing projects in areas such as renewable and sustainable energy, low carbon transport modes, sustainable land use, etc.</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Academia would tell us that “Environment, Social, Governance” norms are meant to guide  stakeholders  in  economic  activity  to  adopt  practices  and  policies  that  are intended to create long term, sustainable benefits to all stakeholders. However, a universally accepted matrix for ESG norms is still a work in progress. Despite the absence of uniform ESG evaluation matrices, vast amounts of funds are being raised by professional fund managers and corporations to invest in projects and initiatives that purportedly are ESG compliant.</w:t>
      </w:r>
    </w:p>
    <w:p w:rsidR="004D4612" w:rsidRPr="004D4612" w:rsidRDefault="004D4612" w:rsidP="004D4612">
      <w:pPr>
        <w:pStyle w:val="ListParagraph"/>
        <w:rPr>
          <w:rFonts w:ascii="Garamond" w:hAnsi="Garamond" w:cs="Arial"/>
          <w:bCs/>
          <w:sz w:val="24"/>
          <w:szCs w:val="24"/>
          <w:lang w:val="en-IN"/>
        </w:rPr>
      </w:pPr>
    </w:p>
    <w:p w:rsidR="004D4612" w:rsidRPr="004D4612" w:rsidRDefault="004D4612" w:rsidP="004D4612">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lastRenderedPageBreak/>
        <w:t>In the listed space, SEBI has attempted to provide a uniform standard for disclosures that have a bearing on ESG evaluation by prescribing the Business Responsibility and Sustainability Report (BRSR) in May 2021. BRSR requires listed companies to make disclosures related to nine principles covering both environment and social aspects such as climate action, responsible consumption and production, gender equality, working conditions, etc. The BRSR is applicable to top 1,000 listed entities by capitalisation, for reporting on a voluntary basis for 2021-22 and on mandatory basis from 2022-23 onwards. This is with a view that investors in listed companies have some means to assess ESG risks and opportunities for these companies.</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Then we come to ESG rating providers and data providers. As of now, the ESG rating space in India is unregulated. The rating methodologies are often not transparent. Further, ESG ratings or scores of a company may vary significantly across different rating providers as rating providers use varied evaluation matrices. Considering the significance of ESG ratings in the investment ecosystem, SEBI has recently come out with a consultation paper on ESG rating providers. SEBI will take a view in this regard after evaluating all stakeholders’ inputs. That said, a lot more work is required before we can put in place a comprehensive framework that deals with all aspects of ESG and related issues.</w:t>
      </w:r>
    </w:p>
    <w:p w:rsidR="001441E6" w:rsidRPr="001441E6" w:rsidRDefault="001441E6" w:rsidP="001441E6">
      <w:pPr>
        <w:pStyle w:val="ListParagraph"/>
        <w:jc w:val="both"/>
        <w:rPr>
          <w:rFonts w:ascii="Garamond" w:hAnsi="Garamond" w:cs="Arial"/>
          <w:bCs/>
          <w:sz w:val="24"/>
          <w:szCs w:val="24"/>
          <w:lang w:val="en-IN"/>
        </w:rPr>
      </w:pPr>
    </w:p>
    <w:p w:rsidR="001441E6" w:rsidRPr="004D4612"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The ‘Innovators Growth Platform’ (IGP) of the Stock Exchanges provide the means for  listing  of  issuers  which  are  intensive  in  the  use  of  technology,  information technology, intellectual property, data analytics, bio-technology or nanotechnology to provide products, services or business platforms with substantial value addition. It is expected that IGP would provide ready liquidity, secondary market exits and value unlocking for the investors. Considering the growing number of startups and the growth conducive environment being created for them by both the Government and regulators, SEBI has recently introduced certain reforms in the IGP framework with a view to revitalize the platform. The SME Segment is also another space which has great potential, but not utilized to the expected level. A better understanding of the requirements of and challenges faced, by the investors and the issuer companies, may help to reform these platforms, to reach their true potential.</w:t>
      </w:r>
    </w:p>
    <w:p w:rsidR="001441E6" w:rsidRPr="001441E6" w:rsidRDefault="001441E6" w:rsidP="001441E6">
      <w:pPr>
        <w:jc w:val="both"/>
        <w:rPr>
          <w:rFonts w:ascii="Garamond" w:hAnsi="Garamond" w:cs="Arial"/>
          <w:b/>
          <w:lang w:val="en-IN"/>
        </w:rPr>
      </w:pPr>
      <w:r>
        <w:rPr>
          <w:rFonts w:ascii="Garamond" w:hAnsi="Garamond" w:cs="Arial"/>
          <w:bCs/>
          <w:lang w:val="en-IN"/>
        </w:rPr>
        <w:t xml:space="preserve">      </w:t>
      </w:r>
      <w:r w:rsidRPr="001441E6">
        <w:rPr>
          <w:rFonts w:ascii="Garamond" w:hAnsi="Garamond" w:cs="Arial"/>
          <w:b/>
          <w:lang w:val="en-IN"/>
        </w:rPr>
        <w:t>Concluding Remarks</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While many economies around the globe continue to reel under the aftershocks of Covid, India’s journey of economic recovery is a testament of the timely and well-coordinated  efforts  of  the  Government  and  Regulators,  ably  supported  by  the relentless spirit of her citizens. Market Infrastructure Institutions and intermediaries ensured that the capital market performed at no less level than its best during the turbulent times.</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That said, the journey of economic recovery is challenging. Keen minds and sharp intellect  directed  towards  identifying  the  problems  in  the  system  and  developing solutions to address the same are the need of the hour. I have only enumerated a few of the challenges faced by our market. They are many more</w:t>
      </w:r>
      <w:r>
        <w:rPr>
          <w:rFonts w:ascii="Garamond" w:hAnsi="Garamond" w:cs="Arial"/>
          <w:bCs/>
          <w:sz w:val="24"/>
          <w:szCs w:val="24"/>
          <w:lang w:val="en-IN"/>
        </w:rPr>
        <w:t>.</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223C98">
      <w:pPr>
        <w:pStyle w:val="ListParagraph"/>
        <w:numPr>
          <w:ilvl w:val="0"/>
          <w:numId w:val="14"/>
        </w:numPr>
        <w:jc w:val="both"/>
        <w:rPr>
          <w:rFonts w:ascii="Garamond" w:hAnsi="Garamond" w:cs="Arial"/>
          <w:bCs/>
          <w:sz w:val="24"/>
          <w:szCs w:val="24"/>
          <w:lang w:val="en-IN"/>
        </w:rPr>
      </w:pPr>
      <w:r w:rsidRPr="001441E6">
        <w:rPr>
          <w:rFonts w:ascii="Garamond" w:hAnsi="Garamond" w:cs="Arial"/>
          <w:bCs/>
          <w:sz w:val="24"/>
          <w:szCs w:val="24"/>
          <w:lang w:val="en-IN"/>
        </w:rPr>
        <w:t xml:space="preserve">No doubt, many of the research papers being discussed in this conference would bring  out  valuable  inputs  for  SEBI  and  the  market  participants.  I  hope  that  this Research Conference encourages </w:t>
      </w:r>
      <w:r w:rsidRPr="001441E6">
        <w:rPr>
          <w:rFonts w:ascii="Garamond" w:hAnsi="Garamond" w:cs="Arial"/>
          <w:bCs/>
          <w:sz w:val="24"/>
          <w:szCs w:val="24"/>
          <w:lang w:val="en-IN"/>
        </w:rPr>
        <w:lastRenderedPageBreak/>
        <w:t>more and more of our scholars to direct their research  potential  towards  issues  relevant  to  the  growth  of  our  economy  and particularly, the securities market.</w:t>
      </w:r>
    </w:p>
    <w:p w:rsidR="001441E6" w:rsidRPr="001441E6" w:rsidRDefault="001441E6" w:rsidP="001441E6">
      <w:pPr>
        <w:pStyle w:val="ListParagraph"/>
        <w:jc w:val="both"/>
        <w:rPr>
          <w:rFonts w:ascii="Garamond" w:hAnsi="Garamond" w:cs="Arial"/>
          <w:bCs/>
          <w:sz w:val="24"/>
          <w:szCs w:val="24"/>
          <w:lang w:val="en-IN"/>
        </w:rPr>
      </w:pPr>
    </w:p>
    <w:p w:rsidR="001441E6" w:rsidRDefault="001441E6" w:rsidP="001441E6">
      <w:pPr>
        <w:pStyle w:val="ListParagraph"/>
        <w:jc w:val="both"/>
        <w:rPr>
          <w:rFonts w:ascii="Garamond" w:hAnsi="Garamond" w:cs="Arial"/>
          <w:bCs/>
          <w:sz w:val="24"/>
          <w:szCs w:val="24"/>
          <w:lang w:val="en-IN"/>
        </w:rPr>
      </w:pPr>
      <w:r w:rsidRPr="001441E6">
        <w:rPr>
          <w:rFonts w:ascii="Garamond" w:hAnsi="Garamond" w:cs="Arial"/>
          <w:bCs/>
          <w:sz w:val="24"/>
          <w:szCs w:val="24"/>
          <w:lang w:val="en-IN"/>
        </w:rPr>
        <w:t xml:space="preserve">I wish the participants all the very best.  </w:t>
      </w:r>
    </w:p>
    <w:p w:rsidR="001441E6" w:rsidRDefault="001441E6" w:rsidP="001441E6">
      <w:pPr>
        <w:pStyle w:val="ListParagraph"/>
        <w:jc w:val="both"/>
        <w:rPr>
          <w:rFonts w:ascii="Garamond" w:hAnsi="Garamond" w:cs="Arial"/>
          <w:bCs/>
          <w:sz w:val="24"/>
          <w:szCs w:val="24"/>
          <w:lang w:val="en-IN"/>
        </w:rPr>
      </w:pPr>
    </w:p>
    <w:p w:rsidR="001441E6" w:rsidRPr="001441E6" w:rsidRDefault="001441E6" w:rsidP="001441E6">
      <w:pPr>
        <w:pStyle w:val="ListParagraph"/>
        <w:jc w:val="both"/>
        <w:rPr>
          <w:rFonts w:ascii="Garamond" w:hAnsi="Garamond" w:cs="Arial"/>
          <w:bCs/>
          <w:sz w:val="24"/>
          <w:szCs w:val="24"/>
          <w:lang w:val="en-IN"/>
        </w:rPr>
      </w:pPr>
      <w:r w:rsidRPr="001441E6">
        <w:rPr>
          <w:rFonts w:ascii="Garamond" w:hAnsi="Garamond" w:cs="Arial"/>
          <w:bCs/>
          <w:sz w:val="24"/>
          <w:szCs w:val="24"/>
          <w:lang w:val="en-IN"/>
        </w:rPr>
        <w:t>Thank you</w:t>
      </w:r>
      <w:r>
        <w:rPr>
          <w:rFonts w:ascii="Garamond" w:hAnsi="Garamond" w:cs="Arial"/>
          <w:bCs/>
          <w:sz w:val="24"/>
          <w:szCs w:val="24"/>
          <w:lang w:val="en-IN"/>
        </w:rPr>
        <w:t>.</w:t>
      </w:r>
    </w:p>
    <w:p w:rsidR="00A331B8" w:rsidRDefault="00A331B8" w:rsidP="00481098">
      <w:pPr>
        <w:rPr>
          <w:rFonts w:ascii="Garamond" w:hAnsi="Garamond" w:cs="Arial"/>
          <w:bCs/>
          <w:lang w:val="en-IN"/>
        </w:rPr>
      </w:pPr>
    </w:p>
    <w:p w:rsidR="00A331B8" w:rsidRDefault="00A331B8" w:rsidP="00481098">
      <w:pPr>
        <w:rPr>
          <w:rFonts w:ascii="Garamond" w:hAnsi="Garamond" w:cs="Arial"/>
          <w:bCs/>
          <w:lang w:val="en-IN"/>
        </w:rPr>
      </w:pPr>
    </w:p>
    <w:p w:rsidR="00A331B8" w:rsidRDefault="00A331B8" w:rsidP="00481098">
      <w:pPr>
        <w:rPr>
          <w:rFonts w:ascii="Garamond" w:hAnsi="Garamond" w:cs="Arial"/>
          <w:bCs/>
          <w:lang w:val="en-IN"/>
        </w:rPr>
      </w:pPr>
    </w:p>
    <w:p w:rsidR="00A331B8" w:rsidRDefault="00A331B8" w:rsidP="00481098">
      <w:pPr>
        <w:rPr>
          <w:rFonts w:ascii="Garamond" w:hAnsi="Garamond" w:cs="Arial"/>
          <w:bCs/>
          <w:lang w:val="en-IN"/>
        </w:rPr>
      </w:pPr>
    </w:p>
    <w:p w:rsidR="008F041A" w:rsidRDefault="008F041A" w:rsidP="008F041A">
      <w:pPr>
        <w:outlineLvl w:val="0"/>
        <w:rPr>
          <w:rFonts w:ascii="Garamond" w:hAnsi="Garamond" w:cs="Arial"/>
          <w:bCs/>
          <w:lang w:val="en-IN"/>
        </w:rPr>
      </w:pPr>
    </w:p>
    <w:p w:rsidR="00A76333" w:rsidRDefault="00A76333" w:rsidP="008F041A">
      <w:pPr>
        <w:jc w:val="center"/>
        <w:outlineLvl w:val="0"/>
        <w:rPr>
          <w:rFonts w:ascii="Garamond" w:hAnsi="Garamond" w:cs="Helvetica"/>
          <w:b/>
          <w:color w:val="1F4E79" w:themeColor="accent1" w:themeShade="80"/>
          <w:sz w:val="28"/>
          <w:szCs w:val="28"/>
        </w:rPr>
      </w:pPr>
    </w:p>
    <w:p w:rsidR="00A76333" w:rsidRDefault="00A76333" w:rsidP="008F041A">
      <w:pPr>
        <w:jc w:val="center"/>
        <w:outlineLvl w:val="0"/>
        <w:rPr>
          <w:rFonts w:ascii="Garamond" w:hAnsi="Garamond" w:cs="Helvetica"/>
          <w:b/>
          <w:color w:val="1F4E79" w:themeColor="accent1" w:themeShade="80"/>
          <w:sz w:val="28"/>
          <w:szCs w:val="28"/>
        </w:rPr>
      </w:pPr>
    </w:p>
    <w:p w:rsidR="00A76333" w:rsidRDefault="00A76333" w:rsidP="008F041A">
      <w:pPr>
        <w:jc w:val="center"/>
        <w:outlineLvl w:val="0"/>
        <w:rPr>
          <w:rFonts w:ascii="Garamond" w:hAnsi="Garamond" w:cs="Helvetica"/>
          <w:b/>
          <w:color w:val="1F4E79" w:themeColor="accent1" w:themeShade="80"/>
          <w:sz w:val="28"/>
          <w:szCs w:val="28"/>
        </w:rPr>
      </w:pPr>
    </w:p>
    <w:p w:rsidR="00A76333" w:rsidRDefault="00A76333" w:rsidP="008F041A">
      <w:pPr>
        <w:jc w:val="center"/>
        <w:outlineLvl w:val="0"/>
        <w:rPr>
          <w:rFonts w:ascii="Garamond" w:hAnsi="Garamond" w:cs="Helvetica"/>
          <w:b/>
          <w:color w:val="1F4E79" w:themeColor="accent1" w:themeShade="80"/>
          <w:sz w:val="28"/>
          <w:szCs w:val="28"/>
        </w:rPr>
      </w:pPr>
    </w:p>
    <w:p w:rsidR="00A76333" w:rsidRDefault="00A76333"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994AFC" w:rsidRDefault="00994AFC" w:rsidP="006C68FF">
      <w:pPr>
        <w:outlineLvl w:val="0"/>
        <w:rPr>
          <w:rFonts w:ascii="Garamond" w:hAnsi="Garamond" w:cs="Helvetica"/>
          <w:b/>
          <w:color w:val="1F4E79" w:themeColor="accent1" w:themeShade="80"/>
          <w:sz w:val="28"/>
          <w:szCs w:val="28"/>
        </w:rPr>
      </w:pPr>
    </w:p>
    <w:p w:rsidR="00994AFC" w:rsidRDefault="00994AFC" w:rsidP="008F041A">
      <w:pPr>
        <w:jc w:val="center"/>
        <w:outlineLvl w:val="0"/>
        <w:rPr>
          <w:rFonts w:ascii="Garamond" w:hAnsi="Garamond" w:cs="Helvetica"/>
          <w:b/>
          <w:color w:val="1F4E79" w:themeColor="accent1" w:themeShade="80"/>
          <w:sz w:val="28"/>
          <w:szCs w:val="28"/>
        </w:rPr>
      </w:pPr>
    </w:p>
    <w:p w:rsidR="004D4612" w:rsidRDefault="004D4612" w:rsidP="008F041A">
      <w:pPr>
        <w:jc w:val="center"/>
        <w:outlineLvl w:val="0"/>
        <w:rPr>
          <w:rFonts w:ascii="Garamond" w:hAnsi="Garamond" w:cs="Helvetica"/>
          <w:b/>
          <w:color w:val="1F4E79" w:themeColor="accent1" w:themeShade="80"/>
          <w:sz w:val="28"/>
          <w:szCs w:val="28"/>
        </w:rPr>
      </w:pPr>
    </w:p>
    <w:p w:rsidR="004D4612" w:rsidRDefault="004D4612" w:rsidP="008F041A">
      <w:pPr>
        <w:jc w:val="center"/>
        <w:outlineLvl w:val="0"/>
        <w:rPr>
          <w:rFonts w:ascii="Garamond" w:hAnsi="Garamond" w:cs="Helvetica"/>
          <w:b/>
          <w:color w:val="1F4E79" w:themeColor="accent1" w:themeShade="80"/>
          <w:sz w:val="28"/>
          <w:szCs w:val="28"/>
        </w:rPr>
      </w:pPr>
    </w:p>
    <w:p w:rsidR="006A6CB3" w:rsidRPr="00C4512E" w:rsidRDefault="006A6CB3" w:rsidP="008F041A">
      <w:pPr>
        <w:jc w:val="center"/>
        <w:outlineLvl w:val="0"/>
        <w:rPr>
          <w:rFonts w:ascii="Garamond" w:hAnsi="Garamond" w:cs="Helvetica"/>
          <w:b/>
          <w:color w:val="1F4E79" w:themeColor="accent1" w:themeShade="80"/>
          <w:sz w:val="28"/>
          <w:szCs w:val="28"/>
        </w:rPr>
      </w:pPr>
      <w:r w:rsidRPr="00C4512E">
        <w:rPr>
          <w:rFonts w:ascii="Garamond" w:hAnsi="Garamond" w:cs="Helvetica"/>
          <w:b/>
          <w:color w:val="1F4E79" w:themeColor="accent1" w:themeShade="80"/>
          <w:sz w:val="28"/>
          <w:szCs w:val="28"/>
        </w:rPr>
        <w:lastRenderedPageBreak/>
        <w:t>CAPITAL MARKET REVIEW</w:t>
      </w:r>
    </w:p>
    <w:p w:rsidR="006A6CB3" w:rsidRPr="00C4512E" w:rsidRDefault="006A6CB3" w:rsidP="006A6CB3">
      <w:pPr>
        <w:jc w:val="center"/>
        <w:outlineLvl w:val="0"/>
        <w:rPr>
          <w:rFonts w:ascii="Garamond" w:hAnsi="Garamond" w:cs="Helvetica"/>
          <w:b/>
          <w:color w:val="1F4E79" w:themeColor="accent1" w:themeShade="80"/>
        </w:rPr>
      </w:pPr>
    </w:p>
    <w:p w:rsidR="006A6CB3" w:rsidRPr="006A6CB3" w:rsidRDefault="006A6CB3" w:rsidP="006A6CB3">
      <w:pPr>
        <w:widowControl w:val="0"/>
        <w:ind w:left="-284"/>
        <w:jc w:val="both"/>
        <w:rPr>
          <w:rFonts w:ascii="Garamond" w:hAnsi="Garamond"/>
          <w:b/>
          <w:color w:val="0F0684"/>
        </w:rPr>
      </w:pPr>
    </w:p>
    <w:p w:rsidR="00567A3B" w:rsidRPr="00891713" w:rsidRDefault="00567A3B" w:rsidP="00567A3B">
      <w:pPr>
        <w:widowControl w:val="0"/>
        <w:numPr>
          <w:ilvl w:val="0"/>
          <w:numId w:val="2"/>
        </w:numPr>
        <w:spacing w:line="276" w:lineRule="auto"/>
        <w:ind w:left="454" w:hanging="454"/>
        <w:rPr>
          <w:rFonts w:ascii="Garamond" w:eastAsia="Palatino Linotype" w:hAnsi="Garamond" w:cs="Palatino Linotype"/>
          <w:b/>
        </w:rPr>
      </w:pPr>
      <w:r w:rsidRPr="00891713">
        <w:rPr>
          <w:rFonts w:ascii="Garamond" w:eastAsia="Palatino Linotype" w:hAnsi="Garamond" w:cs="Palatino Linotype"/>
          <w:b/>
        </w:rPr>
        <w:t xml:space="preserve">Trends in Resource Mobilisation by Corporates  </w:t>
      </w:r>
    </w:p>
    <w:p w:rsidR="00567A3B" w:rsidRPr="00891713" w:rsidRDefault="00567A3B" w:rsidP="00567A3B">
      <w:pPr>
        <w:widowControl w:val="0"/>
        <w:spacing w:line="276" w:lineRule="auto"/>
        <w:ind w:left="454"/>
        <w:rPr>
          <w:rFonts w:ascii="Garamond" w:eastAsia="Palatino Linotype" w:hAnsi="Garamond" w:cs="Palatino Linotype"/>
          <w:b/>
        </w:rPr>
      </w:pPr>
    </w:p>
    <w:p w:rsidR="00567A3B" w:rsidRPr="007D4769" w:rsidRDefault="00567A3B" w:rsidP="00223C98">
      <w:pPr>
        <w:widowControl w:val="0"/>
        <w:numPr>
          <w:ilvl w:val="0"/>
          <w:numId w:val="16"/>
        </w:numPr>
        <w:spacing w:line="276" w:lineRule="auto"/>
        <w:jc w:val="both"/>
        <w:rPr>
          <w:rFonts w:ascii="Garamond" w:eastAsia="Palatino Linotype" w:hAnsi="Garamond" w:cs="Palatino Linotype"/>
          <w:lang w:val="en-US"/>
        </w:rPr>
      </w:pPr>
      <w:r w:rsidRPr="007D4769">
        <w:rPr>
          <w:rFonts w:ascii="Garamond" w:eastAsia="Palatino Linotype" w:hAnsi="Garamond" w:cs="Palatino Linotype"/>
          <w:lang w:val="en-US"/>
        </w:rPr>
        <w:t xml:space="preserve">Resource mobilised through equity issuances stood at </w:t>
      </w:r>
      <w:r w:rsidRPr="007D4769">
        <w:rPr>
          <w:rFonts w:ascii="Times New Roman" w:eastAsia="Palatino Linotype" w:hAnsi="Times New Roman"/>
          <w:lang w:val="en-US"/>
        </w:rPr>
        <w:t>₹</w:t>
      </w:r>
      <w:r>
        <w:rPr>
          <w:rFonts w:ascii="Garamond" w:eastAsia="Palatino Linotype" w:hAnsi="Garamond" w:cs="Palatino Linotype"/>
          <w:lang w:val="en-US"/>
        </w:rPr>
        <w:t>9,671</w:t>
      </w:r>
      <w:r w:rsidRPr="007D4769">
        <w:rPr>
          <w:rFonts w:ascii="Garamond" w:eastAsia="Palatino Linotype" w:hAnsi="Garamond" w:cs="Palatino Linotype"/>
          <w:lang w:val="en-US"/>
        </w:rPr>
        <w:t xml:space="preserve"> </w:t>
      </w:r>
      <w:r w:rsidR="000654C7">
        <w:rPr>
          <w:rFonts w:ascii="Garamond" w:eastAsia="Palatino Linotype" w:hAnsi="Garamond" w:cs="Palatino Linotype"/>
          <w:lang w:val="en-US"/>
        </w:rPr>
        <w:t>crore</w:t>
      </w:r>
      <w:r w:rsidRPr="007D4769">
        <w:rPr>
          <w:rFonts w:ascii="Garamond" w:eastAsia="Palatino Linotype" w:hAnsi="Garamond" w:cs="Palatino Linotype"/>
          <w:lang w:val="en-US"/>
        </w:rPr>
        <w:t xml:space="preserve"> during</w:t>
      </w:r>
      <w:r>
        <w:rPr>
          <w:rFonts w:ascii="Garamond" w:eastAsia="Palatino Linotype" w:hAnsi="Garamond" w:cs="Palatino Linotype"/>
          <w:lang w:val="en-US"/>
        </w:rPr>
        <w:t xml:space="preserve"> February</w:t>
      </w:r>
      <w:r w:rsidRPr="007D4769">
        <w:rPr>
          <w:rFonts w:ascii="Garamond" w:eastAsia="Palatino Linotype" w:hAnsi="Garamond" w:cs="Palatino Linotype"/>
          <w:lang w:val="en-US"/>
        </w:rPr>
        <w:t xml:space="preserve"> 2022  compared to </w:t>
      </w:r>
      <w:r w:rsidRPr="007D4769">
        <w:rPr>
          <w:rFonts w:ascii="Times New Roman" w:eastAsia="Palatino Linotype" w:hAnsi="Times New Roman"/>
          <w:lang w:val="en-US"/>
        </w:rPr>
        <w:t>₹</w:t>
      </w:r>
      <w:r>
        <w:rPr>
          <w:rFonts w:ascii="Garamond" w:eastAsia="Palatino Linotype" w:hAnsi="Garamond" w:cs="Palatino Linotype"/>
          <w:lang w:val="en-US"/>
        </w:rPr>
        <w:t>13,745</w:t>
      </w:r>
      <w:r w:rsidRPr="007D4769">
        <w:rPr>
          <w:rFonts w:ascii="Garamond" w:eastAsia="Palatino Linotype" w:hAnsi="Garamond" w:cs="Palatino Linotype"/>
          <w:lang w:val="en-US"/>
        </w:rPr>
        <w:t xml:space="preserve"> </w:t>
      </w:r>
      <w:r w:rsidR="000654C7">
        <w:rPr>
          <w:rFonts w:ascii="Garamond" w:eastAsia="Palatino Linotype" w:hAnsi="Garamond" w:cs="Palatino Linotype"/>
          <w:lang w:val="en-US"/>
        </w:rPr>
        <w:t>crore</w:t>
      </w:r>
      <w:r w:rsidRPr="007D4769">
        <w:rPr>
          <w:rFonts w:ascii="Garamond" w:eastAsia="Palatino Linotype" w:hAnsi="Garamond" w:cs="Palatino Linotype"/>
          <w:lang w:val="en-US"/>
        </w:rPr>
        <w:t xml:space="preserve"> in January 2022. </w:t>
      </w:r>
    </w:p>
    <w:p w:rsidR="00567A3B" w:rsidRPr="007D4769" w:rsidRDefault="00567A3B" w:rsidP="00223C98">
      <w:pPr>
        <w:widowControl w:val="0"/>
        <w:numPr>
          <w:ilvl w:val="0"/>
          <w:numId w:val="16"/>
        </w:numPr>
        <w:spacing w:line="276" w:lineRule="auto"/>
        <w:jc w:val="both"/>
        <w:rPr>
          <w:rFonts w:ascii="Garamond" w:eastAsia="Palatino Linotype" w:hAnsi="Garamond" w:cs="Palatino Linotype"/>
          <w:lang w:val="en-US"/>
        </w:rPr>
      </w:pPr>
      <w:r w:rsidRPr="007D4769">
        <w:rPr>
          <w:rFonts w:ascii="Garamond" w:eastAsia="Palatino Linotype" w:hAnsi="Garamond" w:cs="Palatino Linotype"/>
          <w:lang w:val="en-US"/>
        </w:rPr>
        <w:t xml:space="preserve">Overall, </w:t>
      </w:r>
      <w:r w:rsidRPr="007D4769">
        <w:rPr>
          <w:rFonts w:ascii="Garamond" w:eastAsia="Palatino Linotype" w:hAnsi="Garamond" w:cs="Palatino Linotype"/>
        </w:rPr>
        <w:t xml:space="preserve"> </w:t>
      </w:r>
      <w:r>
        <w:rPr>
          <w:rFonts w:ascii="Garamond" w:eastAsia="Palatino Linotype" w:hAnsi="Garamond" w:cs="Palatino Linotype"/>
        </w:rPr>
        <w:t xml:space="preserve">9 </w:t>
      </w:r>
      <w:r w:rsidRPr="007D4769">
        <w:rPr>
          <w:rFonts w:ascii="Garamond" w:eastAsia="Palatino Linotype" w:hAnsi="Garamond" w:cs="Palatino Linotype"/>
        </w:rPr>
        <w:t xml:space="preserve">IPOs listed during the month garnering  </w:t>
      </w:r>
      <w:r w:rsidRPr="007D4769">
        <w:rPr>
          <w:rFonts w:ascii="Times New Roman" w:eastAsia="Palatino Linotype" w:hAnsi="Times New Roman"/>
        </w:rPr>
        <w:t>₹</w:t>
      </w:r>
      <w:r w:rsidRPr="007D4769">
        <w:rPr>
          <w:rFonts w:ascii="Garamond" w:eastAsia="Palatino Linotype" w:hAnsi="Garamond" w:cs="Palatino Linotype"/>
        </w:rPr>
        <w:t xml:space="preserve"> </w:t>
      </w:r>
      <w:r>
        <w:rPr>
          <w:rFonts w:ascii="Garamond" w:eastAsia="Palatino Linotype" w:hAnsi="Garamond" w:cs="Palatino Linotype"/>
        </w:rPr>
        <w:t>6,831</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comprising of </w:t>
      </w:r>
      <w:r w:rsidRPr="007D4769">
        <w:rPr>
          <w:rFonts w:ascii="Times New Roman" w:eastAsia="Palatino Linotype" w:hAnsi="Times New Roman"/>
        </w:rPr>
        <w:t>₹</w:t>
      </w:r>
      <w:r>
        <w:rPr>
          <w:rFonts w:ascii="Garamond" w:eastAsia="Palatino Linotype" w:hAnsi="Garamond" w:cs="Palatino Linotype"/>
        </w:rPr>
        <w:t xml:space="preserve"> 6,749</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raised through </w:t>
      </w:r>
      <w:r>
        <w:rPr>
          <w:rFonts w:ascii="Garamond" w:eastAsia="Palatino Linotype" w:hAnsi="Garamond" w:cs="Palatino Linotype"/>
        </w:rPr>
        <w:t>2</w:t>
      </w:r>
      <w:r w:rsidRPr="007D4769">
        <w:rPr>
          <w:rFonts w:ascii="Garamond" w:eastAsia="Palatino Linotype" w:hAnsi="Garamond" w:cs="Palatino Linotype"/>
        </w:rPr>
        <w:t xml:space="preserve"> main board listing</w:t>
      </w:r>
      <w:r w:rsidR="007632DF">
        <w:rPr>
          <w:rFonts w:ascii="Garamond" w:eastAsia="Palatino Linotype" w:hAnsi="Garamond" w:cs="Palatino Linotype"/>
        </w:rPr>
        <w:t>s</w:t>
      </w:r>
      <w:r w:rsidRPr="007D4769">
        <w:rPr>
          <w:rFonts w:ascii="Garamond" w:eastAsia="Palatino Linotype" w:hAnsi="Garamond" w:cs="Palatino Linotype"/>
        </w:rPr>
        <w:t xml:space="preserve"> and </w:t>
      </w:r>
      <w:r w:rsidRPr="007D4769">
        <w:rPr>
          <w:rFonts w:ascii="Times New Roman" w:eastAsia="Palatino Linotype" w:hAnsi="Times New Roman"/>
        </w:rPr>
        <w:t>₹</w:t>
      </w:r>
      <w:r w:rsidRPr="007D4769">
        <w:rPr>
          <w:rFonts w:ascii="Garamond" w:eastAsia="Palatino Linotype" w:hAnsi="Garamond" w:cs="Palatino Linotype"/>
        </w:rPr>
        <w:t xml:space="preserve"> </w:t>
      </w:r>
      <w:r>
        <w:rPr>
          <w:rFonts w:ascii="Garamond" w:eastAsia="Palatino Linotype" w:hAnsi="Garamond" w:cs="Palatino Linotype"/>
        </w:rPr>
        <w:t xml:space="preserve">82 </w:t>
      </w:r>
      <w:r w:rsidR="000654C7">
        <w:rPr>
          <w:rFonts w:ascii="Garamond" w:eastAsia="Palatino Linotype" w:hAnsi="Garamond" w:cs="Palatino Linotype"/>
        </w:rPr>
        <w:t>crore</w:t>
      </w:r>
      <w:r w:rsidRPr="007D4769">
        <w:rPr>
          <w:rFonts w:ascii="Garamond" w:eastAsia="Palatino Linotype" w:hAnsi="Garamond" w:cs="Palatino Linotype"/>
        </w:rPr>
        <w:t xml:space="preserve"> by </w:t>
      </w:r>
      <w:r>
        <w:rPr>
          <w:rFonts w:ascii="Garamond" w:eastAsia="Palatino Linotype" w:hAnsi="Garamond" w:cs="Palatino Linotype"/>
        </w:rPr>
        <w:t>seven</w:t>
      </w:r>
      <w:r w:rsidRPr="007D4769">
        <w:rPr>
          <w:rFonts w:ascii="Garamond" w:eastAsia="Palatino Linotype" w:hAnsi="Garamond" w:cs="Palatino Linotype"/>
        </w:rPr>
        <w:t xml:space="preserve"> SME/startup listings (Table 1) </w:t>
      </w:r>
    </w:p>
    <w:p w:rsidR="00567A3B" w:rsidRPr="007D4769" w:rsidRDefault="00567A3B" w:rsidP="00223C98">
      <w:pPr>
        <w:widowControl w:val="0"/>
        <w:numPr>
          <w:ilvl w:val="0"/>
          <w:numId w:val="16"/>
        </w:numPr>
        <w:spacing w:line="276" w:lineRule="auto"/>
        <w:jc w:val="both"/>
        <w:rPr>
          <w:rFonts w:ascii="Garamond" w:eastAsia="Palatino Linotype" w:hAnsi="Garamond" w:cs="Palatino Linotype"/>
          <w:lang w:val="en-US"/>
        </w:rPr>
      </w:pPr>
      <w:r w:rsidRPr="007D4769">
        <w:rPr>
          <w:rFonts w:ascii="Garamond" w:eastAsia="Palatino Linotype" w:hAnsi="Garamond" w:cs="Palatino Linotype"/>
        </w:rPr>
        <w:t xml:space="preserve">In </w:t>
      </w:r>
      <w:r>
        <w:rPr>
          <w:rFonts w:ascii="Garamond" w:eastAsia="Palatino Linotype" w:hAnsi="Garamond" w:cs="Palatino Linotype"/>
        </w:rPr>
        <w:t xml:space="preserve">February </w:t>
      </w:r>
      <w:r w:rsidRPr="007D4769">
        <w:rPr>
          <w:rFonts w:ascii="Garamond" w:eastAsia="Palatino Linotype" w:hAnsi="Garamond" w:cs="Palatino Linotype"/>
        </w:rPr>
        <w:t xml:space="preserve">2022, there were </w:t>
      </w:r>
      <w:r>
        <w:rPr>
          <w:rFonts w:ascii="Garamond" w:eastAsia="Palatino Linotype" w:hAnsi="Garamond" w:cs="Palatino Linotype"/>
        </w:rPr>
        <w:t>4</w:t>
      </w:r>
      <w:r w:rsidRPr="007D4769">
        <w:rPr>
          <w:rFonts w:ascii="Garamond" w:eastAsia="Palatino Linotype" w:hAnsi="Garamond" w:cs="Palatino Linotype"/>
        </w:rPr>
        <w:t xml:space="preserve"> rights issues which raised </w:t>
      </w:r>
      <w:r w:rsidRPr="007D4769">
        <w:rPr>
          <w:rFonts w:ascii="Times New Roman" w:eastAsia="Palatino Linotype" w:hAnsi="Times New Roman"/>
          <w:lang w:val="en-US"/>
        </w:rPr>
        <w:t>₹</w:t>
      </w:r>
      <w:r w:rsidRPr="007D4769">
        <w:rPr>
          <w:rFonts w:ascii="Garamond" w:eastAsia="Palatino Linotype" w:hAnsi="Garamond" w:cs="Palatino Linotype"/>
          <w:lang w:val="en-US"/>
        </w:rPr>
        <w:t xml:space="preserve"> </w:t>
      </w:r>
      <w:r>
        <w:rPr>
          <w:rFonts w:ascii="Garamond" w:eastAsia="Palatino Linotype" w:hAnsi="Garamond" w:cs="Palatino Linotype"/>
          <w:lang w:val="en-US"/>
        </w:rPr>
        <w:t>113</w:t>
      </w:r>
      <w:r w:rsidRPr="007D4769">
        <w:rPr>
          <w:rFonts w:ascii="Garamond" w:eastAsia="Palatino Linotype" w:hAnsi="Garamond" w:cs="Palatino Linotype"/>
          <w:lang w:val="en-US"/>
        </w:rPr>
        <w:t xml:space="preserve"> </w:t>
      </w:r>
      <w:r w:rsidR="000654C7">
        <w:rPr>
          <w:rFonts w:ascii="Garamond" w:eastAsia="Palatino Linotype" w:hAnsi="Garamond" w:cs="Palatino Linotype"/>
          <w:lang w:val="en-US"/>
        </w:rPr>
        <w:t>crore</w:t>
      </w:r>
      <w:r w:rsidRPr="007D4769">
        <w:rPr>
          <w:rFonts w:ascii="Garamond" w:eastAsia="Palatino Linotype" w:hAnsi="Garamond" w:cs="Palatino Linotype"/>
          <w:lang w:val="en-US"/>
        </w:rPr>
        <w:t xml:space="preserve"> compared to </w:t>
      </w:r>
      <w:r w:rsidRPr="007D4769">
        <w:rPr>
          <w:rFonts w:ascii="Times New Roman" w:eastAsia="Palatino Linotype" w:hAnsi="Times New Roman"/>
        </w:rPr>
        <w:t>₹</w:t>
      </w:r>
      <w:r w:rsidRPr="007D4769">
        <w:rPr>
          <w:rFonts w:ascii="Garamond" w:eastAsia="Palatino Linotype" w:hAnsi="Garamond" w:cs="Palatino Linotype"/>
        </w:rPr>
        <w:t xml:space="preserve"> </w:t>
      </w:r>
      <w:r>
        <w:rPr>
          <w:rFonts w:ascii="Garamond" w:eastAsia="Palatino Linotype" w:hAnsi="Garamond" w:cs="Palatino Linotype"/>
          <w:lang w:val="en-US"/>
        </w:rPr>
        <w:t>99</w:t>
      </w:r>
      <w:r w:rsidRPr="007D4769">
        <w:rPr>
          <w:rFonts w:ascii="Garamond" w:eastAsia="Palatino Linotype" w:hAnsi="Garamond" w:cs="Palatino Linotype"/>
          <w:lang w:val="en-US"/>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in January 2022. </w:t>
      </w:r>
    </w:p>
    <w:p w:rsidR="00567A3B" w:rsidRPr="005F687D" w:rsidRDefault="00567A3B" w:rsidP="00223C98">
      <w:pPr>
        <w:widowControl w:val="0"/>
        <w:numPr>
          <w:ilvl w:val="0"/>
          <w:numId w:val="16"/>
        </w:numPr>
        <w:spacing w:line="276" w:lineRule="auto"/>
        <w:jc w:val="both"/>
        <w:rPr>
          <w:rFonts w:ascii="Garamond" w:eastAsia="Palatino Linotype" w:hAnsi="Garamond" w:cs="Palatino Linotype"/>
          <w:lang w:val="en-US"/>
        </w:rPr>
      </w:pPr>
      <w:r w:rsidRPr="005F687D">
        <w:rPr>
          <w:rFonts w:ascii="Garamond" w:eastAsia="Palatino Linotype" w:hAnsi="Garamond" w:cs="Palatino Linotype"/>
        </w:rPr>
        <w:t xml:space="preserve">Debt-fund raising through public issuances showed a decline raising  </w:t>
      </w:r>
      <w:r w:rsidRPr="005F687D">
        <w:rPr>
          <w:rFonts w:ascii="Times New Roman" w:eastAsia="Palatino Linotype" w:hAnsi="Times New Roman"/>
        </w:rPr>
        <w:t>₹</w:t>
      </w:r>
      <w:r w:rsidRPr="005F687D">
        <w:rPr>
          <w:rFonts w:ascii="Garamond" w:eastAsia="Palatino Linotype" w:hAnsi="Garamond" w:cs="Palatino Linotype"/>
        </w:rPr>
        <w:t xml:space="preserve"> 695 </w:t>
      </w:r>
      <w:r w:rsidR="000654C7">
        <w:rPr>
          <w:rFonts w:ascii="Garamond" w:eastAsia="Palatino Linotype" w:hAnsi="Garamond" w:cs="Palatino Linotype"/>
        </w:rPr>
        <w:t>crore</w:t>
      </w:r>
      <w:r w:rsidRPr="005F687D">
        <w:rPr>
          <w:rFonts w:ascii="Garamond" w:eastAsia="Palatino Linotype" w:hAnsi="Garamond" w:cs="Palatino Linotype"/>
        </w:rPr>
        <w:t xml:space="preserve"> through three public issues of corporate bonds closed in February 2022 as compared to </w:t>
      </w:r>
      <w:r w:rsidRPr="005F687D">
        <w:rPr>
          <w:rFonts w:ascii="Times New Roman" w:eastAsia="Palatino Linotype" w:hAnsi="Times New Roman"/>
        </w:rPr>
        <w:t>₹</w:t>
      </w:r>
      <w:r w:rsidRPr="005F687D">
        <w:rPr>
          <w:rFonts w:ascii="Garamond" w:eastAsia="Palatino Linotype" w:hAnsi="Garamond" w:cs="Palatino Linotype"/>
        </w:rPr>
        <w:t xml:space="preserve"> 1,128 </w:t>
      </w:r>
      <w:r w:rsidR="000654C7">
        <w:rPr>
          <w:rFonts w:ascii="Garamond" w:eastAsia="Palatino Linotype" w:hAnsi="Garamond" w:cs="Palatino Linotype"/>
        </w:rPr>
        <w:t>crore</w:t>
      </w:r>
      <w:r w:rsidRPr="005F687D">
        <w:rPr>
          <w:rFonts w:ascii="Garamond" w:eastAsia="Palatino Linotype" w:hAnsi="Garamond" w:cs="Palatino Linotype"/>
        </w:rPr>
        <w:t xml:space="preserve"> </w:t>
      </w:r>
      <w:r w:rsidRPr="005F687D">
        <w:rPr>
          <w:rFonts w:ascii="Garamond" w:eastAsia="Palatino Linotype" w:hAnsi="Garamond" w:cs="Palatino Linotype"/>
          <w:lang w:val="en-US"/>
        </w:rPr>
        <w:t xml:space="preserve">in </w:t>
      </w:r>
      <w:r w:rsidRPr="005F687D">
        <w:rPr>
          <w:rFonts w:ascii="Garamond" w:eastAsia="Palatino Linotype" w:hAnsi="Garamond" w:cs="Palatino Linotype"/>
        </w:rPr>
        <w:t>January 2022</w:t>
      </w:r>
      <w:r w:rsidRPr="005F687D">
        <w:rPr>
          <w:rFonts w:ascii="Garamond" w:eastAsia="Palatino Linotype" w:hAnsi="Garamond" w:cs="Palatino Linotype"/>
          <w:lang w:val="en-US"/>
        </w:rPr>
        <w:t>.</w:t>
      </w:r>
    </w:p>
    <w:p w:rsidR="00567A3B" w:rsidRPr="007D4769" w:rsidRDefault="00567A3B" w:rsidP="00223C98">
      <w:pPr>
        <w:widowControl w:val="0"/>
        <w:numPr>
          <w:ilvl w:val="0"/>
          <w:numId w:val="16"/>
        </w:numPr>
        <w:spacing w:line="276" w:lineRule="auto"/>
        <w:jc w:val="both"/>
        <w:rPr>
          <w:rFonts w:ascii="Garamond" w:eastAsia="Palatino Linotype" w:hAnsi="Garamond" w:cs="Palatino Linotype"/>
          <w:lang w:val="en-US"/>
        </w:rPr>
      </w:pPr>
      <w:r w:rsidRPr="007D4769">
        <w:rPr>
          <w:rFonts w:ascii="Garamond" w:eastAsia="Palatino Linotype" w:hAnsi="Garamond" w:cs="Palatino Linotype"/>
        </w:rPr>
        <w:t xml:space="preserve">Amount raised through preferential allotment and QIPs during </w:t>
      </w:r>
      <w:r>
        <w:rPr>
          <w:rFonts w:ascii="Garamond" w:eastAsia="Palatino Linotype" w:hAnsi="Garamond" w:cs="Palatino Linotype"/>
        </w:rPr>
        <w:t xml:space="preserve">February 2022 </w:t>
      </w:r>
      <w:r w:rsidRPr="007D4769">
        <w:rPr>
          <w:rFonts w:ascii="Garamond" w:eastAsia="Palatino Linotype" w:hAnsi="Garamond" w:cs="Palatino Linotype"/>
        </w:rPr>
        <w:t xml:space="preserve">stood at </w:t>
      </w:r>
      <w:r w:rsidRPr="007D4769">
        <w:rPr>
          <w:rFonts w:ascii="Times New Roman" w:eastAsia="Palatino Linotype" w:hAnsi="Times New Roman"/>
        </w:rPr>
        <w:t>₹</w:t>
      </w:r>
      <w:r w:rsidRPr="007D4769">
        <w:rPr>
          <w:rFonts w:ascii="Garamond" w:eastAsia="Palatino Linotype" w:hAnsi="Garamond" w:cs="Palatino Linotype"/>
        </w:rPr>
        <w:t xml:space="preserve"> </w:t>
      </w:r>
      <w:r>
        <w:rPr>
          <w:rFonts w:ascii="Garamond" w:eastAsia="Palatino Linotype" w:hAnsi="Garamond" w:cs="Palatino Linotype"/>
        </w:rPr>
        <w:t>2,727</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as compared to </w:t>
      </w:r>
      <w:r w:rsidRPr="007D4769">
        <w:rPr>
          <w:rFonts w:ascii="Times New Roman" w:eastAsia="Palatino Linotype" w:hAnsi="Times New Roman"/>
        </w:rPr>
        <w:t>₹</w:t>
      </w:r>
      <w:r>
        <w:rPr>
          <w:rFonts w:ascii="Garamond" w:eastAsia="Palatino Linotype" w:hAnsi="Garamond" w:cs="Palatino Linotype"/>
        </w:rPr>
        <w:t xml:space="preserve"> 12,931</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in </w:t>
      </w:r>
      <w:r>
        <w:rPr>
          <w:rFonts w:ascii="Garamond" w:eastAsia="Palatino Linotype" w:hAnsi="Garamond" w:cs="Palatino Linotype"/>
        </w:rPr>
        <w:t>January 2022</w:t>
      </w:r>
      <w:r w:rsidRPr="007D4769">
        <w:rPr>
          <w:rFonts w:ascii="Garamond" w:eastAsia="Palatino Linotype" w:hAnsi="Garamond" w:cs="Palatino Linotype"/>
        </w:rPr>
        <w:t xml:space="preserve">. </w:t>
      </w:r>
    </w:p>
    <w:p w:rsidR="00567A3B" w:rsidRPr="00382F13" w:rsidRDefault="00567A3B" w:rsidP="00223C98">
      <w:pPr>
        <w:widowControl w:val="0"/>
        <w:numPr>
          <w:ilvl w:val="0"/>
          <w:numId w:val="16"/>
        </w:numPr>
        <w:spacing w:line="276" w:lineRule="auto"/>
        <w:jc w:val="both"/>
        <w:rPr>
          <w:rFonts w:ascii="Garamond" w:eastAsia="Palatino Linotype" w:hAnsi="Garamond" w:cs="Palatino Linotype"/>
          <w:lang w:val="en-US"/>
        </w:rPr>
      </w:pPr>
      <w:r w:rsidRPr="00382F13">
        <w:rPr>
          <w:rFonts w:ascii="Garamond" w:eastAsia="Palatino Linotype" w:hAnsi="Garamond" w:cs="Palatino Linotype"/>
        </w:rPr>
        <w:t xml:space="preserve">Private placement of corporate debt reported on exchanges increased to </w:t>
      </w:r>
      <w:r w:rsidRPr="00382F13">
        <w:rPr>
          <w:rFonts w:ascii="Times New Roman" w:eastAsia="Palatino Linotype" w:hAnsi="Times New Roman"/>
        </w:rPr>
        <w:t>₹</w:t>
      </w:r>
      <w:r w:rsidRPr="00382F13">
        <w:rPr>
          <w:rFonts w:ascii="Garamond" w:eastAsia="Palatino Linotype" w:hAnsi="Garamond" w:cs="Palatino Linotype"/>
        </w:rPr>
        <w:t xml:space="preserve"> 49,304 </w:t>
      </w:r>
      <w:r w:rsidR="000654C7">
        <w:rPr>
          <w:rFonts w:ascii="Garamond" w:eastAsia="Palatino Linotype" w:hAnsi="Garamond" w:cs="Palatino Linotype"/>
        </w:rPr>
        <w:t>crore</w:t>
      </w:r>
      <w:r w:rsidRPr="00382F13">
        <w:rPr>
          <w:rFonts w:ascii="Garamond" w:eastAsia="Palatino Linotype" w:hAnsi="Garamond" w:cs="Palatino Linotype"/>
        </w:rPr>
        <w:t xml:space="preserve"> during February 2022, compared to </w:t>
      </w:r>
      <w:r w:rsidRPr="00382F13">
        <w:rPr>
          <w:rFonts w:ascii="Times New Roman" w:eastAsia="Palatino Linotype" w:hAnsi="Times New Roman"/>
        </w:rPr>
        <w:t>₹</w:t>
      </w:r>
      <w:r w:rsidRPr="00382F13">
        <w:rPr>
          <w:rFonts w:ascii="Garamond" w:eastAsia="Palatino Linotype" w:hAnsi="Garamond" w:cs="Palatino Linotype"/>
        </w:rPr>
        <w:t xml:space="preserve"> 25,576 </w:t>
      </w:r>
      <w:r w:rsidR="000654C7">
        <w:rPr>
          <w:rFonts w:ascii="Garamond" w:eastAsia="Palatino Linotype" w:hAnsi="Garamond" w:cs="Palatino Linotype"/>
        </w:rPr>
        <w:t>crore</w:t>
      </w:r>
      <w:r w:rsidRPr="00382F13">
        <w:rPr>
          <w:rFonts w:ascii="Garamond" w:eastAsia="Palatino Linotype" w:hAnsi="Garamond" w:cs="Palatino Linotype"/>
        </w:rPr>
        <w:t xml:space="preserve"> in January 2022.</w:t>
      </w:r>
    </w:p>
    <w:p w:rsidR="00567A3B" w:rsidRDefault="00567A3B" w:rsidP="00567A3B">
      <w:pPr>
        <w:widowControl w:val="0"/>
        <w:spacing w:line="276" w:lineRule="auto"/>
        <w:ind w:firstLine="454"/>
        <w:jc w:val="both"/>
        <w:rPr>
          <w:rFonts w:ascii="Garamond" w:eastAsia="Palatino Linotype" w:hAnsi="Garamond" w:cs="Palatino Linotype"/>
          <w:b/>
        </w:rPr>
      </w:pPr>
      <w:r w:rsidRPr="00891713">
        <w:rPr>
          <w:rFonts w:ascii="Garamond" w:eastAsia="Palatino Linotype" w:hAnsi="Garamond" w:cs="Palatino Linotype"/>
          <w:b/>
        </w:rPr>
        <w:t xml:space="preserve">                        Table 1: Fund Mobilisation by Corporates (</w:t>
      </w:r>
      <w:r w:rsidRPr="00891713">
        <w:rPr>
          <w:rFonts w:ascii="Times New Roman" w:eastAsia="Tahoma" w:hAnsi="Times New Roman"/>
          <w:b/>
        </w:rPr>
        <w:t>₹</w:t>
      </w:r>
      <w:r w:rsidRPr="00891713">
        <w:rPr>
          <w:rFonts w:ascii="Garamond" w:eastAsia="Tahoma" w:hAnsi="Garamond"/>
          <w:b/>
        </w:rPr>
        <w:t xml:space="preserve"> </w:t>
      </w:r>
      <w:r w:rsidR="000654C7">
        <w:rPr>
          <w:rFonts w:ascii="Garamond" w:eastAsia="Palatino Linotype" w:hAnsi="Garamond" w:cs="Palatino Linotype"/>
          <w:b/>
        </w:rPr>
        <w:t>crore</w:t>
      </w:r>
      <w:r w:rsidRPr="00891713">
        <w:rPr>
          <w:rFonts w:ascii="Garamond" w:eastAsia="Palatino Linotype" w:hAnsi="Garamond" w:cs="Palatino Linotype"/>
          <w:b/>
        </w:rPr>
        <w:t xml:space="preserve">) </w:t>
      </w:r>
    </w:p>
    <w:p w:rsidR="00567A3B" w:rsidRDefault="00567A3B" w:rsidP="00567A3B">
      <w:pPr>
        <w:widowControl w:val="0"/>
        <w:spacing w:line="276" w:lineRule="auto"/>
        <w:ind w:firstLine="454"/>
        <w:jc w:val="both"/>
      </w:pPr>
      <w:r>
        <w:fldChar w:fldCharType="begin"/>
      </w:r>
      <w:r>
        <w:instrText xml:space="preserve"> LINK Excel.Sheet.12 "E:\\C DRIVE DATA BACKUP 19-12-2019\\Desktop\\Bulletin\\Workings-Jan 2022.xlsx" "Table 1!R2C2:R14C4" \a \f 4 \h </w:instrText>
      </w:r>
      <w:r w:rsidR="007172B4">
        <w:instrText xml:space="preserve"> \* MERGEFORMAT </w:instrText>
      </w:r>
      <w:r>
        <w:fldChar w:fldCharType="separate"/>
      </w:r>
    </w:p>
    <w:tbl>
      <w:tblPr>
        <w:tblW w:w="6653" w:type="dxa"/>
        <w:jc w:val="center"/>
        <w:tblLook w:val="04A0" w:firstRow="1" w:lastRow="0" w:firstColumn="1" w:lastColumn="0" w:noHBand="0" w:noVBand="1"/>
      </w:tblPr>
      <w:tblGrid>
        <w:gridCol w:w="3959"/>
        <w:gridCol w:w="1134"/>
        <w:gridCol w:w="1560"/>
      </w:tblGrid>
      <w:tr w:rsidR="00567A3B" w:rsidRPr="0060076A" w:rsidTr="007172B4">
        <w:trPr>
          <w:trHeight w:val="315"/>
          <w:jc w:val="center"/>
        </w:trPr>
        <w:tc>
          <w:tcPr>
            <w:tcW w:w="3959" w:type="dxa"/>
            <w:tcBorders>
              <w:top w:val="single" w:sz="8" w:space="0" w:color="auto"/>
              <w:left w:val="single" w:sz="8" w:space="0" w:color="auto"/>
              <w:bottom w:val="single" w:sz="8" w:space="0" w:color="auto"/>
              <w:right w:val="single" w:sz="8" w:space="0" w:color="auto"/>
            </w:tcBorders>
            <w:shd w:val="clear" w:color="000000" w:fill="A9D08E"/>
            <w:noWrap/>
            <w:vAlign w:val="center"/>
            <w:hideMark/>
          </w:tcPr>
          <w:p w:rsidR="00567A3B" w:rsidRPr="0060076A" w:rsidRDefault="00567A3B" w:rsidP="0026016F">
            <w:pPr>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Particulars</w:t>
            </w:r>
          </w:p>
        </w:tc>
        <w:tc>
          <w:tcPr>
            <w:tcW w:w="1134" w:type="dxa"/>
            <w:tcBorders>
              <w:top w:val="single" w:sz="8" w:space="0" w:color="auto"/>
              <w:left w:val="nil"/>
              <w:bottom w:val="single" w:sz="8" w:space="0" w:color="auto"/>
              <w:right w:val="single" w:sz="8" w:space="0" w:color="auto"/>
            </w:tcBorders>
            <w:shd w:val="clear" w:color="000000" w:fill="A9D08E"/>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Jan-22</w:t>
            </w:r>
          </w:p>
        </w:tc>
        <w:tc>
          <w:tcPr>
            <w:tcW w:w="1560" w:type="dxa"/>
            <w:tcBorders>
              <w:top w:val="single" w:sz="8" w:space="0" w:color="auto"/>
              <w:left w:val="nil"/>
              <w:bottom w:val="single" w:sz="8" w:space="0" w:color="auto"/>
              <w:right w:val="single" w:sz="8" w:space="0" w:color="auto"/>
            </w:tcBorders>
            <w:shd w:val="clear" w:color="000000" w:fill="A9D08E"/>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Feb-22</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567A3B" w:rsidRPr="0060076A" w:rsidRDefault="00567A3B" w:rsidP="0026016F">
            <w:pPr>
              <w:rPr>
                <w:rFonts w:ascii="Garamond" w:eastAsia="Times New Roman" w:hAnsi="Garamond" w:cs="Calibri"/>
                <w:b/>
                <w:bCs/>
                <w:i/>
                <w:iCs/>
                <w:color w:val="000000"/>
                <w:szCs w:val="22"/>
                <w:lang w:eastAsia="en-IN"/>
              </w:rPr>
            </w:pPr>
            <w:r w:rsidRPr="0060076A">
              <w:rPr>
                <w:rFonts w:ascii="Garamond" w:eastAsia="Times New Roman" w:hAnsi="Garamond" w:cs="Calibri"/>
                <w:b/>
                <w:bCs/>
                <w:i/>
                <w:iCs/>
                <w:color w:val="000000"/>
                <w:szCs w:val="22"/>
                <w:lang w:eastAsia="en-IN"/>
              </w:rPr>
              <w:t>I. Equity Issues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13,745</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9,671</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a. IPOs (i+ii)</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7172B4">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7</w:t>
            </w:r>
            <w:r w:rsidR="007172B4">
              <w:rPr>
                <w:rFonts w:ascii="Garamond" w:eastAsia="Times New Roman" w:hAnsi="Garamond" w:cs="Calibri"/>
                <w:color w:val="000000"/>
                <w:szCs w:val="22"/>
                <w:lang w:eastAsia="en-IN"/>
              </w:rPr>
              <w:t>00</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6,831</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i/>
                <w:iCs/>
                <w:color w:val="000000"/>
                <w:szCs w:val="22"/>
                <w:lang w:eastAsia="en-IN"/>
              </w:rPr>
            </w:pPr>
            <w:r w:rsidRPr="0060076A">
              <w:rPr>
                <w:rFonts w:ascii="Garamond" w:eastAsia="Times New Roman" w:hAnsi="Garamond" w:cs="Calibri"/>
                <w:i/>
                <w:iCs/>
                <w:color w:val="000000"/>
                <w:szCs w:val="22"/>
                <w:lang w:eastAsia="en-IN"/>
              </w:rPr>
              <w:t xml:space="preserve">    i. Main Board</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680</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6,749</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i/>
                <w:iCs/>
                <w:color w:val="000000"/>
                <w:szCs w:val="22"/>
                <w:lang w:eastAsia="en-IN"/>
              </w:rPr>
            </w:pPr>
            <w:r w:rsidRPr="0060076A">
              <w:rPr>
                <w:rFonts w:ascii="Garamond" w:eastAsia="Times New Roman" w:hAnsi="Garamond" w:cs="Calibri"/>
                <w:i/>
                <w:iCs/>
                <w:color w:val="000000"/>
                <w:szCs w:val="22"/>
                <w:lang w:eastAsia="en-IN"/>
              </w:rPr>
              <w:t xml:space="preserve">    ii. SME Platform</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7172B4" w:rsidP="0026016F">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20</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82</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b. FPOs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7172B4" w:rsidP="0026016F">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15</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0</w:t>
            </w:r>
          </w:p>
        </w:tc>
      </w:tr>
      <w:tr w:rsidR="007172B4"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7172B4" w:rsidRPr="0060076A" w:rsidRDefault="007172B4" w:rsidP="007172B4">
            <w:pPr>
              <w:rPr>
                <w:rFonts w:ascii="Garamond" w:eastAsia="Times New Roman" w:hAnsi="Garamond" w:cs="Calibri"/>
                <w:i/>
                <w:iCs/>
                <w:color w:val="000000"/>
                <w:szCs w:val="22"/>
                <w:lang w:eastAsia="en-IN"/>
              </w:rPr>
            </w:pPr>
            <w:r w:rsidRPr="0060076A">
              <w:rPr>
                <w:rFonts w:ascii="Garamond" w:eastAsia="Times New Roman" w:hAnsi="Garamond" w:cs="Calibri"/>
                <w:i/>
                <w:iCs/>
                <w:color w:val="000000"/>
                <w:szCs w:val="22"/>
                <w:lang w:eastAsia="en-IN"/>
              </w:rPr>
              <w:t xml:space="preserve">    i. Main Board</w:t>
            </w:r>
          </w:p>
        </w:tc>
        <w:tc>
          <w:tcPr>
            <w:tcW w:w="1134" w:type="dxa"/>
            <w:tcBorders>
              <w:top w:val="nil"/>
              <w:left w:val="nil"/>
              <w:bottom w:val="single" w:sz="8" w:space="0" w:color="auto"/>
              <w:right w:val="single" w:sz="8" w:space="0" w:color="auto"/>
            </w:tcBorders>
            <w:shd w:val="clear" w:color="auto" w:fill="auto"/>
            <w:noWrap/>
            <w:vAlign w:val="center"/>
          </w:tcPr>
          <w:p w:rsidR="007172B4" w:rsidRPr="0060076A" w:rsidRDefault="007172B4" w:rsidP="007172B4">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0</w:t>
            </w:r>
          </w:p>
        </w:tc>
        <w:tc>
          <w:tcPr>
            <w:tcW w:w="1560" w:type="dxa"/>
            <w:tcBorders>
              <w:top w:val="nil"/>
              <w:left w:val="nil"/>
              <w:bottom w:val="single" w:sz="8" w:space="0" w:color="auto"/>
              <w:right w:val="single" w:sz="8" w:space="0" w:color="auto"/>
            </w:tcBorders>
            <w:shd w:val="clear" w:color="auto" w:fill="auto"/>
            <w:noWrap/>
            <w:vAlign w:val="center"/>
          </w:tcPr>
          <w:p w:rsidR="007172B4" w:rsidRPr="0060076A" w:rsidRDefault="007172B4" w:rsidP="007172B4">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0</w:t>
            </w:r>
          </w:p>
        </w:tc>
      </w:tr>
      <w:tr w:rsidR="007172B4"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7172B4" w:rsidRPr="0060076A" w:rsidRDefault="007172B4" w:rsidP="007172B4">
            <w:pPr>
              <w:rPr>
                <w:rFonts w:ascii="Garamond" w:eastAsia="Times New Roman" w:hAnsi="Garamond" w:cs="Calibri"/>
                <w:i/>
                <w:iCs/>
                <w:color w:val="000000"/>
                <w:szCs w:val="22"/>
                <w:lang w:eastAsia="en-IN"/>
              </w:rPr>
            </w:pPr>
            <w:r w:rsidRPr="0060076A">
              <w:rPr>
                <w:rFonts w:ascii="Garamond" w:eastAsia="Times New Roman" w:hAnsi="Garamond" w:cs="Calibri"/>
                <w:i/>
                <w:iCs/>
                <w:color w:val="000000"/>
                <w:szCs w:val="22"/>
                <w:lang w:eastAsia="en-IN"/>
              </w:rPr>
              <w:t xml:space="preserve">    ii. SME Platform</w:t>
            </w:r>
          </w:p>
        </w:tc>
        <w:tc>
          <w:tcPr>
            <w:tcW w:w="1134" w:type="dxa"/>
            <w:tcBorders>
              <w:top w:val="nil"/>
              <w:left w:val="nil"/>
              <w:bottom w:val="single" w:sz="8" w:space="0" w:color="auto"/>
              <w:right w:val="single" w:sz="8" w:space="0" w:color="auto"/>
            </w:tcBorders>
            <w:shd w:val="clear" w:color="auto" w:fill="auto"/>
            <w:noWrap/>
            <w:vAlign w:val="center"/>
          </w:tcPr>
          <w:p w:rsidR="007172B4" w:rsidRPr="0060076A" w:rsidRDefault="007172B4" w:rsidP="007172B4">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15</w:t>
            </w:r>
          </w:p>
        </w:tc>
        <w:tc>
          <w:tcPr>
            <w:tcW w:w="1560" w:type="dxa"/>
            <w:tcBorders>
              <w:top w:val="nil"/>
              <w:left w:val="nil"/>
              <w:bottom w:val="single" w:sz="8" w:space="0" w:color="auto"/>
              <w:right w:val="single" w:sz="8" w:space="0" w:color="auto"/>
            </w:tcBorders>
            <w:shd w:val="clear" w:color="auto" w:fill="auto"/>
            <w:noWrap/>
            <w:vAlign w:val="center"/>
          </w:tcPr>
          <w:p w:rsidR="007172B4" w:rsidRPr="0060076A" w:rsidRDefault="007172B4" w:rsidP="007172B4">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0</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c. Equity Rights Issues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99.32</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7172B4" w:rsidP="0026016F">
            <w:pPr>
              <w:jc w:val="right"/>
              <w:rPr>
                <w:rFonts w:ascii="Garamond" w:eastAsia="Times New Roman" w:hAnsi="Garamond" w:cs="Calibri"/>
                <w:color w:val="000000"/>
                <w:szCs w:val="22"/>
                <w:lang w:eastAsia="en-IN"/>
              </w:rPr>
            </w:pPr>
            <w:r>
              <w:rPr>
                <w:rFonts w:ascii="Garamond" w:eastAsia="Times New Roman" w:hAnsi="Garamond" w:cs="Calibri"/>
                <w:color w:val="000000"/>
                <w:szCs w:val="22"/>
                <w:lang w:eastAsia="en-IN"/>
              </w:rPr>
              <w:t>113</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d. QIPs/IPPs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0</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1,952</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e. Preferential Allotments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12,931</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775</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567A3B" w:rsidRPr="0060076A" w:rsidRDefault="00567A3B" w:rsidP="0026016F">
            <w:pPr>
              <w:rPr>
                <w:rFonts w:ascii="Garamond" w:eastAsia="Times New Roman" w:hAnsi="Garamond" w:cs="Calibri"/>
                <w:b/>
                <w:bCs/>
                <w:i/>
                <w:iCs/>
                <w:color w:val="000000"/>
                <w:szCs w:val="22"/>
                <w:lang w:eastAsia="en-IN"/>
              </w:rPr>
            </w:pPr>
            <w:r w:rsidRPr="0060076A">
              <w:rPr>
                <w:rFonts w:ascii="Garamond" w:eastAsia="Times New Roman" w:hAnsi="Garamond" w:cs="Calibri"/>
                <w:b/>
                <w:bCs/>
                <w:i/>
                <w:iCs/>
                <w:color w:val="000000"/>
                <w:szCs w:val="22"/>
                <w:lang w:eastAsia="en-IN"/>
              </w:rPr>
              <w:t>II. Debt Issues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26,704</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49,999</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a. Debt Public Issues</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1,128</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695</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b. Private Placement of Debt</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25,576</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color w:val="000000"/>
                <w:szCs w:val="22"/>
                <w:lang w:eastAsia="en-IN"/>
              </w:rPr>
            </w:pPr>
            <w:r w:rsidRPr="0060076A">
              <w:rPr>
                <w:rFonts w:ascii="Garamond" w:eastAsia="Times New Roman" w:hAnsi="Garamond" w:cs="Calibri"/>
                <w:color w:val="000000"/>
                <w:szCs w:val="22"/>
                <w:lang w:eastAsia="en-IN"/>
              </w:rPr>
              <w:t>49,304</w:t>
            </w:r>
          </w:p>
        </w:tc>
      </w:tr>
      <w:tr w:rsidR="00567A3B" w:rsidRPr="0060076A" w:rsidTr="007172B4">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567A3B" w:rsidRPr="0060076A" w:rsidRDefault="00567A3B" w:rsidP="0026016F">
            <w:pPr>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Total Funds Mobilised (I+II)</w:t>
            </w:r>
          </w:p>
        </w:tc>
        <w:tc>
          <w:tcPr>
            <w:tcW w:w="1134"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40,449</w:t>
            </w:r>
          </w:p>
        </w:tc>
        <w:tc>
          <w:tcPr>
            <w:tcW w:w="1560" w:type="dxa"/>
            <w:tcBorders>
              <w:top w:val="nil"/>
              <w:left w:val="nil"/>
              <w:bottom w:val="single" w:sz="8" w:space="0" w:color="auto"/>
              <w:right w:val="single" w:sz="8" w:space="0" w:color="auto"/>
            </w:tcBorders>
            <w:shd w:val="clear" w:color="auto" w:fill="auto"/>
            <w:noWrap/>
            <w:vAlign w:val="center"/>
            <w:hideMark/>
          </w:tcPr>
          <w:p w:rsidR="00567A3B" w:rsidRPr="0060076A" w:rsidRDefault="00567A3B" w:rsidP="0026016F">
            <w:pPr>
              <w:jc w:val="right"/>
              <w:rPr>
                <w:rFonts w:ascii="Garamond" w:eastAsia="Times New Roman" w:hAnsi="Garamond" w:cs="Calibri"/>
                <w:b/>
                <w:bCs/>
                <w:color w:val="000000"/>
                <w:szCs w:val="22"/>
                <w:lang w:eastAsia="en-IN"/>
              </w:rPr>
            </w:pPr>
            <w:r w:rsidRPr="0060076A">
              <w:rPr>
                <w:rFonts w:ascii="Garamond" w:eastAsia="Times New Roman" w:hAnsi="Garamond" w:cs="Calibri"/>
                <w:b/>
                <w:bCs/>
                <w:color w:val="000000"/>
                <w:szCs w:val="22"/>
                <w:lang w:eastAsia="en-IN"/>
              </w:rPr>
              <w:t>59,670</w:t>
            </w:r>
          </w:p>
        </w:tc>
      </w:tr>
    </w:tbl>
    <w:p w:rsidR="00567A3B" w:rsidRDefault="00567A3B" w:rsidP="00567A3B">
      <w:pPr>
        <w:widowControl w:val="0"/>
        <w:spacing w:line="276" w:lineRule="auto"/>
        <w:ind w:firstLine="454"/>
        <w:jc w:val="both"/>
      </w:pPr>
      <w:r>
        <w:fldChar w:fldCharType="end"/>
      </w:r>
      <w:r>
        <w:rPr>
          <w:rFonts w:asciiTheme="minorHAnsi" w:hAnsiTheme="minorHAnsi" w:cstheme="minorBidi"/>
          <w:sz w:val="22"/>
          <w:szCs w:val="20"/>
        </w:rPr>
        <w:fldChar w:fldCharType="begin"/>
      </w:r>
      <w:r>
        <w:instrText xml:space="preserve"> LINK Excel.Sheet.12 "E:\\C DRIVE DATA BACKUP 19-12-2019\\Desktop\\Bulletin\\Workings-Jan 2022.xlsx" "Table 1!R2C2:R14C4" \a \f 4 \h  \* MERGEFORMAT </w:instrText>
      </w:r>
      <w:r>
        <w:rPr>
          <w:rFonts w:asciiTheme="minorHAnsi" w:hAnsiTheme="minorHAnsi" w:cstheme="minorBidi"/>
          <w:sz w:val="22"/>
          <w:szCs w:val="20"/>
        </w:rPr>
        <w:fldChar w:fldCharType="separate"/>
      </w:r>
    </w:p>
    <w:p w:rsidR="00567A3B" w:rsidRPr="00D16AB6" w:rsidRDefault="00567A3B" w:rsidP="00567A3B">
      <w:pPr>
        <w:widowControl w:val="0"/>
        <w:spacing w:line="276" w:lineRule="auto"/>
        <w:ind w:left="1440" w:firstLine="454"/>
        <w:jc w:val="both"/>
        <w:rPr>
          <w:rFonts w:ascii="Garamond" w:eastAsia="Palatino Linotype" w:hAnsi="Garamond" w:cs="Palatino Linotype"/>
          <w:b/>
        </w:rPr>
      </w:pPr>
      <w:r>
        <w:rPr>
          <w:rFonts w:ascii="Garamond" w:eastAsia="Palatino Linotype" w:hAnsi="Garamond" w:cs="Palatino Linotype"/>
          <w:b/>
        </w:rPr>
        <w:fldChar w:fldCharType="end"/>
      </w:r>
      <w:r w:rsidRPr="00891713">
        <w:rPr>
          <w:rFonts w:ascii="Garamond" w:eastAsia="Palatino Linotype" w:hAnsi="Garamond" w:cs="Palatino Linotype"/>
          <w:b/>
          <w:szCs w:val="22"/>
        </w:rPr>
        <w:t xml:space="preserve">Source: </w:t>
      </w:r>
      <w:r w:rsidRPr="00891713">
        <w:rPr>
          <w:rFonts w:ascii="Garamond" w:eastAsia="Palatino Linotype" w:hAnsi="Garamond" w:cs="Palatino Linotype"/>
          <w:bCs/>
          <w:szCs w:val="22"/>
        </w:rPr>
        <w:t>SEBI, BSE, NSE and MSEI</w:t>
      </w:r>
    </w:p>
    <w:p w:rsidR="00567A3B" w:rsidRDefault="00567A3B" w:rsidP="00567A3B">
      <w:pPr>
        <w:widowControl w:val="0"/>
        <w:spacing w:line="276" w:lineRule="auto"/>
        <w:ind w:left="720"/>
        <w:jc w:val="both"/>
        <w:rPr>
          <w:rFonts w:ascii="Garamond" w:eastAsia="Palatino Linotype" w:hAnsi="Garamond" w:cs="Palatino Linotype"/>
          <w:b/>
          <w:szCs w:val="22"/>
        </w:rPr>
      </w:pPr>
    </w:p>
    <w:p w:rsidR="00567A3B" w:rsidRPr="009166B0" w:rsidRDefault="00567A3B" w:rsidP="00567A3B">
      <w:pPr>
        <w:widowControl w:val="0"/>
        <w:numPr>
          <w:ilvl w:val="0"/>
          <w:numId w:val="2"/>
        </w:numPr>
        <w:spacing w:line="276" w:lineRule="auto"/>
        <w:ind w:left="454" w:hanging="454"/>
        <w:rPr>
          <w:rFonts w:ascii="Garamond" w:eastAsia="Palatino Linotype" w:hAnsi="Garamond" w:cs="Palatino Linotype"/>
          <w:b/>
        </w:rPr>
      </w:pPr>
      <w:r w:rsidRPr="009166B0">
        <w:rPr>
          <w:rFonts w:ascii="Garamond" w:eastAsia="Palatino Linotype" w:hAnsi="Garamond" w:cs="Palatino Linotype"/>
          <w:b/>
        </w:rPr>
        <w:t>Trends in the Secondary Market</w:t>
      </w:r>
    </w:p>
    <w:p w:rsidR="00567A3B" w:rsidRPr="00D02850" w:rsidRDefault="00567A3B" w:rsidP="00567A3B">
      <w:pPr>
        <w:pBdr>
          <w:between w:val="nil"/>
        </w:pBdr>
        <w:spacing w:line="276" w:lineRule="auto"/>
        <w:ind w:left="360"/>
        <w:jc w:val="both"/>
        <w:rPr>
          <w:rFonts w:ascii="Garamond" w:eastAsia="Palatino Linotype" w:hAnsi="Garamond" w:cs="Palatino Linotype"/>
          <w:strike/>
        </w:rPr>
      </w:pPr>
    </w:p>
    <w:p w:rsidR="00567A3B" w:rsidRPr="004E7BB7" w:rsidRDefault="00567A3B" w:rsidP="00223C98">
      <w:pPr>
        <w:numPr>
          <w:ilvl w:val="0"/>
          <w:numId w:val="16"/>
        </w:numPr>
        <w:pBdr>
          <w:between w:val="nil"/>
        </w:pBdr>
        <w:spacing w:line="276" w:lineRule="auto"/>
        <w:jc w:val="both"/>
        <w:rPr>
          <w:rFonts w:ascii="Garamond" w:eastAsia="Palatino Linotype" w:hAnsi="Garamond" w:cs="Palatino Linotype"/>
        </w:rPr>
      </w:pPr>
      <w:r w:rsidRPr="004E7BB7">
        <w:rPr>
          <w:rFonts w:ascii="Garamond" w:eastAsia="Palatino Linotype" w:hAnsi="Garamond" w:cs="Palatino Linotype"/>
        </w:rPr>
        <w:t xml:space="preserve">During February 2022, Nifty 50 touched high of 17795 on February 02, 2022 and closed at 16,794 registering a fall of 3.1 per cent over January-end 2022. Similarly, BSE Sensex touched high of 59,619 on February 02, 2022 and closed at 56,247 falling by 3.0 per cent over end of January 2022. The </w:t>
      </w:r>
      <w:r w:rsidRPr="004E7BB7">
        <w:rPr>
          <w:rFonts w:ascii="Garamond" w:eastAsia="Palatino Linotype" w:hAnsi="Garamond" w:cs="Palatino Linotype"/>
        </w:rPr>
        <w:lastRenderedPageBreak/>
        <w:t>P/E ratios of S&amp;P BSE Sensex and Nifty 50 were 25.8 and 22.5 respectively, at the end of February 2022.</w:t>
      </w:r>
    </w:p>
    <w:p w:rsidR="00567A3B" w:rsidRPr="004E7BB7" w:rsidRDefault="00567A3B" w:rsidP="00567A3B">
      <w:pPr>
        <w:numPr>
          <w:ilvl w:val="0"/>
          <w:numId w:val="1"/>
        </w:numPr>
        <w:pBdr>
          <w:between w:val="nil"/>
        </w:pBdr>
        <w:spacing w:line="276" w:lineRule="auto"/>
        <w:jc w:val="both"/>
        <w:rPr>
          <w:rFonts w:ascii="Garamond" w:eastAsia="Palatino Linotype" w:hAnsi="Garamond" w:cs="Palatino Linotype"/>
        </w:rPr>
      </w:pPr>
      <w:r w:rsidRPr="004E7BB7">
        <w:rPr>
          <w:rFonts w:ascii="Garamond" w:eastAsia="Palatino Linotype" w:hAnsi="Garamond" w:cs="Palatino Linotype"/>
        </w:rPr>
        <w:t xml:space="preserve">Reflecting the fall in indices, the market capitalisation of BSE and NSE fell by 4.5 per cent and 4.4 per cent respectively, at the end of February 2022, over the previous month-end. </w:t>
      </w:r>
    </w:p>
    <w:p w:rsidR="00567A3B" w:rsidRPr="00D42444" w:rsidRDefault="00567A3B" w:rsidP="00567A3B">
      <w:pPr>
        <w:pBdr>
          <w:between w:val="nil"/>
        </w:pBdr>
        <w:spacing w:line="276" w:lineRule="auto"/>
        <w:ind w:left="720"/>
        <w:jc w:val="both"/>
        <w:rPr>
          <w:rFonts w:ascii="Garamond" w:eastAsia="Palatino Linotype" w:hAnsi="Garamond" w:cs="Palatino Linotype"/>
          <w:strike/>
        </w:rPr>
      </w:pPr>
    </w:p>
    <w:p w:rsidR="00567A3B" w:rsidRPr="007632DF" w:rsidRDefault="00567A3B" w:rsidP="00567A3B">
      <w:pPr>
        <w:pBdr>
          <w:between w:val="nil"/>
        </w:pBdr>
        <w:ind w:left="714"/>
        <w:jc w:val="both"/>
        <w:rPr>
          <w:rFonts w:ascii="Garamond" w:eastAsia="Palatino Linotype" w:hAnsi="Garamond" w:cs="Palatino Linotype"/>
          <w:b/>
        </w:rPr>
      </w:pPr>
      <w:r w:rsidRPr="007632DF">
        <w:rPr>
          <w:rFonts w:ascii="Garamond" w:eastAsia="Palatino Linotype" w:hAnsi="Garamond" w:cs="Palatino Linotype"/>
          <w:b/>
        </w:rPr>
        <w:t xml:space="preserve">Table 2: Snapshot of Indian Capital Market </w:t>
      </w:r>
    </w:p>
    <w:tbl>
      <w:tblPr>
        <w:tblW w:w="8217" w:type="dxa"/>
        <w:jc w:val="center"/>
        <w:tblLook w:val="04A0" w:firstRow="1" w:lastRow="0" w:firstColumn="1" w:lastColumn="0" w:noHBand="0" w:noVBand="1"/>
      </w:tblPr>
      <w:tblGrid>
        <w:gridCol w:w="2354"/>
        <w:gridCol w:w="1752"/>
        <w:gridCol w:w="1843"/>
        <w:gridCol w:w="2268"/>
      </w:tblGrid>
      <w:tr w:rsidR="00567A3B" w:rsidRPr="009860A2" w:rsidTr="0026016F">
        <w:trPr>
          <w:trHeight w:val="396"/>
          <w:jc w:val="center"/>
        </w:trPr>
        <w:tc>
          <w:tcPr>
            <w:tcW w:w="2354" w:type="dxa"/>
            <w:tcBorders>
              <w:top w:val="single" w:sz="4" w:space="0" w:color="auto"/>
              <w:left w:val="single" w:sz="4" w:space="0" w:color="auto"/>
              <w:bottom w:val="nil"/>
              <w:right w:val="single" w:sz="4" w:space="0" w:color="auto"/>
            </w:tcBorders>
            <w:shd w:val="clear" w:color="000000" w:fill="92CDDC"/>
            <w:noWrap/>
            <w:vAlign w:val="center"/>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Description</w:t>
            </w:r>
          </w:p>
        </w:tc>
        <w:tc>
          <w:tcPr>
            <w:tcW w:w="1752" w:type="dxa"/>
            <w:tcBorders>
              <w:top w:val="single" w:sz="4" w:space="0" w:color="auto"/>
              <w:left w:val="single" w:sz="4" w:space="0" w:color="auto"/>
              <w:bottom w:val="nil"/>
              <w:right w:val="single" w:sz="4" w:space="0" w:color="auto"/>
            </w:tcBorders>
            <w:shd w:val="clear" w:color="000000" w:fill="92CDDC"/>
            <w:noWrap/>
            <w:vAlign w:val="center"/>
            <w:hideMark/>
          </w:tcPr>
          <w:p w:rsidR="00567A3B" w:rsidRPr="009860A2" w:rsidRDefault="00567A3B" w:rsidP="0026016F">
            <w:pPr>
              <w:jc w:val="cente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Jan-22</w:t>
            </w:r>
          </w:p>
        </w:tc>
        <w:tc>
          <w:tcPr>
            <w:tcW w:w="1843" w:type="dxa"/>
            <w:tcBorders>
              <w:top w:val="single" w:sz="4" w:space="0" w:color="auto"/>
              <w:left w:val="single" w:sz="4" w:space="0" w:color="auto"/>
              <w:bottom w:val="single" w:sz="4" w:space="0" w:color="auto"/>
              <w:right w:val="single" w:sz="4" w:space="0" w:color="auto"/>
            </w:tcBorders>
            <w:shd w:val="clear" w:color="000000" w:fill="92CDDC"/>
            <w:noWrap/>
            <w:vAlign w:val="center"/>
            <w:hideMark/>
          </w:tcPr>
          <w:p w:rsidR="00567A3B" w:rsidRPr="009860A2" w:rsidRDefault="00567A3B" w:rsidP="0026016F">
            <w:pPr>
              <w:jc w:val="cente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Feb-22</w:t>
            </w:r>
          </w:p>
        </w:tc>
        <w:tc>
          <w:tcPr>
            <w:tcW w:w="2268" w:type="dxa"/>
            <w:tcBorders>
              <w:top w:val="single" w:sz="4" w:space="0" w:color="auto"/>
              <w:left w:val="single" w:sz="4" w:space="0" w:color="auto"/>
              <w:bottom w:val="single" w:sz="4" w:space="0" w:color="auto"/>
              <w:right w:val="single" w:sz="4" w:space="0" w:color="auto"/>
            </w:tcBorders>
            <w:shd w:val="clear" w:color="000000" w:fill="92CDDC"/>
            <w:noWrap/>
            <w:vAlign w:val="center"/>
            <w:hideMark/>
          </w:tcPr>
          <w:p w:rsidR="00567A3B" w:rsidRPr="009860A2" w:rsidRDefault="00567A3B" w:rsidP="0026016F">
            <w:pPr>
              <w:jc w:val="cente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M-o-M variation (%)</w:t>
            </w:r>
          </w:p>
        </w:tc>
      </w:tr>
      <w:tr w:rsidR="00567A3B" w:rsidRPr="009860A2" w:rsidTr="0026016F">
        <w:trPr>
          <w:trHeight w:val="322"/>
          <w:jc w:val="center"/>
        </w:trPr>
        <w:tc>
          <w:tcPr>
            <w:tcW w:w="8217" w:type="dxa"/>
            <w:gridSpan w:val="4"/>
            <w:tcBorders>
              <w:top w:val="single" w:sz="8" w:space="0" w:color="auto"/>
              <w:left w:val="single" w:sz="4" w:space="0" w:color="auto"/>
              <w:bottom w:val="single" w:sz="8" w:space="0" w:color="000000"/>
              <w:right w:val="single" w:sz="4" w:space="0" w:color="auto"/>
            </w:tcBorders>
            <w:shd w:val="clear" w:color="000000" w:fill="C6E0B4"/>
            <w:noWrap/>
            <w:vAlign w:val="center"/>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Equity Market indices</w:t>
            </w:r>
          </w:p>
        </w:tc>
      </w:tr>
      <w:tr w:rsidR="00567A3B" w:rsidRPr="009860A2" w:rsidTr="0026016F">
        <w:trPr>
          <w:trHeight w:val="237"/>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Nifty 50</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17,340</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16,794</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-3.1</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Sensex</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58,014</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56,247</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-3.0</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Nifty Midcap 50</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8,395</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7,810</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-7.0</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Nifty Smallcap 100</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11,116</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9,845</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-11.4</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BSE Midcap</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24,613</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23,356</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-5.1</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BSE Smallcap</w:t>
            </w:r>
          </w:p>
        </w:tc>
        <w:tc>
          <w:tcPr>
            <w:tcW w:w="1752" w:type="dxa"/>
            <w:tcBorders>
              <w:top w:val="nil"/>
              <w:left w:val="nil"/>
              <w:bottom w:val="single" w:sz="8" w:space="0" w:color="auto"/>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29,227</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26,662</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-8.8</w:t>
            </w:r>
          </w:p>
        </w:tc>
      </w:tr>
      <w:tr w:rsidR="00567A3B" w:rsidRPr="009860A2" w:rsidTr="0026016F">
        <w:trPr>
          <w:trHeight w:val="249"/>
          <w:jc w:val="center"/>
        </w:trPr>
        <w:tc>
          <w:tcPr>
            <w:tcW w:w="82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Market Capitalisation (</w:t>
            </w:r>
            <w:r w:rsidRPr="009860A2">
              <w:rPr>
                <w:rFonts w:ascii="Times New Roman" w:eastAsia="Times New Roman" w:hAnsi="Times New Roman"/>
                <w:b/>
                <w:bCs/>
                <w:color w:val="000000"/>
                <w:sz w:val="20"/>
              </w:rPr>
              <w:t>₹</w:t>
            </w:r>
            <w:r w:rsidRPr="009860A2">
              <w:rPr>
                <w:rFonts w:ascii="Garamond" w:eastAsia="Times New Roman" w:hAnsi="Garamond" w:cs="Calibri"/>
                <w:b/>
                <w:bCs/>
                <w:color w:val="000000"/>
                <w:sz w:val="20"/>
              </w:rPr>
              <w:t xml:space="preserve"> </w:t>
            </w:r>
            <w:r w:rsidR="000654C7">
              <w:rPr>
                <w:rFonts w:ascii="Garamond" w:eastAsia="Times New Roman" w:hAnsi="Garamond" w:cs="Calibri"/>
                <w:b/>
                <w:bCs/>
                <w:color w:val="000000"/>
                <w:sz w:val="20"/>
              </w:rPr>
              <w:t>crore</w:t>
            </w:r>
            <w:r w:rsidRPr="009860A2">
              <w:rPr>
                <w:rFonts w:ascii="Garamond" w:eastAsia="Times New Roman" w:hAnsi="Garamond" w:cs="Calibri"/>
                <w:b/>
                <w:bCs/>
                <w:color w:val="000000"/>
                <w:sz w:val="20"/>
              </w:rPr>
              <w:t>)</w:t>
            </w:r>
          </w:p>
        </w:tc>
      </w:tr>
      <w:tr w:rsidR="00567A3B" w:rsidRPr="009860A2" w:rsidTr="0026016F">
        <w:trPr>
          <w:trHeight w:val="249"/>
          <w:jc w:val="center"/>
        </w:trPr>
        <w:tc>
          <w:tcPr>
            <w:tcW w:w="2354" w:type="dxa"/>
            <w:tcBorders>
              <w:top w:val="single" w:sz="4" w:space="0" w:color="auto"/>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 xml:space="preserve">BSE </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2,64,41,207</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2,52,39,045</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-4.5</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NSE</w:t>
            </w:r>
          </w:p>
        </w:tc>
        <w:tc>
          <w:tcPr>
            <w:tcW w:w="1752" w:type="dxa"/>
            <w:tcBorders>
              <w:top w:val="nil"/>
              <w:left w:val="nil"/>
              <w:bottom w:val="single" w:sz="8" w:space="0" w:color="auto"/>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2,62,19,159</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2,50,53,581</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-4.4</w:t>
            </w:r>
          </w:p>
        </w:tc>
      </w:tr>
      <w:tr w:rsidR="00567A3B" w:rsidRPr="009860A2" w:rsidTr="0026016F">
        <w:trPr>
          <w:trHeight w:val="249"/>
          <w:jc w:val="center"/>
        </w:trPr>
        <w:tc>
          <w:tcPr>
            <w:tcW w:w="82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P/E Ratio</w:t>
            </w:r>
          </w:p>
        </w:tc>
      </w:tr>
      <w:tr w:rsidR="00567A3B" w:rsidRPr="009860A2" w:rsidTr="0026016F">
        <w:trPr>
          <w:trHeight w:val="249"/>
          <w:jc w:val="center"/>
        </w:trPr>
        <w:tc>
          <w:tcPr>
            <w:tcW w:w="2354" w:type="dxa"/>
            <w:tcBorders>
              <w:top w:val="single" w:sz="4" w:space="0" w:color="auto"/>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Sensex</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28.2</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25.8</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-8.6</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Nifty 50</w:t>
            </w:r>
          </w:p>
        </w:tc>
        <w:tc>
          <w:tcPr>
            <w:tcW w:w="1752" w:type="dxa"/>
            <w:tcBorders>
              <w:top w:val="nil"/>
              <w:left w:val="nil"/>
              <w:bottom w:val="single" w:sz="8" w:space="0" w:color="auto"/>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24.5</w:t>
            </w:r>
          </w:p>
        </w:tc>
        <w:tc>
          <w:tcPr>
            <w:tcW w:w="1843" w:type="dxa"/>
            <w:tcBorders>
              <w:top w:val="nil"/>
              <w:left w:val="nil"/>
              <w:bottom w:val="single" w:sz="8" w:space="0" w:color="auto"/>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22.5</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-8.1</w:t>
            </w:r>
          </w:p>
        </w:tc>
      </w:tr>
      <w:tr w:rsidR="00567A3B" w:rsidRPr="009860A2" w:rsidTr="0026016F">
        <w:trPr>
          <w:trHeight w:val="297"/>
          <w:jc w:val="center"/>
        </w:trPr>
        <w:tc>
          <w:tcPr>
            <w:tcW w:w="82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No of Listed Companies</w:t>
            </w:r>
          </w:p>
        </w:tc>
      </w:tr>
      <w:tr w:rsidR="00567A3B" w:rsidRPr="009860A2" w:rsidTr="0026016F">
        <w:trPr>
          <w:trHeight w:val="249"/>
          <w:jc w:val="center"/>
        </w:trPr>
        <w:tc>
          <w:tcPr>
            <w:tcW w:w="2354" w:type="dxa"/>
            <w:tcBorders>
              <w:top w:val="single" w:sz="4" w:space="0" w:color="auto"/>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 xml:space="preserve">BSE </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5,328</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5,344</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0.3</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NSE</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2,051</w:t>
            </w:r>
          </w:p>
        </w:tc>
        <w:tc>
          <w:tcPr>
            <w:tcW w:w="1843" w:type="dxa"/>
            <w:tcBorders>
              <w:top w:val="nil"/>
              <w:left w:val="nil"/>
              <w:bottom w:val="nil"/>
              <w:right w:val="single" w:sz="8" w:space="0" w:color="auto"/>
            </w:tcBorders>
            <w:shd w:val="clear" w:color="auto" w:fill="auto"/>
            <w:noWrap/>
          </w:tcPr>
          <w:p w:rsidR="00567A3B" w:rsidRPr="009860A2" w:rsidRDefault="007632DF" w:rsidP="0026016F">
            <w:pPr>
              <w:jc w:val="right"/>
              <w:rPr>
                <w:rFonts w:ascii="Garamond" w:eastAsia="Calibri" w:hAnsi="Garamond" w:cs="Calibri"/>
                <w:color w:val="000000"/>
                <w:sz w:val="20"/>
              </w:rPr>
            </w:pPr>
            <w:r>
              <w:rPr>
                <w:rFonts w:ascii="Garamond" w:eastAsia="Calibri" w:hAnsi="Garamond" w:cs="Calibri"/>
                <w:color w:val="000000"/>
                <w:sz w:val="20"/>
              </w:rPr>
              <w:t>2,060</w:t>
            </w:r>
          </w:p>
        </w:tc>
        <w:tc>
          <w:tcPr>
            <w:tcW w:w="2268" w:type="dxa"/>
            <w:tcBorders>
              <w:top w:val="nil"/>
              <w:left w:val="nil"/>
              <w:bottom w:val="nil"/>
              <w:right w:val="single" w:sz="8" w:space="0" w:color="auto"/>
            </w:tcBorders>
            <w:shd w:val="clear" w:color="auto" w:fill="auto"/>
            <w:noWrap/>
          </w:tcPr>
          <w:p w:rsidR="00567A3B" w:rsidRPr="009860A2" w:rsidRDefault="007632DF" w:rsidP="0026016F">
            <w:pPr>
              <w:jc w:val="right"/>
              <w:rPr>
                <w:rFonts w:ascii="Garamond" w:eastAsia="Calibri" w:hAnsi="Garamond" w:cs="Calibri"/>
                <w:color w:val="000000"/>
                <w:sz w:val="20"/>
              </w:rPr>
            </w:pPr>
            <w:r>
              <w:rPr>
                <w:rFonts w:ascii="Garamond" w:eastAsia="Calibri" w:hAnsi="Garamond" w:cs="Calibri"/>
                <w:color w:val="000000"/>
                <w:sz w:val="20"/>
              </w:rPr>
              <w:t>0.4</w:t>
            </w:r>
          </w:p>
        </w:tc>
      </w:tr>
      <w:tr w:rsidR="00567A3B" w:rsidRPr="009860A2" w:rsidTr="0026016F">
        <w:trPr>
          <w:trHeight w:val="372"/>
          <w:jc w:val="center"/>
        </w:trPr>
        <w:tc>
          <w:tcPr>
            <w:tcW w:w="8217" w:type="dxa"/>
            <w:gridSpan w:val="4"/>
            <w:tcBorders>
              <w:top w:val="single" w:sz="8" w:space="0" w:color="auto"/>
              <w:left w:val="single" w:sz="4" w:space="0" w:color="auto"/>
              <w:bottom w:val="single" w:sz="8" w:space="0" w:color="auto"/>
              <w:right w:val="single" w:sz="4" w:space="0" w:color="auto"/>
            </w:tcBorders>
            <w:shd w:val="clear" w:color="000000" w:fill="C6E0B4"/>
            <w:noWrap/>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Gross Turnover in Equity</w:t>
            </w:r>
            <w:r w:rsidR="00721DBE">
              <w:rPr>
                <w:rFonts w:ascii="Garamond" w:eastAsia="Times New Roman" w:hAnsi="Garamond" w:cs="Calibri"/>
                <w:b/>
                <w:bCs/>
                <w:color w:val="000000"/>
                <w:sz w:val="20"/>
              </w:rPr>
              <w:t xml:space="preserve"> Cash</w:t>
            </w:r>
            <w:r w:rsidRPr="009860A2">
              <w:rPr>
                <w:rFonts w:ascii="Garamond" w:eastAsia="Times New Roman" w:hAnsi="Garamond" w:cs="Calibri"/>
                <w:b/>
                <w:bCs/>
                <w:color w:val="000000"/>
                <w:sz w:val="20"/>
              </w:rPr>
              <w:t xml:space="preserve"> Segment (</w:t>
            </w:r>
            <w:r w:rsidRPr="009860A2">
              <w:rPr>
                <w:rFonts w:ascii="Times New Roman" w:eastAsia="Times New Roman" w:hAnsi="Times New Roman"/>
                <w:b/>
                <w:bCs/>
                <w:color w:val="000000"/>
                <w:sz w:val="20"/>
              </w:rPr>
              <w:t>₹</w:t>
            </w:r>
            <w:r w:rsidRPr="009860A2">
              <w:rPr>
                <w:rFonts w:ascii="Garamond" w:eastAsia="Times New Roman" w:hAnsi="Garamond" w:cs="Calibri"/>
                <w:b/>
                <w:bCs/>
                <w:color w:val="000000"/>
                <w:sz w:val="20"/>
              </w:rPr>
              <w:t xml:space="preserve"> </w:t>
            </w:r>
            <w:r w:rsidR="000654C7">
              <w:rPr>
                <w:rFonts w:ascii="Garamond" w:eastAsia="Times New Roman" w:hAnsi="Garamond" w:cs="Calibri"/>
                <w:b/>
                <w:bCs/>
                <w:color w:val="000000"/>
                <w:sz w:val="20"/>
              </w:rPr>
              <w:t>crore</w:t>
            </w:r>
            <w:r w:rsidRPr="009860A2">
              <w:rPr>
                <w:rFonts w:ascii="Garamond" w:eastAsia="Times New Roman" w:hAnsi="Garamond" w:cs="Calibri"/>
                <w:b/>
                <w:bCs/>
                <w:color w:val="000000"/>
                <w:sz w:val="20"/>
              </w:rPr>
              <w:t>)</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 xml:space="preserve">BSE </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1,07,294</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96,249</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-10.3</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NSE</w:t>
            </w:r>
          </w:p>
        </w:tc>
        <w:tc>
          <w:tcPr>
            <w:tcW w:w="1752" w:type="dxa"/>
            <w:tcBorders>
              <w:top w:val="nil"/>
              <w:left w:val="nil"/>
              <w:bottom w:val="single" w:sz="8" w:space="0" w:color="auto"/>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12,83,551</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11,68,843</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-8.9</w:t>
            </w:r>
          </w:p>
        </w:tc>
      </w:tr>
      <w:tr w:rsidR="00567A3B" w:rsidRPr="009860A2" w:rsidTr="0026016F">
        <w:trPr>
          <w:trHeight w:val="249"/>
          <w:jc w:val="center"/>
        </w:trPr>
        <w:tc>
          <w:tcPr>
            <w:tcW w:w="82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Gross Turnover in Equity Derivatives Segment (</w:t>
            </w:r>
            <w:r w:rsidRPr="009860A2">
              <w:rPr>
                <w:rFonts w:ascii="Times New Roman" w:eastAsia="Times New Roman" w:hAnsi="Times New Roman"/>
                <w:b/>
                <w:bCs/>
                <w:color w:val="000000"/>
                <w:sz w:val="20"/>
              </w:rPr>
              <w:t>₹</w:t>
            </w:r>
            <w:r w:rsidRPr="009860A2">
              <w:rPr>
                <w:rFonts w:ascii="Garamond" w:eastAsia="Times New Roman" w:hAnsi="Garamond" w:cs="Calibri"/>
                <w:b/>
                <w:bCs/>
                <w:color w:val="000000"/>
                <w:sz w:val="20"/>
              </w:rPr>
              <w:t xml:space="preserve"> </w:t>
            </w:r>
            <w:r w:rsidR="000654C7">
              <w:rPr>
                <w:rFonts w:ascii="Garamond" w:eastAsia="Times New Roman" w:hAnsi="Garamond" w:cs="Calibri"/>
                <w:b/>
                <w:bCs/>
                <w:color w:val="000000"/>
                <w:sz w:val="20"/>
              </w:rPr>
              <w:t>crore</w:t>
            </w:r>
            <w:r w:rsidRPr="009860A2">
              <w:rPr>
                <w:rFonts w:ascii="Garamond" w:eastAsia="Times New Roman" w:hAnsi="Garamond" w:cs="Calibri"/>
                <w:b/>
                <w:bCs/>
                <w:color w:val="000000"/>
                <w:sz w:val="20"/>
              </w:rPr>
              <w:t>)</w:t>
            </w:r>
          </w:p>
        </w:tc>
      </w:tr>
      <w:tr w:rsidR="00567A3B" w:rsidRPr="009860A2" w:rsidTr="0026016F">
        <w:trPr>
          <w:trHeight w:val="249"/>
          <w:jc w:val="center"/>
        </w:trPr>
        <w:tc>
          <w:tcPr>
            <w:tcW w:w="2354" w:type="dxa"/>
            <w:tcBorders>
              <w:top w:val="single" w:sz="4" w:space="0" w:color="auto"/>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 xml:space="preserve">BSE </w:t>
            </w:r>
          </w:p>
        </w:tc>
        <w:tc>
          <w:tcPr>
            <w:tcW w:w="1752"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50,64,564</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48,24,490</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-4.7</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NSE</w:t>
            </w:r>
          </w:p>
        </w:tc>
        <w:tc>
          <w:tcPr>
            <w:tcW w:w="1752" w:type="dxa"/>
            <w:tcBorders>
              <w:top w:val="nil"/>
              <w:left w:val="nil"/>
              <w:bottom w:val="single" w:sz="8" w:space="0" w:color="auto"/>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17,97,40,762</w:t>
            </w:r>
          </w:p>
        </w:tc>
        <w:tc>
          <w:tcPr>
            <w:tcW w:w="1843"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20,01,77,267</w:t>
            </w:r>
          </w:p>
        </w:tc>
        <w:tc>
          <w:tcPr>
            <w:tcW w:w="2268" w:type="dxa"/>
            <w:tcBorders>
              <w:top w:val="nil"/>
              <w:left w:val="nil"/>
              <w:bottom w:val="nil"/>
              <w:right w:val="single" w:sz="8" w:space="0" w:color="auto"/>
            </w:tcBorders>
            <w:shd w:val="clear" w:color="auto" w:fill="auto"/>
            <w:noWrap/>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11.4</w:t>
            </w:r>
          </w:p>
        </w:tc>
      </w:tr>
      <w:tr w:rsidR="00567A3B" w:rsidRPr="009860A2" w:rsidTr="0026016F">
        <w:trPr>
          <w:trHeight w:val="249"/>
          <w:jc w:val="center"/>
        </w:trPr>
        <w:tc>
          <w:tcPr>
            <w:tcW w:w="82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Gross Turnover in Currency Derivatives Segment (</w:t>
            </w:r>
            <w:r w:rsidRPr="009860A2">
              <w:rPr>
                <w:rFonts w:ascii="Times New Roman" w:eastAsia="Times New Roman" w:hAnsi="Times New Roman"/>
                <w:b/>
                <w:bCs/>
                <w:color w:val="000000"/>
                <w:sz w:val="20"/>
              </w:rPr>
              <w:t>₹</w:t>
            </w:r>
            <w:r w:rsidRPr="009860A2">
              <w:rPr>
                <w:rFonts w:ascii="Garamond" w:eastAsia="Times New Roman" w:hAnsi="Garamond" w:cs="Calibri"/>
                <w:b/>
                <w:bCs/>
                <w:color w:val="000000"/>
                <w:sz w:val="20"/>
              </w:rPr>
              <w:t xml:space="preserve"> </w:t>
            </w:r>
            <w:r w:rsidR="000654C7">
              <w:rPr>
                <w:rFonts w:ascii="Garamond" w:eastAsia="Times New Roman" w:hAnsi="Garamond" w:cs="Calibri"/>
                <w:b/>
                <w:bCs/>
                <w:color w:val="000000"/>
                <w:sz w:val="20"/>
              </w:rPr>
              <w:t>crore</w:t>
            </w:r>
            <w:r w:rsidRPr="009860A2">
              <w:rPr>
                <w:rFonts w:ascii="Garamond" w:eastAsia="Times New Roman" w:hAnsi="Garamond" w:cs="Calibri"/>
                <w:b/>
                <w:bCs/>
                <w:color w:val="000000"/>
                <w:sz w:val="20"/>
              </w:rPr>
              <w:t>)</w:t>
            </w:r>
          </w:p>
        </w:tc>
      </w:tr>
      <w:tr w:rsidR="00567A3B" w:rsidRPr="009860A2" w:rsidTr="0026016F">
        <w:trPr>
          <w:trHeight w:val="249"/>
          <w:jc w:val="center"/>
        </w:trPr>
        <w:tc>
          <w:tcPr>
            <w:tcW w:w="2354" w:type="dxa"/>
            <w:tcBorders>
              <w:top w:val="single" w:sz="4" w:space="0" w:color="auto"/>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 xml:space="preserve">BSE </w:t>
            </w:r>
          </w:p>
        </w:tc>
        <w:tc>
          <w:tcPr>
            <w:tcW w:w="1752"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5,65,635</w:t>
            </w:r>
          </w:p>
        </w:tc>
        <w:tc>
          <w:tcPr>
            <w:tcW w:w="1843"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5,99,326</w:t>
            </w:r>
          </w:p>
        </w:tc>
        <w:tc>
          <w:tcPr>
            <w:tcW w:w="2268"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6.0</w:t>
            </w:r>
          </w:p>
        </w:tc>
      </w:tr>
      <w:tr w:rsidR="00567A3B" w:rsidRPr="009860A2" w:rsidTr="0026016F">
        <w:trPr>
          <w:trHeight w:val="249"/>
          <w:jc w:val="center"/>
        </w:trPr>
        <w:tc>
          <w:tcPr>
            <w:tcW w:w="2354" w:type="dxa"/>
            <w:tcBorders>
              <w:top w:val="nil"/>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NSE</w:t>
            </w:r>
          </w:p>
        </w:tc>
        <w:tc>
          <w:tcPr>
            <w:tcW w:w="1752"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21,57,261</w:t>
            </w:r>
          </w:p>
        </w:tc>
        <w:tc>
          <w:tcPr>
            <w:tcW w:w="1843"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26,30,774</w:t>
            </w:r>
          </w:p>
        </w:tc>
        <w:tc>
          <w:tcPr>
            <w:tcW w:w="2268"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21.9</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MSEI</w:t>
            </w:r>
          </w:p>
        </w:tc>
        <w:tc>
          <w:tcPr>
            <w:tcW w:w="1752"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4,406</w:t>
            </w:r>
          </w:p>
        </w:tc>
        <w:tc>
          <w:tcPr>
            <w:tcW w:w="1843"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4,794</w:t>
            </w:r>
          </w:p>
        </w:tc>
        <w:tc>
          <w:tcPr>
            <w:tcW w:w="2268"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8.8</w:t>
            </w:r>
          </w:p>
        </w:tc>
      </w:tr>
      <w:tr w:rsidR="00567A3B" w:rsidRPr="009860A2" w:rsidTr="0026016F">
        <w:trPr>
          <w:trHeight w:val="249"/>
          <w:jc w:val="center"/>
        </w:trPr>
        <w:tc>
          <w:tcPr>
            <w:tcW w:w="82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b/>
                <w:bCs/>
                <w:color w:val="000000"/>
                <w:sz w:val="20"/>
                <w:lang w:val="en-US"/>
              </w:rPr>
            </w:pPr>
            <w:r w:rsidRPr="009860A2">
              <w:rPr>
                <w:rFonts w:ascii="Garamond" w:eastAsia="Times New Roman" w:hAnsi="Garamond" w:cs="Calibri"/>
                <w:b/>
                <w:bCs/>
                <w:color w:val="000000"/>
                <w:sz w:val="20"/>
              </w:rPr>
              <w:t>Gross Turnover in Interest Rate Derivatives Segment (</w:t>
            </w:r>
            <w:r w:rsidRPr="009860A2">
              <w:rPr>
                <w:rFonts w:ascii="Times New Roman" w:eastAsia="Times New Roman" w:hAnsi="Times New Roman"/>
                <w:b/>
                <w:bCs/>
                <w:color w:val="000000"/>
                <w:sz w:val="20"/>
              </w:rPr>
              <w:t>₹</w:t>
            </w:r>
            <w:r w:rsidRPr="009860A2">
              <w:rPr>
                <w:rFonts w:ascii="Garamond" w:eastAsia="Times New Roman" w:hAnsi="Garamond" w:cs="Calibri"/>
                <w:b/>
                <w:bCs/>
                <w:color w:val="000000"/>
                <w:sz w:val="20"/>
              </w:rPr>
              <w:t xml:space="preserve"> </w:t>
            </w:r>
            <w:r w:rsidR="000654C7">
              <w:rPr>
                <w:rFonts w:ascii="Garamond" w:eastAsia="Times New Roman" w:hAnsi="Garamond" w:cs="Calibri"/>
                <w:b/>
                <w:bCs/>
                <w:color w:val="000000"/>
                <w:sz w:val="20"/>
              </w:rPr>
              <w:t>crore</w:t>
            </w:r>
            <w:r w:rsidRPr="009860A2">
              <w:rPr>
                <w:rFonts w:ascii="Garamond" w:eastAsia="Times New Roman" w:hAnsi="Garamond" w:cs="Calibri"/>
                <w:b/>
                <w:bCs/>
                <w:color w:val="000000"/>
                <w:sz w:val="20"/>
              </w:rPr>
              <w:t>)</w:t>
            </w:r>
          </w:p>
        </w:tc>
      </w:tr>
      <w:tr w:rsidR="00567A3B" w:rsidRPr="009860A2" w:rsidTr="0026016F">
        <w:trPr>
          <w:trHeight w:val="249"/>
          <w:jc w:val="center"/>
        </w:trPr>
        <w:tc>
          <w:tcPr>
            <w:tcW w:w="2354" w:type="dxa"/>
            <w:tcBorders>
              <w:top w:val="single" w:sz="4" w:space="0" w:color="auto"/>
              <w:left w:val="single" w:sz="4" w:space="0" w:color="auto"/>
              <w:bottom w:val="nil"/>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 xml:space="preserve">BSE </w:t>
            </w:r>
          </w:p>
        </w:tc>
        <w:tc>
          <w:tcPr>
            <w:tcW w:w="1752"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3,826</w:t>
            </w:r>
          </w:p>
        </w:tc>
        <w:tc>
          <w:tcPr>
            <w:tcW w:w="1843"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5,089</w:t>
            </w:r>
          </w:p>
        </w:tc>
        <w:tc>
          <w:tcPr>
            <w:tcW w:w="2268" w:type="dxa"/>
            <w:tcBorders>
              <w:top w:val="nil"/>
              <w:left w:val="nil"/>
              <w:bottom w:val="nil"/>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33.0</w:t>
            </w:r>
          </w:p>
        </w:tc>
      </w:tr>
      <w:tr w:rsidR="00567A3B" w:rsidRPr="009860A2" w:rsidTr="0026016F">
        <w:trPr>
          <w:trHeight w:val="249"/>
          <w:jc w:val="center"/>
        </w:trPr>
        <w:tc>
          <w:tcPr>
            <w:tcW w:w="2354" w:type="dxa"/>
            <w:tcBorders>
              <w:top w:val="nil"/>
              <w:left w:val="single" w:sz="4" w:space="0" w:color="auto"/>
              <w:bottom w:val="single" w:sz="4" w:space="0" w:color="auto"/>
              <w:right w:val="single" w:sz="4" w:space="0" w:color="auto"/>
            </w:tcBorders>
            <w:shd w:val="clear" w:color="auto" w:fill="auto"/>
            <w:noWrap/>
            <w:hideMark/>
          </w:tcPr>
          <w:p w:rsidR="00567A3B" w:rsidRPr="009860A2" w:rsidRDefault="00567A3B" w:rsidP="0026016F">
            <w:pPr>
              <w:rPr>
                <w:rFonts w:ascii="Garamond" w:eastAsia="Times New Roman" w:hAnsi="Garamond" w:cs="Calibri"/>
                <w:color w:val="000000"/>
                <w:sz w:val="20"/>
                <w:lang w:val="en-US"/>
              </w:rPr>
            </w:pPr>
            <w:r w:rsidRPr="009860A2">
              <w:rPr>
                <w:rFonts w:ascii="Garamond" w:eastAsia="Times New Roman" w:hAnsi="Garamond" w:cs="Calibri"/>
                <w:color w:val="000000"/>
                <w:sz w:val="20"/>
              </w:rPr>
              <w:t>NSE</w:t>
            </w:r>
          </w:p>
        </w:tc>
        <w:tc>
          <w:tcPr>
            <w:tcW w:w="1752" w:type="dxa"/>
            <w:tcBorders>
              <w:top w:val="nil"/>
              <w:left w:val="single" w:sz="8" w:space="0" w:color="auto"/>
              <w:bottom w:val="single" w:sz="8" w:space="0" w:color="auto"/>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1,995</w:t>
            </w:r>
          </w:p>
        </w:tc>
        <w:tc>
          <w:tcPr>
            <w:tcW w:w="1843" w:type="dxa"/>
            <w:tcBorders>
              <w:top w:val="nil"/>
              <w:left w:val="nil"/>
              <w:bottom w:val="single" w:sz="8" w:space="0" w:color="auto"/>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3,742</w:t>
            </w:r>
          </w:p>
        </w:tc>
        <w:tc>
          <w:tcPr>
            <w:tcW w:w="2268" w:type="dxa"/>
            <w:tcBorders>
              <w:top w:val="nil"/>
              <w:left w:val="nil"/>
              <w:bottom w:val="single" w:sz="8" w:space="0" w:color="auto"/>
              <w:right w:val="single" w:sz="8" w:space="0" w:color="auto"/>
            </w:tcBorders>
            <w:shd w:val="clear" w:color="auto" w:fill="auto"/>
            <w:noWrap/>
            <w:vAlign w:val="center"/>
            <w:hideMark/>
          </w:tcPr>
          <w:p w:rsidR="00567A3B" w:rsidRPr="009860A2" w:rsidRDefault="00567A3B" w:rsidP="0026016F">
            <w:pPr>
              <w:jc w:val="right"/>
              <w:rPr>
                <w:rFonts w:ascii="Garamond" w:eastAsia="Calibri" w:hAnsi="Garamond" w:cs="Calibri"/>
                <w:color w:val="000000"/>
                <w:sz w:val="20"/>
              </w:rPr>
            </w:pPr>
            <w:r w:rsidRPr="009860A2">
              <w:rPr>
                <w:rFonts w:ascii="Garamond" w:eastAsia="Calibri" w:hAnsi="Garamond" w:cs="Calibri"/>
                <w:color w:val="000000"/>
                <w:sz w:val="20"/>
              </w:rPr>
              <w:t>87.6</w:t>
            </w:r>
          </w:p>
        </w:tc>
      </w:tr>
    </w:tbl>
    <w:p w:rsidR="00567A3B" w:rsidRPr="009860A2" w:rsidRDefault="00567A3B" w:rsidP="00567A3B">
      <w:pPr>
        <w:pBdr>
          <w:between w:val="nil"/>
        </w:pBdr>
        <w:spacing w:line="276" w:lineRule="auto"/>
        <w:rPr>
          <w:rFonts w:ascii="Garamond" w:eastAsia="Palatino Linotype" w:hAnsi="Garamond" w:cs="Palatino Linotype"/>
          <w:bCs/>
          <w:szCs w:val="22"/>
        </w:rPr>
      </w:pPr>
      <w:r w:rsidRPr="009860A2">
        <w:rPr>
          <w:rFonts w:ascii="Garamond" w:eastAsia="Calibri" w:hAnsi="Garamond"/>
          <w:szCs w:val="22"/>
        </w:rPr>
        <w:t xml:space="preserve">               </w:t>
      </w:r>
      <w:r w:rsidRPr="009860A2">
        <w:rPr>
          <w:rFonts w:ascii="Garamond" w:eastAsia="Palatino Linotype" w:hAnsi="Garamond" w:cs="Palatino Linotype"/>
          <w:b/>
          <w:szCs w:val="22"/>
        </w:rPr>
        <w:t xml:space="preserve">Source: </w:t>
      </w:r>
      <w:r w:rsidRPr="009860A2">
        <w:rPr>
          <w:rFonts w:ascii="Garamond" w:eastAsia="Palatino Linotype" w:hAnsi="Garamond" w:cs="Palatino Linotype"/>
          <w:bCs/>
          <w:szCs w:val="22"/>
        </w:rPr>
        <w:t>BSE, NSE and MSEI</w:t>
      </w: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rPr>
          <w:rFonts w:ascii="Garamond" w:eastAsia="Palatino Linotype" w:hAnsi="Garamond" w:cs="Palatino Linotype"/>
          <w:b/>
          <w:strike/>
        </w:rPr>
      </w:pPr>
    </w:p>
    <w:p w:rsidR="00567A3B" w:rsidRDefault="00567A3B" w:rsidP="00567A3B">
      <w:pPr>
        <w:spacing w:line="276" w:lineRule="auto"/>
        <w:jc w:val="center"/>
        <w:rPr>
          <w:rFonts w:ascii="Garamond" w:eastAsia="Palatino Linotype" w:hAnsi="Garamond" w:cs="Palatino Linotype"/>
          <w:b/>
        </w:rPr>
      </w:pPr>
      <w:r w:rsidRPr="00C6045B">
        <w:rPr>
          <w:rFonts w:ascii="Garamond" w:eastAsia="Palatino Linotype" w:hAnsi="Garamond" w:cs="Palatino Linotype"/>
          <w:b/>
        </w:rPr>
        <w:t>Figure 1: Movement of S&amp;P BSE Sensex and Nifty 50</w:t>
      </w:r>
    </w:p>
    <w:p w:rsidR="00567A3B" w:rsidRDefault="00567A3B" w:rsidP="00567A3B">
      <w:pPr>
        <w:spacing w:line="276" w:lineRule="auto"/>
        <w:jc w:val="center"/>
        <w:rPr>
          <w:rFonts w:ascii="Garamond" w:eastAsia="Palatino Linotype" w:hAnsi="Garamond" w:cs="Palatino Linotype"/>
          <w:b/>
        </w:rPr>
      </w:pPr>
      <w:r w:rsidRPr="009000FB">
        <w:rPr>
          <w:noProof/>
          <w:lang w:val="en-US" w:bidi="hi-IN"/>
        </w:rPr>
        <w:lastRenderedPageBreak/>
        <w:drawing>
          <wp:inline distT="0" distB="0" distL="0" distR="0" wp14:anchorId="14D41D7B" wp14:editId="287BB906">
            <wp:extent cx="5731510" cy="2496983"/>
            <wp:effectExtent l="0" t="0" r="2540" b="17780"/>
            <wp:docPr id="17" name="Chart 17">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7D507601-3DEE-4635-98BE-2ED2566568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67A3B" w:rsidRPr="00C6045B" w:rsidRDefault="00567A3B" w:rsidP="00567A3B">
      <w:pPr>
        <w:spacing w:line="276" w:lineRule="auto"/>
        <w:jc w:val="center"/>
        <w:rPr>
          <w:rFonts w:ascii="Garamond" w:eastAsia="Palatino Linotype" w:hAnsi="Garamond" w:cs="Palatino Linotype"/>
          <w:b/>
        </w:rPr>
      </w:pPr>
    </w:p>
    <w:p w:rsidR="00567A3B" w:rsidRPr="00721DBE" w:rsidRDefault="00567A3B" w:rsidP="00567A3B">
      <w:pPr>
        <w:spacing w:line="276" w:lineRule="auto"/>
        <w:rPr>
          <w:rFonts w:ascii="Garamond" w:eastAsia="Palatino Linotype" w:hAnsi="Garamond" w:cs="Palatino Linotype"/>
          <w:bCs/>
          <w:i/>
          <w:iCs/>
          <w:szCs w:val="22"/>
        </w:rPr>
      </w:pPr>
      <w:r w:rsidRPr="00721DBE">
        <w:rPr>
          <w:rFonts w:ascii="Garamond" w:eastAsia="Palatino Linotype" w:hAnsi="Garamond" w:cs="Palatino Linotype"/>
          <w:bCs/>
          <w:i/>
          <w:iCs/>
          <w:szCs w:val="22"/>
        </w:rPr>
        <w:t xml:space="preserve">Note: The closing values of Nifty 50 and Sensex have been rebased with respective closing values of last day of the previous month. </w:t>
      </w:r>
    </w:p>
    <w:p w:rsidR="00567A3B" w:rsidRPr="00C6045B" w:rsidRDefault="00567A3B" w:rsidP="00567A3B">
      <w:pPr>
        <w:spacing w:line="276" w:lineRule="auto"/>
        <w:rPr>
          <w:rFonts w:ascii="Garamond" w:eastAsia="Palatino Linotype" w:hAnsi="Garamond" w:cs="Palatino Linotype"/>
          <w:b/>
          <w:szCs w:val="22"/>
        </w:rPr>
      </w:pPr>
      <w:r w:rsidRPr="00C6045B">
        <w:rPr>
          <w:rFonts w:ascii="Garamond" w:eastAsia="Palatino Linotype" w:hAnsi="Garamond" w:cs="Palatino Linotype"/>
          <w:b/>
          <w:szCs w:val="22"/>
        </w:rPr>
        <w:t xml:space="preserve">Source: </w:t>
      </w:r>
      <w:r w:rsidRPr="00C6045B">
        <w:rPr>
          <w:rFonts w:ascii="Garamond" w:eastAsia="Palatino Linotype" w:hAnsi="Garamond" w:cs="Palatino Linotype"/>
          <w:bCs/>
          <w:szCs w:val="22"/>
        </w:rPr>
        <w:t>BSE and NSE</w:t>
      </w:r>
    </w:p>
    <w:p w:rsidR="00567A3B" w:rsidRPr="00D02850" w:rsidRDefault="00567A3B" w:rsidP="00567A3B">
      <w:pPr>
        <w:spacing w:line="276" w:lineRule="auto"/>
        <w:jc w:val="center"/>
        <w:rPr>
          <w:rFonts w:ascii="Garamond" w:eastAsia="Palatino Linotype" w:hAnsi="Garamond" w:cs="Palatino Linotype"/>
          <w:b/>
          <w:strike/>
        </w:rPr>
      </w:pPr>
    </w:p>
    <w:p w:rsidR="00567A3B" w:rsidRDefault="00567A3B" w:rsidP="00567A3B">
      <w:pPr>
        <w:pBdr>
          <w:between w:val="nil"/>
        </w:pBdr>
        <w:spacing w:line="276" w:lineRule="auto"/>
        <w:ind w:left="720" w:hanging="720"/>
        <w:jc w:val="center"/>
        <w:rPr>
          <w:rFonts w:ascii="Garamond" w:eastAsia="Palatino Linotype" w:hAnsi="Garamond" w:cs="Palatino Linotype"/>
          <w:b/>
        </w:rPr>
      </w:pPr>
      <w:r w:rsidRPr="00C6045B">
        <w:rPr>
          <w:rFonts w:ascii="Garamond" w:eastAsia="Palatino Linotype" w:hAnsi="Garamond" w:cs="Palatino Linotype"/>
          <w:b/>
        </w:rPr>
        <w:t>Figure 2: Trends in Average Daily Turnover of NSE Equity and BSE Equity Cash Segment</w:t>
      </w:r>
    </w:p>
    <w:p w:rsidR="00567A3B" w:rsidRDefault="00567A3B" w:rsidP="00567A3B">
      <w:pPr>
        <w:pBdr>
          <w:between w:val="nil"/>
        </w:pBdr>
        <w:spacing w:line="276" w:lineRule="auto"/>
        <w:ind w:left="720" w:hanging="720"/>
        <w:jc w:val="center"/>
        <w:rPr>
          <w:rFonts w:ascii="Garamond" w:eastAsia="Palatino Linotype" w:hAnsi="Garamond" w:cs="Palatino Linotype"/>
          <w:b/>
        </w:rPr>
      </w:pPr>
      <w:r w:rsidRPr="009000FB">
        <w:rPr>
          <w:noProof/>
          <w:lang w:val="en-US" w:bidi="hi-IN"/>
        </w:rPr>
        <w:drawing>
          <wp:inline distT="0" distB="0" distL="0" distR="0" wp14:anchorId="2D75DDA4" wp14:editId="1DC4BAD7">
            <wp:extent cx="5791200" cy="2428875"/>
            <wp:effectExtent l="0" t="0" r="0" b="9525"/>
            <wp:docPr id="4" name="Chart 4">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67A3B" w:rsidRPr="00C6045B" w:rsidRDefault="00567A3B" w:rsidP="00567A3B">
      <w:pPr>
        <w:spacing w:line="276" w:lineRule="auto"/>
        <w:rPr>
          <w:rFonts w:ascii="Garamond" w:eastAsia="Palatino Linotype" w:hAnsi="Garamond" w:cs="Palatino Linotype"/>
          <w:bCs/>
          <w:szCs w:val="22"/>
        </w:rPr>
      </w:pPr>
      <w:r w:rsidRPr="00C6045B">
        <w:rPr>
          <w:rFonts w:ascii="Garamond" w:eastAsia="Palatino Linotype" w:hAnsi="Garamond" w:cs="Palatino Linotype"/>
          <w:bCs/>
          <w:szCs w:val="22"/>
        </w:rPr>
        <w:t xml:space="preserve">     Note: ADV implies Average Daily Values and ADT implies Average Daily Turnover</w:t>
      </w:r>
    </w:p>
    <w:p w:rsidR="00567A3B" w:rsidRPr="00C6045B" w:rsidRDefault="00567A3B" w:rsidP="00567A3B">
      <w:pPr>
        <w:spacing w:line="276" w:lineRule="auto"/>
        <w:rPr>
          <w:rFonts w:ascii="Garamond" w:eastAsia="Palatino Linotype" w:hAnsi="Garamond" w:cs="Palatino Linotype"/>
          <w:bCs/>
          <w:szCs w:val="22"/>
        </w:rPr>
      </w:pPr>
      <w:r w:rsidRPr="00C6045B">
        <w:rPr>
          <w:rFonts w:ascii="Garamond" w:eastAsia="Palatino Linotype" w:hAnsi="Garamond" w:cs="Palatino Linotype"/>
          <w:b/>
          <w:szCs w:val="22"/>
        </w:rPr>
        <w:t xml:space="preserve">      Source: </w:t>
      </w:r>
      <w:r w:rsidRPr="00C6045B">
        <w:rPr>
          <w:rFonts w:ascii="Garamond" w:eastAsia="Palatino Linotype" w:hAnsi="Garamond" w:cs="Palatino Linotype"/>
          <w:bCs/>
          <w:szCs w:val="22"/>
        </w:rPr>
        <w:t>BSE and NSE</w:t>
      </w:r>
    </w:p>
    <w:p w:rsidR="00567A3B" w:rsidRPr="00D02850" w:rsidRDefault="00567A3B" w:rsidP="00567A3B">
      <w:pPr>
        <w:spacing w:line="276" w:lineRule="auto"/>
        <w:rPr>
          <w:rFonts w:ascii="Garamond" w:eastAsia="Palatino Linotype" w:hAnsi="Garamond" w:cs="Palatino Linotype"/>
          <w:b/>
          <w:strike/>
        </w:rPr>
      </w:pPr>
    </w:p>
    <w:p w:rsidR="00567A3B" w:rsidRPr="009860A2" w:rsidRDefault="00567A3B" w:rsidP="00567A3B">
      <w:pPr>
        <w:numPr>
          <w:ilvl w:val="0"/>
          <w:numId w:val="1"/>
        </w:numPr>
        <w:spacing w:line="276" w:lineRule="auto"/>
        <w:ind w:left="714" w:hanging="357"/>
        <w:jc w:val="both"/>
        <w:rPr>
          <w:rFonts w:ascii="Garamond" w:eastAsia="Palatino Linotype" w:hAnsi="Garamond" w:cs="Palatino Linotype"/>
        </w:rPr>
      </w:pPr>
      <w:r w:rsidRPr="009860A2">
        <w:rPr>
          <w:rFonts w:ascii="Garamond" w:eastAsia="Palatino Linotype" w:hAnsi="Garamond" w:cs="Palatino Linotype"/>
        </w:rPr>
        <w:t xml:space="preserve">The gross turnover in the equity cash segment fell by 10.3 per cent at BSE and 8.9 per cent at NSE in February 2022 over previous month. </w:t>
      </w:r>
    </w:p>
    <w:p w:rsidR="00567A3B" w:rsidRPr="009860A2" w:rsidRDefault="00567A3B" w:rsidP="00567A3B">
      <w:pPr>
        <w:numPr>
          <w:ilvl w:val="0"/>
          <w:numId w:val="1"/>
        </w:numPr>
        <w:spacing w:line="276" w:lineRule="auto"/>
        <w:ind w:left="714" w:hanging="357"/>
        <w:jc w:val="both"/>
        <w:rPr>
          <w:rFonts w:ascii="Garamond" w:eastAsia="Palatino Linotype" w:hAnsi="Garamond" w:cs="Palatino Linotype"/>
        </w:rPr>
      </w:pPr>
      <w:r w:rsidRPr="009860A2">
        <w:rPr>
          <w:rFonts w:ascii="Garamond" w:eastAsia="Palatino Linotype" w:hAnsi="Garamond" w:cs="Palatino Linotype"/>
        </w:rPr>
        <w:t xml:space="preserve">BSE Metal was an exception with a high return of 9.5 per cent among the selected indices. All other selected indices, </w:t>
      </w:r>
      <w:r w:rsidR="00721DBE">
        <w:rPr>
          <w:rFonts w:ascii="Garamond" w:eastAsia="Palatino Linotype" w:hAnsi="Garamond" w:cs="Palatino Linotype"/>
        </w:rPr>
        <w:t>except</w:t>
      </w:r>
      <w:r w:rsidRPr="009860A2">
        <w:rPr>
          <w:rFonts w:ascii="Garamond" w:eastAsia="Palatino Linotype" w:hAnsi="Garamond" w:cs="Palatino Linotype"/>
        </w:rPr>
        <w:t xml:space="preserve"> Consumer Durables, registered negative returns during the month. </w:t>
      </w:r>
      <w:r w:rsidR="00721DBE">
        <w:rPr>
          <w:rFonts w:ascii="Garamond" w:eastAsia="Palatino Linotype" w:hAnsi="Garamond" w:cs="Palatino Linotype"/>
        </w:rPr>
        <w:t>Realty index recorded</w:t>
      </w:r>
      <w:r w:rsidRPr="009860A2">
        <w:rPr>
          <w:rFonts w:ascii="Garamond" w:eastAsia="Palatino Linotype" w:hAnsi="Garamond" w:cs="Palatino Linotype"/>
        </w:rPr>
        <w:t>ed lowest return (at -9.1 per cent) followed by Oil &amp; Gas (at -7.3 per cent). The average daily volatility and monthly returns for these select BSE indices for February 2022 are illustrated in Figure 3.</w:t>
      </w:r>
    </w:p>
    <w:p w:rsidR="00567A3B" w:rsidRPr="00D02850" w:rsidRDefault="00567A3B" w:rsidP="00567A3B">
      <w:pPr>
        <w:spacing w:line="276" w:lineRule="auto"/>
        <w:jc w:val="center"/>
        <w:rPr>
          <w:rFonts w:ascii="Garamond" w:eastAsia="Palatino Linotype" w:hAnsi="Garamond" w:cs="Palatino Linotype"/>
          <w:b/>
          <w:strike/>
        </w:rPr>
      </w:pPr>
    </w:p>
    <w:p w:rsidR="00567A3B" w:rsidRDefault="00567A3B" w:rsidP="00567A3B">
      <w:pPr>
        <w:spacing w:line="276" w:lineRule="auto"/>
        <w:jc w:val="center"/>
        <w:rPr>
          <w:rFonts w:ascii="Garamond" w:eastAsia="Palatino Linotype" w:hAnsi="Garamond" w:cs="Palatino Linotype"/>
          <w:b/>
        </w:rPr>
      </w:pPr>
      <w:r>
        <w:rPr>
          <w:rFonts w:ascii="Garamond" w:eastAsia="Palatino Linotype" w:hAnsi="Garamond" w:cs="Palatino Linotype"/>
          <w:b/>
        </w:rPr>
        <w:t>Figure 3</w:t>
      </w:r>
      <w:r w:rsidRPr="00891713">
        <w:rPr>
          <w:rFonts w:ascii="Garamond" w:eastAsia="Palatino Linotype" w:hAnsi="Garamond" w:cs="Palatino Linotype"/>
          <w:b/>
        </w:rPr>
        <w:t xml:space="preserve">: Trends of BSE Sectoral Indices during </w:t>
      </w:r>
      <w:r w:rsidRPr="00F53E2C">
        <w:rPr>
          <w:rFonts w:ascii="Garamond" w:eastAsia="Palatino Linotype" w:hAnsi="Garamond" w:cs="Palatino Linotype"/>
          <w:b/>
        </w:rPr>
        <w:t xml:space="preserve">February 2022 </w:t>
      </w:r>
      <w:r w:rsidRPr="00891713">
        <w:rPr>
          <w:rFonts w:ascii="Garamond" w:eastAsia="Palatino Linotype" w:hAnsi="Garamond" w:cs="Palatino Linotype"/>
          <w:b/>
        </w:rPr>
        <w:t>(per cent)</w:t>
      </w:r>
    </w:p>
    <w:p w:rsidR="00567A3B" w:rsidRDefault="00567A3B" w:rsidP="00567A3B">
      <w:pPr>
        <w:spacing w:line="276" w:lineRule="auto"/>
        <w:jc w:val="center"/>
        <w:rPr>
          <w:rFonts w:ascii="Garamond" w:eastAsia="Palatino Linotype" w:hAnsi="Garamond" w:cs="Palatino Linotype"/>
          <w:b/>
        </w:rPr>
      </w:pPr>
      <w:r w:rsidRPr="009000FB">
        <w:rPr>
          <w:noProof/>
          <w:lang w:val="en-US" w:bidi="hi-IN"/>
        </w:rPr>
        <w:lastRenderedPageBreak/>
        <w:drawing>
          <wp:inline distT="0" distB="0" distL="0" distR="0" wp14:anchorId="1F4090EA" wp14:editId="0B042D70">
            <wp:extent cx="5619750" cy="2457450"/>
            <wp:effectExtent l="0" t="0" r="0" b="0"/>
            <wp:docPr id="11" name="Chart 1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67A3B" w:rsidRPr="00891713" w:rsidRDefault="00567A3B" w:rsidP="00567A3B">
      <w:pPr>
        <w:spacing w:line="276" w:lineRule="auto"/>
        <w:rPr>
          <w:rFonts w:ascii="Garamond" w:eastAsia="Palatino Linotype" w:hAnsi="Garamond" w:cs="Palatino Linotype"/>
          <w:b/>
        </w:rPr>
      </w:pPr>
      <w:r w:rsidRPr="00891713">
        <w:rPr>
          <w:rFonts w:ascii="Garamond" w:eastAsia="Palatino Linotype" w:hAnsi="Garamond" w:cs="Palatino Linotype"/>
          <w:b/>
        </w:rPr>
        <w:t xml:space="preserve">       </w:t>
      </w:r>
      <w:r w:rsidRPr="00891713">
        <w:rPr>
          <w:rFonts w:ascii="Garamond" w:eastAsia="Palatino Linotype" w:hAnsi="Garamond" w:cs="Palatino Linotype"/>
          <w:b/>
        </w:rPr>
        <w:tab/>
      </w:r>
      <w:r w:rsidRPr="00891713">
        <w:rPr>
          <w:rFonts w:ascii="Garamond" w:eastAsia="Palatino Linotype" w:hAnsi="Garamond" w:cs="Palatino Linotype"/>
          <w:b/>
          <w:szCs w:val="22"/>
        </w:rPr>
        <w:t>Source:</w:t>
      </w:r>
      <w:r w:rsidRPr="00891713">
        <w:rPr>
          <w:rFonts w:ascii="Garamond" w:eastAsia="Palatino Linotype" w:hAnsi="Garamond" w:cs="Palatino Linotype"/>
          <w:b/>
        </w:rPr>
        <w:t xml:space="preserve"> </w:t>
      </w:r>
      <w:r w:rsidRPr="00891713">
        <w:rPr>
          <w:rFonts w:ascii="Garamond" w:eastAsia="Palatino Linotype" w:hAnsi="Garamond" w:cs="Palatino Linotype"/>
          <w:bCs/>
        </w:rPr>
        <w:t>BSE</w:t>
      </w:r>
    </w:p>
    <w:p w:rsidR="00567A3B" w:rsidRPr="00891713" w:rsidRDefault="00567A3B" w:rsidP="00567A3B">
      <w:pPr>
        <w:pBdr>
          <w:between w:val="nil"/>
        </w:pBdr>
        <w:spacing w:line="276" w:lineRule="auto"/>
        <w:ind w:left="709" w:hanging="720"/>
        <w:rPr>
          <w:rFonts w:ascii="Garamond" w:eastAsia="Palatino Linotype" w:hAnsi="Garamond" w:cs="Palatino Linotype"/>
          <w:b/>
          <w:color w:val="2E74B5"/>
        </w:rPr>
      </w:pPr>
    </w:p>
    <w:p w:rsidR="00567A3B" w:rsidRPr="00F53E2C" w:rsidRDefault="00567A3B" w:rsidP="00567A3B">
      <w:pPr>
        <w:pStyle w:val="ListParagraph"/>
        <w:numPr>
          <w:ilvl w:val="0"/>
          <w:numId w:val="1"/>
        </w:numPr>
        <w:spacing w:after="160" w:line="259" w:lineRule="auto"/>
        <w:jc w:val="both"/>
        <w:rPr>
          <w:rFonts w:ascii="Garamond" w:eastAsia="Palatino Linotype" w:hAnsi="Garamond" w:cs="Palatino Linotype"/>
          <w:sz w:val="24"/>
          <w:szCs w:val="24"/>
          <w:lang w:val="en-GB"/>
        </w:rPr>
      </w:pPr>
      <w:r w:rsidRPr="00F53E2C">
        <w:rPr>
          <w:rFonts w:ascii="Garamond" w:eastAsia="Palatino Linotype" w:hAnsi="Garamond" w:cs="Palatino Linotype"/>
          <w:sz w:val="24"/>
          <w:szCs w:val="24"/>
          <w:lang w:val="en-GB"/>
        </w:rPr>
        <w:t xml:space="preserve">During February 2022, all the selected NSE sectoral indices showed negative returns. </w:t>
      </w:r>
      <w:r w:rsidR="00721DBE">
        <w:rPr>
          <w:rFonts w:ascii="Garamond" w:eastAsia="Palatino Linotype" w:hAnsi="Garamond" w:cs="Palatino Linotype"/>
          <w:sz w:val="24"/>
          <w:szCs w:val="24"/>
          <w:lang w:val="en-GB"/>
        </w:rPr>
        <w:t xml:space="preserve">Nifty </w:t>
      </w:r>
      <w:r w:rsidRPr="00F53E2C">
        <w:rPr>
          <w:rFonts w:ascii="Garamond" w:eastAsia="Palatino Linotype" w:hAnsi="Garamond" w:cs="Palatino Linotype"/>
          <w:sz w:val="24"/>
          <w:szCs w:val="24"/>
          <w:lang w:val="en-GB"/>
        </w:rPr>
        <w:t>PSU</w:t>
      </w:r>
      <w:r w:rsidR="00721DBE">
        <w:rPr>
          <w:rFonts w:ascii="Garamond" w:eastAsia="Palatino Linotype" w:hAnsi="Garamond" w:cs="Palatino Linotype"/>
          <w:sz w:val="24"/>
          <w:szCs w:val="24"/>
          <w:lang w:val="en-GB"/>
        </w:rPr>
        <w:t xml:space="preserve"> declined the most </w:t>
      </w:r>
      <w:r w:rsidRPr="00F53E2C">
        <w:rPr>
          <w:rFonts w:ascii="Garamond" w:eastAsia="Palatino Linotype" w:hAnsi="Garamond" w:cs="Palatino Linotype"/>
          <w:sz w:val="24"/>
          <w:szCs w:val="24"/>
          <w:lang w:val="en-GB"/>
        </w:rPr>
        <w:t xml:space="preserve"> (at -10.6 per cent) followed by Realty (at -9.1 per ce</w:t>
      </w:r>
      <w:r w:rsidR="00721DBE">
        <w:rPr>
          <w:rFonts w:ascii="Garamond" w:eastAsia="Palatino Linotype" w:hAnsi="Garamond" w:cs="Palatino Linotype"/>
          <w:sz w:val="24"/>
          <w:szCs w:val="24"/>
          <w:lang w:val="en-GB"/>
        </w:rPr>
        <w:t>nt)</w:t>
      </w:r>
      <w:r w:rsidR="00721DBE" w:rsidRPr="00F53E2C">
        <w:rPr>
          <w:rFonts w:ascii="Garamond" w:eastAsia="Palatino Linotype" w:hAnsi="Garamond" w:cs="Palatino Linotype"/>
          <w:sz w:val="24"/>
          <w:szCs w:val="24"/>
          <w:lang w:val="en-GB"/>
        </w:rPr>
        <w:t>.</w:t>
      </w:r>
      <w:r w:rsidR="00721DBE">
        <w:rPr>
          <w:rFonts w:ascii="Garamond" w:eastAsia="Palatino Linotype" w:hAnsi="Garamond" w:cs="Palatino Linotype"/>
          <w:sz w:val="24"/>
          <w:szCs w:val="24"/>
          <w:lang w:val="en-GB"/>
        </w:rPr>
        <w:t xml:space="preserve"> </w:t>
      </w:r>
      <w:r w:rsidRPr="00F53E2C">
        <w:rPr>
          <w:rFonts w:ascii="Garamond" w:eastAsia="Palatino Linotype" w:hAnsi="Garamond" w:cs="Palatino Linotype"/>
          <w:sz w:val="24"/>
          <w:szCs w:val="24"/>
          <w:lang w:val="en-GB"/>
        </w:rPr>
        <w:t>The average daily volatility and monthly returns of these select NSE indices for February 2022 are illustrated in Figure 4.</w:t>
      </w:r>
    </w:p>
    <w:p w:rsidR="00567A3B" w:rsidRPr="00891713" w:rsidRDefault="00567A3B" w:rsidP="00567A3B">
      <w:pPr>
        <w:pBdr>
          <w:between w:val="nil"/>
        </w:pBdr>
        <w:spacing w:line="276" w:lineRule="auto"/>
        <w:jc w:val="center"/>
        <w:rPr>
          <w:rFonts w:ascii="Garamond" w:eastAsia="Palatino Linotype" w:hAnsi="Garamond" w:cs="Palatino Linotype"/>
          <w:b/>
          <w:color w:val="2E74B5"/>
        </w:rPr>
      </w:pPr>
    </w:p>
    <w:p w:rsidR="00567A3B" w:rsidRDefault="00567A3B" w:rsidP="00567A3B">
      <w:pPr>
        <w:pBdr>
          <w:between w:val="nil"/>
        </w:pBdr>
        <w:spacing w:line="276" w:lineRule="auto"/>
        <w:jc w:val="center"/>
        <w:rPr>
          <w:rFonts w:ascii="Garamond" w:eastAsia="Palatino Linotype" w:hAnsi="Garamond" w:cs="Palatino Linotype"/>
          <w:b/>
        </w:rPr>
      </w:pPr>
      <w:r>
        <w:rPr>
          <w:rFonts w:ascii="Garamond" w:eastAsia="Palatino Linotype" w:hAnsi="Garamond" w:cs="Palatino Linotype"/>
          <w:b/>
        </w:rPr>
        <w:t>Figure 4</w:t>
      </w:r>
      <w:r w:rsidRPr="00891713">
        <w:rPr>
          <w:rFonts w:ascii="Garamond" w:eastAsia="Palatino Linotype" w:hAnsi="Garamond" w:cs="Palatino Linotype"/>
          <w:b/>
        </w:rPr>
        <w:t xml:space="preserve">: Trends of NSE Sectoral Indices during </w:t>
      </w:r>
      <w:r w:rsidRPr="004B0B94">
        <w:rPr>
          <w:rFonts w:ascii="Garamond" w:eastAsia="Palatino Linotype" w:hAnsi="Garamond" w:cs="Palatino Linotype"/>
          <w:b/>
        </w:rPr>
        <w:t xml:space="preserve">February 2022 </w:t>
      </w:r>
      <w:r w:rsidRPr="00891713">
        <w:rPr>
          <w:rFonts w:ascii="Garamond" w:eastAsia="Palatino Linotype" w:hAnsi="Garamond" w:cs="Palatino Linotype"/>
          <w:b/>
        </w:rPr>
        <w:t>(per cent)</w:t>
      </w:r>
    </w:p>
    <w:p w:rsidR="00567A3B" w:rsidRDefault="00567A3B" w:rsidP="00567A3B">
      <w:pPr>
        <w:pBdr>
          <w:between w:val="nil"/>
        </w:pBdr>
        <w:spacing w:line="276" w:lineRule="auto"/>
        <w:jc w:val="center"/>
        <w:rPr>
          <w:rFonts w:ascii="Garamond" w:eastAsia="Palatino Linotype" w:hAnsi="Garamond" w:cs="Palatino Linotype"/>
          <w:b/>
        </w:rPr>
      </w:pPr>
      <w:r w:rsidRPr="009000FB">
        <w:rPr>
          <w:noProof/>
          <w:lang w:val="en-US" w:bidi="hi-IN"/>
        </w:rPr>
        <w:drawing>
          <wp:inline distT="0" distB="0" distL="0" distR="0" wp14:anchorId="3A4FDFA7" wp14:editId="2543EBD3">
            <wp:extent cx="5448300" cy="2466975"/>
            <wp:effectExtent l="0" t="0" r="0" b="9525"/>
            <wp:docPr id="16" name="Chart 16">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67A3B" w:rsidRDefault="00567A3B" w:rsidP="00567A3B">
      <w:pPr>
        <w:tabs>
          <w:tab w:val="left" w:pos="4005"/>
        </w:tabs>
        <w:ind w:left="567"/>
        <w:rPr>
          <w:rFonts w:ascii="Garamond" w:eastAsia="Palatino Linotype" w:hAnsi="Garamond" w:cs="Palatino Linotype"/>
          <w:bCs/>
          <w:szCs w:val="22"/>
        </w:rPr>
      </w:pPr>
      <w:r w:rsidRPr="00891713">
        <w:rPr>
          <w:rFonts w:ascii="Garamond" w:eastAsia="Palatino Linotype" w:hAnsi="Garamond" w:cs="Palatino Linotype"/>
          <w:b/>
          <w:szCs w:val="22"/>
        </w:rPr>
        <w:t xml:space="preserve">Source: </w:t>
      </w:r>
      <w:r w:rsidRPr="00891713">
        <w:rPr>
          <w:rFonts w:ascii="Garamond" w:eastAsia="Palatino Linotype" w:hAnsi="Garamond" w:cs="Palatino Linotype"/>
          <w:bCs/>
          <w:szCs w:val="22"/>
        </w:rPr>
        <w:t>NSE</w:t>
      </w:r>
    </w:p>
    <w:p w:rsidR="00721DBE" w:rsidRPr="00FE6373" w:rsidRDefault="00721DBE" w:rsidP="00567A3B">
      <w:pPr>
        <w:tabs>
          <w:tab w:val="left" w:pos="4005"/>
        </w:tabs>
        <w:ind w:left="567"/>
        <w:rPr>
          <w:rFonts w:ascii="Garamond" w:eastAsia="Palatino Linotype" w:hAnsi="Garamond" w:cs="Palatino Linotype"/>
          <w:b/>
          <w:color w:val="2E74B5"/>
        </w:rPr>
      </w:pPr>
    </w:p>
    <w:p w:rsidR="00567A3B" w:rsidRPr="00891713" w:rsidRDefault="00567A3B" w:rsidP="00567A3B">
      <w:pPr>
        <w:widowControl w:val="0"/>
        <w:numPr>
          <w:ilvl w:val="0"/>
          <w:numId w:val="2"/>
        </w:numPr>
        <w:spacing w:line="276" w:lineRule="auto"/>
        <w:ind w:left="567" w:hanging="567"/>
        <w:rPr>
          <w:rFonts w:ascii="Garamond" w:eastAsia="Palatino Linotype" w:hAnsi="Garamond" w:cs="Palatino Linotype"/>
          <w:b/>
        </w:rPr>
      </w:pPr>
      <w:r w:rsidRPr="00891713">
        <w:rPr>
          <w:rFonts w:ascii="Garamond" w:eastAsia="Palatino Linotype" w:hAnsi="Garamond" w:cs="Palatino Linotype"/>
          <w:b/>
        </w:rPr>
        <w:t xml:space="preserve">Trends in Depository Accounts </w:t>
      </w:r>
    </w:p>
    <w:p w:rsidR="00567A3B" w:rsidRPr="004B0B94" w:rsidRDefault="00567A3B" w:rsidP="00721DBE">
      <w:pPr>
        <w:numPr>
          <w:ilvl w:val="0"/>
          <w:numId w:val="1"/>
        </w:numPr>
        <w:pBdr>
          <w:between w:val="nil"/>
        </w:pBdr>
        <w:ind w:left="714" w:hanging="357"/>
        <w:jc w:val="both"/>
        <w:rPr>
          <w:rFonts w:ascii="Garamond" w:eastAsia="Palatino Linotype" w:hAnsi="Garamond" w:cs="Palatino Linotype"/>
        </w:rPr>
      </w:pPr>
      <w:r w:rsidRPr="004B0B94">
        <w:rPr>
          <w:rFonts w:ascii="Garamond" w:eastAsia="Palatino Linotype" w:hAnsi="Garamond" w:cs="Palatino Linotype"/>
        </w:rPr>
        <w:t xml:space="preserve">During February 2022, NSDL added 5.7 </w:t>
      </w:r>
      <w:r>
        <w:rPr>
          <w:rFonts w:ascii="Garamond" w:eastAsia="Palatino Linotype" w:hAnsi="Garamond" w:cs="Palatino Linotype"/>
        </w:rPr>
        <w:t>lakh</w:t>
      </w:r>
      <w:r w:rsidRPr="004B0B94">
        <w:rPr>
          <w:rFonts w:ascii="Garamond" w:eastAsia="Palatino Linotype" w:hAnsi="Garamond" w:cs="Palatino Linotype"/>
        </w:rPr>
        <w:t xml:space="preserve"> demat accounts while CDSL added 22.6 </w:t>
      </w:r>
      <w:r>
        <w:rPr>
          <w:rFonts w:ascii="Garamond" w:eastAsia="Palatino Linotype" w:hAnsi="Garamond" w:cs="Palatino Linotype"/>
        </w:rPr>
        <w:t>lakh</w:t>
      </w:r>
      <w:r w:rsidRPr="004B0B94">
        <w:rPr>
          <w:rFonts w:ascii="Garamond" w:eastAsia="Palatino Linotype" w:hAnsi="Garamond" w:cs="Palatino Linotype"/>
        </w:rPr>
        <w:t xml:space="preserve"> demat accounts. Cumulatively, both the depositories have added 317 </w:t>
      </w:r>
      <w:r>
        <w:rPr>
          <w:rFonts w:ascii="Garamond" w:eastAsia="Palatino Linotype" w:hAnsi="Garamond" w:cs="Palatino Linotype"/>
        </w:rPr>
        <w:t>lakh</w:t>
      </w:r>
      <w:r w:rsidRPr="004B0B94">
        <w:rPr>
          <w:rFonts w:ascii="Garamond" w:eastAsia="Palatino Linotype" w:hAnsi="Garamond" w:cs="Palatino Linotype"/>
        </w:rPr>
        <w:t xml:space="preserve"> new accounts in this fiscal year so far (April-February 2022), with CDSL </w:t>
      </w:r>
      <w:r w:rsidR="00721DBE">
        <w:rPr>
          <w:rFonts w:ascii="Garamond" w:eastAsia="Palatino Linotype" w:hAnsi="Garamond" w:cs="Palatino Linotype"/>
        </w:rPr>
        <w:t>solely</w:t>
      </w:r>
      <w:r w:rsidRPr="004B0B94">
        <w:rPr>
          <w:rFonts w:ascii="Garamond" w:eastAsia="Palatino Linotype" w:hAnsi="Garamond" w:cs="Palatino Linotype"/>
        </w:rPr>
        <w:t xml:space="preserve"> accounting for 274 </w:t>
      </w:r>
      <w:r>
        <w:rPr>
          <w:rFonts w:ascii="Garamond" w:eastAsia="Palatino Linotype" w:hAnsi="Garamond" w:cs="Palatino Linotype"/>
        </w:rPr>
        <w:t>lakh</w:t>
      </w:r>
      <w:r w:rsidRPr="004B0B94">
        <w:rPr>
          <w:rFonts w:ascii="Garamond" w:eastAsia="Palatino Linotype" w:hAnsi="Garamond" w:cs="Palatino Linotype"/>
        </w:rPr>
        <w:t xml:space="preserve"> new demat accounts.</w:t>
      </w:r>
    </w:p>
    <w:p w:rsidR="00567A3B" w:rsidRDefault="00567A3B"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721DBE" w:rsidRDefault="00721DBE" w:rsidP="00567A3B">
      <w:pPr>
        <w:pBdr>
          <w:between w:val="nil"/>
        </w:pBdr>
        <w:ind w:left="714"/>
        <w:jc w:val="both"/>
        <w:rPr>
          <w:rFonts w:ascii="Garamond" w:eastAsia="Palatino Linotype" w:hAnsi="Garamond" w:cs="Palatino Linotype"/>
        </w:rPr>
      </w:pPr>
    </w:p>
    <w:p w:rsidR="00567A3B" w:rsidRDefault="00567A3B" w:rsidP="00567A3B">
      <w:pPr>
        <w:pBdr>
          <w:between w:val="nil"/>
        </w:pBdr>
        <w:spacing w:line="276" w:lineRule="auto"/>
        <w:ind w:left="720"/>
        <w:jc w:val="both"/>
        <w:rPr>
          <w:rFonts w:ascii="Garamond" w:eastAsia="Palatino Linotype" w:hAnsi="Garamond" w:cs="Palatino Linotype"/>
          <w:b/>
          <w:bCs/>
        </w:rPr>
      </w:pPr>
      <w:r w:rsidRPr="00891713">
        <w:rPr>
          <w:rFonts w:ascii="Garamond" w:eastAsia="Palatino Linotype" w:hAnsi="Garamond" w:cs="Palatino Linotype"/>
          <w:b/>
          <w:bCs/>
        </w:rPr>
        <w:lastRenderedPageBreak/>
        <w:t xml:space="preserve">Figure </w:t>
      </w:r>
      <w:r>
        <w:rPr>
          <w:rFonts w:ascii="Garamond" w:eastAsia="Palatino Linotype" w:hAnsi="Garamond" w:cs="Palatino Linotype"/>
          <w:b/>
          <w:bCs/>
        </w:rPr>
        <w:t>5</w:t>
      </w:r>
      <w:r w:rsidRPr="00891713">
        <w:rPr>
          <w:rFonts w:ascii="Garamond" w:eastAsia="Palatino Linotype" w:hAnsi="Garamond" w:cs="Palatino Linotype"/>
          <w:b/>
          <w:bCs/>
        </w:rPr>
        <w:t xml:space="preserve">: Monthly New Demat Accounts Added (in </w:t>
      </w:r>
      <w:r>
        <w:rPr>
          <w:rFonts w:ascii="Garamond" w:eastAsia="Palatino Linotype" w:hAnsi="Garamond" w:cs="Palatino Linotype"/>
          <w:b/>
          <w:bCs/>
        </w:rPr>
        <w:t>lakh</w:t>
      </w:r>
      <w:r w:rsidRPr="00891713">
        <w:rPr>
          <w:rFonts w:ascii="Garamond" w:eastAsia="Palatino Linotype" w:hAnsi="Garamond" w:cs="Palatino Linotype"/>
          <w:b/>
          <w:bCs/>
        </w:rPr>
        <w:t>)</w:t>
      </w:r>
    </w:p>
    <w:p w:rsidR="00567A3B" w:rsidRDefault="00567A3B" w:rsidP="00567A3B">
      <w:pPr>
        <w:pBdr>
          <w:between w:val="nil"/>
        </w:pBdr>
        <w:spacing w:line="276" w:lineRule="auto"/>
        <w:jc w:val="center"/>
        <w:rPr>
          <w:rFonts w:ascii="Garamond" w:eastAsia="Palatino Linotype" w:hAnsi="Garamond" w:cs="Palatino Linotype"/>
          <w:b/>
          <w:bCs/>
        </w:rPr>
      </w:pPr>
      <w:r>
        <w:rPr>
          <w:noProof/>
          <w:lang w:val="en-US" w:bidi="hi-IN"/>
        </w:rPr>
        <w:drawing>
          <wp:inline distT="0" distB="0" distL="0" distR="0" wp14:anchorId="39BAD58B" wp14:editId="4F9F11CF">
            <wp:extent cx="5731510" cy="2544445"/>
            <wp:effectExtent l="0" t="0" r="2540" b="82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67A3B" w:rsidRPr="00346D49" w:rsidRDefault="00567A3B" w:rsidP="00567A3B">
      <w:pPr>
        <w:pBdr>
          <w:between w:val="nil"/>
        </w:pBdr>
        <w:spacing w:line="276" w:lineRule="auto"/>
        <w:rPr>
          <w:rFonts w:ascii="Garamond" w:eastAsia="Palatino Linotype" w:hAnsi="Garamond" w:cs="Palatino Linotype"/>
          <w:b/>
          <w:bCs/>
        </w:rPr>
      </w:pPr>
      <w:r w:rsidRPr="00891713">
        <w:rPr>
          <w:rFonts w:ascii="Garamond" w:eastAsia="Palatino Linotype" w:hAnsi="Garamond" w:cs="Palatino Linotype"/>
          <w:b/>
          <w:szCs w:val="22"/>
        </w:rPr>
        <w:t xml:space="preserve">Source: </w:t>
      </w:r>
      <w:r w:rsidRPr="00891713">
        <w:rPr>
          <w:rFonts w:ascii="Garamond" w:eastAsia="Palatino Linotype" w:hAnsi="Garamond" w:cs="Palatino Linotype"/>
          <w:bCs/>
          <w:szCs w:val="22"/>
        </w:rPr>
        <w:t>NSDL and CDSL</w:t>
      </w:r>
    </w:p>
    <w:p w:rsidR="00567A3B" w:rsidRPr="00891713" w:rsidRDefault="00567A3B" w:rsidP="00567A3B">
      <w:pPr>
        <w:pBdr>
          <w:between w:val="nil"/>
        </w:pBdr>
        <w:spacing w:line="276" w:lineRule="auto"/>
        <w:jc w:val="both"/>
        <w:rPr>
          <w:rFonts w:ascii="Garamond" w:eastAsia="Palatino Linotype" w:hAnsi="Garamond" w:cs="Palatino Linotype"/>
          <w:i/>
          <w:iCs/>
        </w:rPr>
      </w:pPr>
    </w:p>
    <w:p w:rsidR="00567A3B" w:rsidRPr="004B0B94" w:rsidRDefault="00567A3B" w:rsidP="00567A3B">
      <w:pPr>
        <w:widowControl w:val="0"/>
        <w:numPr>
          <w:ilvl w:val="0"/>
          <w:numId w:val="2"/>
        </w:numPr>
        <w:spacing w:line="276" w:lineRule="auto"/>
        <w:ind w:left="454" w:hanging="454"/>
        <w:rPr>
          <w:rFonts w:ascii="Garamond" w:eastAsia="Palatino Linotype" w:hAnsi="Garamond" w:cs="Palatino Linotype"/>
          <w:b/>
        </w:rPr>
      </w:pPr>
      <w:r w:rsidRPr="004B0B94">
        <w:rPr>
          <w:rFonts w:ascii="Garamond" w:eastAsia="Palatino Linotype" w:hAnsi="Garamond" w:cs="Palatino Linotype"/>
          <w:b/>
        </w:rPr>
        <w:t>Trends in Derivatives Segment</w:t>
      </w:r>
      <w:r w:rsidRPr="004B0B94">
        <w:rPr>
          <w:rFonts w:ascii="Garamond" w:eastAsia="Palatino Linotype" w:hAnsi="Garamond" w:cs="Palatino Linotype"/>
          <w:b/>
        </w:rPr>
        <w:tab/>
      </w:r>
    </w:p>
    <w:p w:rsidR="00567A3B" w:rsidRPr="004B0B94" w:rsidRDefault="00567A3B" w:rsidP="00567A3B">
      <w:pPr>
        <w:widowControl w:val="0"/>
        <w:numPr>
          <w:ilvl w:val="0"/>
          <w:numId w:val="3"/>
        </w:numPr>
        <w:spacing w:line="276" w:lineRule="auto"/>
        <w:ind w:left="567" w:hanging="567"/>
        <w:jc w:val="both"/>
        <w:rPr>
          <w:rFonts w:ascii="Garamond" w:eastAsia="Palatino Linotype" w:hAnsi="Garamond" w:cs="Palatino Linotype"/>
          <w:b/>
        </w:rPr>
      </w:pPr>
      <w:r w:rsidRPr="004B0B94">
        <w:rPr>
          <w:rFonts w:ascii="Garamond" w:eastAsia="Palatino Linotype" w:hAnsi="Garamond" w:cs="Palatino Linotype"/>
          <w:b/>
        </w:rPr>
        <w:t>Equity Derivatives</w:t>
      </w:r>
    </w:p>
    <w:p w:rsidR="00567A3B" w:rsidRPr="004B0B94" w:rsidRDefault="00567A3B" w:rsidP="00567A3B">
      <w:pPr>
        <w:tabs>
          <w:tab w:val="left" w:pos="3135"/>
        </w:tabs>
        <w:spacing w:line="276" w:lineRule="auto"/>
        <w:jc w:val="both"/>
        <w:rPr>
          <w:rFonts w:ascii="Garamond" w:eastAsia="Palatino Linotype" w:hAnsi="Garamond" w:cs="Palatino Linotype"/>
          <w:b/>
          <w:u w:val="single"/>
        </w:rPr>
      </w:pPr>
      <w:r w:rsidRPr="004B0B94">
        <w:rPr>
          <w:rFonts w:ascii="Garamond" w:eastAsia="Palatino Linotype" w:hAnsi="Garamond" w:cs="Palatino Linotype"/>
          <w:b/>
          <w:u w:val="single"/>
        </w:rPr>
        <w:t xml:space="preserve">BSE </w:t>
      </w:r>
    </w:p>
    <w:p w:rsidR="00567A3B" w:rsidRPr="004B0B94" w:rsidRDefault="00567A3B" w:rsidP="00567A3B">
      <w:pPr>
        <w:numPr>
          <w:ilvl w:val="0"/>
          <w:numId w:val="1"/>
        </w:numPr>
        <w:pBdr>
          <w:between w:val="nil"/>
        </w:pBdr>
        <w:spacing w:line="276" w:lineRule="auto"/>
        <w:ind w:left="714" w:hanging="357"/>
        <w:jc w:val="both"/>
        <w:rPr>
          <w:rFonts w:ascii="Garamond" w:eastAsia="Palatino Linotype" w:hAnsi="Garamond" w:cs="Palatino Linotype"/>
        </w:rPr>
      </w:pPr>
      <w:r w:rsidRPr="004B0B94">
        <w:rPr>
          <w:rFonts w:ascii="Garamond" w:eastAsia="Palatino Linotype" w:hAnsi="Garamond" w:cs="Palatino Linotype"/>
        </w:rPr>
        <w:t xml:space="preserve">During February 2022, the notional turnover of the equity derivatives segment at BSE decreased by 4.7 per cent to </w:t>
      </w:r>
      <w:r w:rsidRPr="004B0B94">
        <w:rPr>
          <w:rFonts w:ascii="Times New Roman" w:eastAsia="Palatino Linotype" w:hAnsi="Times New Roman"/>
        </w:rPr>
        <w:t>₹</w:t>
      </w:r>
      <w:r w:rsidRPr="004B0B94">
        <w:rPr>
          <w:rFonts w:ascii="Garamond" w:eastAsia="Palatino Linotype" w:hAnsi="Garamond" w:cs="Palatino Linotype"/>
        </w:rPr>
        <w:t xml:space="preserve">48.24 </w:t>
      </w:r>
      <w:r>
        <w:rPr>
          <w:rFonts w:ascii="Garamond" w:eastAsia="Palatino Linotype" w:hAnsi="Garamond" w:cs="Palatino Linotype"/>
        </w:rPr>
        <w:t>lakh</w:t>
      </w:r>
      <w:r w:rsidRPr="004B0B94">
        <w:rPr>
          <w:rFonts w:ascii="Garamond" w:eastAsia="Palatino Linotype" w:hAnsi="Garamond" w:cs="Palatino Linotype"/>
        </w:rPr>
        <w:t xml:space="preserve"> </w:t>
      </w:r>
      <w:r w:rsidR="000654C7">
        <w:rPr>
          <w:rFonts w:ascii="Garamond" w:eastAsia="Palatino Linotype" w:hAnsi="Garamond" w:cs="Palatino Linotype"/>
        </w:rPr>
        <w:t>crore</w:t>
      </w:r>
      <w:r w:rsidRPr="004B0B94">
        <w:rPr>
          <w:rFonts w:ascii="Garamond" w:eastAsia="Palatino Linotype" w:hAnsi="Garamond" w:cs="Palatino Linotype"/>
        </w:rPr>
        <w:t>.</w:t>
      </w:r>
    </w:p>
    <w:p w:rsidR="00567A3B" w:rsidRPr="004B0B94" w:rsidRDefault="00567A3B" w:rsidP="00567A3B">
      <w:pPr>
        <w:numPr>
          <w:ilvl w:val="0"/>
          <w:numId w:val="1"/>
        </w:numPr>
        <w:pBdr>
          <w:between w:val="nil"/>
        </w:pBdr>
        <w:spacing w:line="276" w:lineRule="auto"/>
        <w:ind w:left="714" w:hanging="357"/>
        <w:jc w:val="both"/>
        <w:rPr>
          <w:rFonts w:ascii="Garamond" w:eastAsia="Palatino Linotype" w:hAnsi="Garamond" w:cs="Palatino Linotype"/>
        </w:rPr>
      </w:pPr>
      <w:r w:rsidRPr="004B0B94">
        <w:rPr>
          <w:rFonts w:ascii="Garamond" w:eastAsia="Palatino Linotype" w:hAnsi="Garamond" w:cs="Palatino Linotype"/>
        </w:rPr>
        <w:t xml:space="preserve">As at the end of February 2022, the open interest in terms of value at BSE stood at </w:t>
      </w:r>
      <w:r w:rsidRPr="004B0B94">
        <w:rPr>
          <w:rFonts w:ascii="Times New Roman" w:eastAsia="Palatino Linotype" w:hAnsi="Times New Roman"/>
        </w:rPr>
        <w:t>₹</w:t>
      </w:r>
      <w:r w:rsidRPr="004B0B94">
        <w:rPr>
          <w:rFonts w:ascii="Garamond" w:eastAsia="Palatino Linotype" w:hAnsi="Garamond" w:cs="Palatino Linotype"/>
        </w:rPr>
        <w:t xml:space="preserve">41.11 </w:t>
      </w:r>
      <w:r w:rsidR="000654C7">
        <w:rPr>
          <w:rFonts w:ascii="Garamond" w:eastAsia="Palatino Linotype" w:hAnsi="Garamond" w:cs="Palatino Linotype"/>
        </w:rPr>
        <w:t>crore</w:t>
      </w:r>
      <w:r w:rsidRPr="004B0B94">
        <w:rPr>
          <w:rFonts w:ascii="Garamond" w:eastAsia="Palatino Linotype" w:hAnsi="Garamond" w:cs="Palatino Linotype"/>
        </w:rPr>
        <w:t xml:space="preserve"> increasing from </w:t>
      </w:r>
      <w:r w:rsidRPr="004B0B94">
        <w:rPr>
          <w:rFonts w:ascii="Times New Roman" w:eastAsia="Palatino Linotype" w:hAnsi="Times New Roman"/>
        </w:rPr>
        <w:t>₹</w:t>
      </w:r>
      <w:r w:rsidRPr="004B0B94">
        <w:rPr>
          <w:rFonts w:ascii="Garamond" w:eastAsia="Palatino Linotype" w:hAnsi="Garamond" w:cs="Palatino Linotype"/>
        </w:rPr>
        <w:t xml:space="preserve">20.8 </w:t>
      </w:r>
      <w:r w:rsidR="000654C7">
        <w:rPr>
          <w:rFonts w:ascii="Garamond" w:eastAsia="Palatino Linotype" w:hAnsi="Garamond" w:cs="Palatino Linotype"/>
        </w:rPr>
        <w:t>crore</w:t>
      </w:r>
      <w:r w:rsidRPr="004B0B94">
        <w:rPr>
          <w:rFonts w:ascii="Garamond" w:eastAsia="Palatino Linotype" w:hAnsi="Garamond" w:cs="Palatino Linotype"/>
        </w:rPr>
        <w:t xml:space="preserve"> as at the end of January 2022.</w:t>
      </w:r>
    </w:p>
    <w:p w:rsidR="00567A3B" w:rsidRPr="004B0B94" w:rsidRDefault="00567A3B" w:rsidP="00567A3B">
      <w:pPr>
        <w:tabs>
          <w:tab w:val="left" w:pos="3135"/>
        </w:tabs>
        <w:spacing w:line="276" w:lineRule="auto"/>
        <w:jc w:val="both"/>
        <w:rPr>
          <w:rFonts w:ascii="Garamond" w:eastAsia="Palatino Linotype" w:hAnsi="Garamond" w:cs="Palatino Linotype"/>
          <w:b/>
          <w:u w:val="single"/>
        </w:rPr>
      </w:pPr>
      <w:r w:rsidRPr="004B0B94">
        <w:rPr>
          <w:rFonts w:ascii="Garamond" w:eastAsia="Palatino Linotype" w:hAnsi="Garamond" w:cs="Palatino Linotype"/>
          <w:b/>
          <w:u w:val="single"/>
        </w:rPr>
        <w:t xml:space="preserve">NSE </w:t>
      </w:r>
    </w:p>
    <w:p w:rsidR="00567A3B" w:rsidRPr="004B0B94" w:rsidRDefault="00567A3B" w:rsidP="00567A3B">
      <w:pPr>
        <w:widowControl w:val="0"/>
        <w:numPr>
          <w:ilvl w:val="0"/>
          <w:numId w:val="1"/>
        </w:numPr>
        <w:spacing w:line="276" w:lineRule="auto"/>
        <w:ind w:left="714" w:hanging="357"/>
        <w:jc w:val="both"/>
        <w:rPr>
          <w:rFonts w:ascii="Garamond" w:eastAsia="Palatino Linotype" w:hAnsi="Garamond" w:cs="Palatino Linotype"/>
        </w:rPr>
      </w:pPr>
      <w:r w:rsidRPr="004B0B94">
        <w:rPr>
          <w:rFonts w:ascii="Garamond" w:eastAsia="Palatino Linotype" w:hAnsi="Garamond" w:cs="Palatino Linotype"/>
        </w:rPr>
        <w:t xml:space="preserve">The monthly notional turnover in the equity derivatives segment at NSE increased by 11.4 per cent to </w:t>
      </w:r>
      <w:r w:rsidRPr="004B0B94">
        <w:rPr>
          <w:rFonts w:ascii="Times New Roman" w:eastAsia="Palatino Linotype" w:hAnsi="Times New Roman"/>
        </w:rPr>
        <w:t>₹</w:t>
      </w:r>
      <w:r w:rsidRPr="004B0B94">
        <w:rPr>
          <w:rFonts w:ascii="Garamond" w:eastAsia="Palatino Linotype" w:hAnsi="Garamond" w:cs="Palatino Linotype"/>
        </w:rPr>
        <w:t xml:space="preserve">2,001 </w:t>
      </w:r>
      <w:r>
        <w:rPr>
          <w:rFonts w:ascii="Garamond" w:eastAsia="Palatino Linotype" w:hAnsi="Garamond" w:cs="Palatino Linotype"/>
        </w:rPr>
        <w:t>lakh</w:t>
      </w:r>
      <w:r w:rsidRPr="004B0B94">
        <w:rPr>
          <w:rFonts w:ascii="Garamond" w:eastAsia="Palatino Linotype" w:hAnsi="Garamond" w:cs="Palatino Linotype"/>
        </w:rPr>
        <w:t xml:space="preserve"> </w:t>
      </w:r>
      <w:r w:rsidR="000654C7">
        <w:rPr>
          <w:rFonts w:ascii="Garamond" w:eastAsia="Palatino Linotype" w:hAnsi="Garamond" w:cs="Palatino Linotype"/>
        </w:rPr>
        <w:t>crore</w:t>
      </w:r>
      <w:r w:rsidRPr="004B0B94">
        <w:rPr>
          <w:rFonts w:ascii="Garamond" w:eastAsia="Palatino Linotype" w:hAnsi="Garamond" w:cs="Palatino Linotype"/>
        </w:rPr>
        <w:t xml:space="preserve"> in February 2022 from </w:t>
      </w:r>
      <w:r w:rsidRPr="004B0B94">
        <w:rPr>
          <w:rFonts w:ascii="Times New Roman" w:eastAsia="Palatino Linotype" w:hAnsi="Times New Roman"/>
        </w:rPr>
        <w:t>₹</w:t>
      </w:r>
      <w:r w:rsidRPr="004B0B94">
        <w:rPr>
          <w:rFonts w:ascii="Garamond" w:eastAsia="Palatino Linotype" w:hAnsi="Garamond" w:cs="Palatino Linotype"/>
        </w:rPr>
        <w:t xml:space="preserve">1,797 </w:t>
      </w:r>
      <w:r>
        <w:rPr>
          <w:rFonts w:ascii="Garamond" w:eastAsia="Palatino Linotype" w:hAnsi="Garamond" w:cs="Palatino Linotype"/>
        </w:rPr>
        <w:t>lakh</w:t>
      </w:r>
      <w:r w:rsidRPr="004B0B94">
        <w:rPr>
          <w:rFonts w:ascii="Garamond" w:eastAsia="Palatino Linotype" w:hAnsi="Garamond" w:cs="Palatino Linotype"/>
        </w:rPr>
        <w:t xml:space="preserve"> </w:t>
      </w:r>
      <w:r w:rsidR="000654C7">
        <w:rPr>
          <w:rFonts w:ascii="Garamond" w:eastAsia="Palatino Linotype" w:hAnsi="Garamond" w:cs="Palatino Linotype"/>
        </w:rPr>
        <w:t>crore</w:t>
      </w:r>
      <w:r w:rsidRPr="004B0B94">
        <w:rPr>
          <w:rFonts w:ascii="Garamond" w:eastAsia="Palatino Linotype" w:hAnsi="Garamond" w:cs="Palatino Linotype"/>
        </w:rPr>
        <w:t xml:space="preserve"> in January 2022. </w:t>
      </w:r>
    </w:p>
    <w:p w:rsidR="00567A3B" w:rsidRDefault="00567A3B" w:rsidP="00567A3B">
      <w:pPr>
        <w:widowControl w:val="0"/>
        <w:numPr>
          <w:ilvl w:val="0"/>
          <w:numId w:val="1"/>
        </w:numPr>
        <w:spacing w:line="276" w:lineRule="auto"/>
        <w:jc w:val="both"/>
        <w:rPr>
          <w:rFonts w:ascii="Garamond" w:eastAsia="Palatino Linotype" w:hAnsi="Garamond" w:cs="Palatino Linotype"/>
        </w:rPr>
      </w:pPr>
      <w:r w:rsidRPr="004B0B94">
        <w:rPr>
          <w:rFonts w:ascii="Garamond" w:eastAsia="Palatino Linotype" w:hAnsi="Garamond" w:cs="Palatino Linotype"/>
        </w:rPr>
        <w:t xml:space="preserve">At the end of February 2022, the open interest in terms of value at NSE stood at </w:t>
      </w:r>
    </w:p>
    <w:p w:rsidR="00567A3B" w:rsidRPr="004B0B94" w:rsidRDefault="00567A3B" w:rsidP="00567A3B">
      <w:pPr>
        <w:widowControl w:val="0"/>
        <w:spacing w:line="276" w:lineRule="auto"/>
        <w:ind w:left="720"/>
        <w:jc w:val="both"/>
        <w:rPr>
          <w:rFonts w:ascii="Garamond" w:eastAsia="Palatino Linotype" w:hAnsi="Garamond" w:cs="Palatino Linotype"/>
        </w:rPr>
      </w:pPr>
      <w:r w:rsidRPr="004B0B94">
        <w:rPr>
          <w:rFonts w:ascii="Times New Roman" w:eastAsia="Palatino Linotype" w:hAnsi="Times New Roman"/>
        </w:rPr>
        <w:t>₹</w:t>
      </w:r>
      <w:r w:rsidRPr="004B0B94">
        <w:rPr>
          <w:rFonts w:ascii="Garamond" w:eastAsia="Palatino Linotype" w:hAnsi="Garamond" w:cs="Palatino Linotype"/>
        </w:rPr>
        <w:t xml:space="preserve"> 8, 06,413 </w:t>
      </w:r>
      <w:r w:rsidR="000654C7">
        <w:rPr>
          <w:rFonts w:ascii="Garamond" w:eastAsia="Palatino Linotype" w:hAnsi="Garamond" w:cs="Palatino Linotype"/>
        </w:rPr>
        <w:t>crore</w:t>
      </w:r>
      <w:r w:rsidRPr="004B0B94">
        <w:rPr>
          <w:rFonts w:ascii="Garamond" w:eastAsia="Palatino Linotype" w:hAnsi="Garamond" w:cs="Palatino Linotype"/>
        </w:rPr>
        <w:t xml:space="preserve"> showing a rise of 3.5 per cent from </w:t>
      </w:r>
      <w:r w:rsidRPr="004B0B94">
        <w:rPr>
          <w:rFonts w:ascii="Times New Roman" w:eastAsia="Palatino Linotype" w:hAnsi="Times New Roman"/>
        </w:rPr>
        <w:t>₹</w:t>
      </w:r>
      <w:r w:rsidRPr="004B0B94">
        <w:rPr>
          <w:rFonts w:ascii="Garamond" w:eastAsia="Palatino Linotype" w:hAnsi="Garamond" w:cs="Palatino Linotype"/>
        </w:rPr>
        <w:t xml:space="preserve"> 7,79,146 </w:t>
      </w:r>
      <w:r w:rsidR="000654C7">
        <w:rPr>
          <w:rFonts w:ascii="Garamond" w:eastAsia="Palatino Linotype" w:hAnsi="Garamond" w:cs="Palatino Linotype"/>
        </w:rPr>
        <w:t>crore</w:t>
      </w:r>
      <w:r w:rsidRPr="004B0B94">
        <w:rPr>
          <w:rFonts w:ascii="Garamond" w:eastAsia="Palatino Linotype" w:hAnsi="Garamond" w:cs="Palatino Linotype"/>
        </w:rPr>
        <w:t xml:space="preserve"> in January 2022.</w:t>
      </w:r>
    </w:p>
    <w:p w:rsidR="00567A3B" w:rsidRDefault="00567A3B" w:rsidP="00567A3B">
      <w:pPr>
        <w:widowControl w:val="0"/>
        <w:spacing w:line="276" w:lineRule="auto"/>
        <w:jc w:val="both"/>
        <w:rPr>
          <w:rFonts w:ascii="Garamond" w:eastAsia="Palatino Linotype" w:hAnsi="Garamond" w:cs="Palatino Linotype"/>
          <w:strike/>
        </w:rPr>
      </w:pPr>
    </w:p>
    <w:p w:rsidR="00567A3B" w:rsidRDefault="00567A3B" w:rsidP="00567A3B">
      <w:pPr>
        <w:pBdr>
          <w:between w:val="nil"/>
        </w:pBdr>
        <w:rPr>
          <w:rFonts w:ascii="Garamond" w:eastAsia="Palatino Linotype" w:hAnsi="Garamond" w:cs="Palatino Linotype"/>
          <w:b/>
        </w:rPr>
      </w:pPr>
      <w:r>
        <w:rPr>
          <w:rFonts w:ascii="Garamond" w:eastAsia="Palatino Linotype" w:hAnsi="Garamond" w:cs="Palatino Linotype"/>
          <w:b/>
        </w:rPr>
        <w:t>Figure 6</w:t>
      </w:r>
      <w:r w:rsidRPr="00891713">
        <w:rPr>
          <w:rFonts w:ascii="Garamond" w:eastAsia="Palatino Linotype" w:hAnsi="Garamond" w:cs="Palatino Linotype"/>
          <w:b/>
        </w:rPr>
        <w:t>: Trends of Average Daily Notional Turnover at BSE and NSE (</w:t>
      </w:r>
      <w:r w:rsidRPr="00891713">
        <w:rPr>
          <w:rFonts w:ascii="Times New Roman" w:eastAsia="Palatino Linotype" w:hAnsi="Times New Roman"/>
          <w:b/>
        </w:rPr>
        <w:t>₹</w:t>
      </w:r>
      <w:r w:rsidRPr="00891713">
        <w:rPr>
          <w:rFonts w:ascii="Garamond" w:eastAsia="Palatino Linotype" w:hAnsi="Garamond" w:cs="Palatino Linotype"/>
          <w:b/>
        </w:rPr>
        <w:t xml:space="preserve"> </w:t>
      </w:r>
      <w:r w:rsidR="000654C7">
        <w:rPr>
          <w:rFonts w:ascii="Garamond" w:eastAsia="Palatino Linotype" w:hAnsi="Garamond" w:cs="Palatino Linotype"/>
          <w:b/>
        </w:rPr>
        <w:t>crore</w:t>
      </w:r>
      <w:r w:rsidRPr="00891713">
        <w:rPr>
          <w:rFonts w:ascii="Garamond" w:eastAsia="Palatino Linotype" w:hAnsi="Garamond" w:cs="Palatino Linotype"/>
          <w:b/>
        </w:rPr>
        <w:t>)</w:t>
      </w:r>
    </w:p>
    <w:p w:rsidR="00567A3B" w:rsidRPr="00891713" w:rsidRDefault="00567A3B" w:rsidP="00567A3B">
      <w:pPr>
        <w:pBdr>
          <w:between w:val="nil"/>
        </w:pBdr>
        <w:rPr>
          <w:rFonts w:ascii="Garamond" w:eastAsia="Palatino Linotype" w:hAnsi="Garamond" w:cs="Palatino Linotype"/>
          <w:b/>
        </w:rPr>
      </w:pPr>
      <w:r w:rsidRPr="009000FB">
        <w:rPr>
          <w:noProof/>
          <w:lang w:val="en-US" w:bidi="hi-IN"/>
        </w:rPr>
        <w:drawing>
          <wp:inline distT="0" distB="0" distL="0" distR="0" wp14:anchorId="247B03A6" wp14:editId="1E47BBCB">
            <wp:extent cx="5610225" cy="2276475"/>
            <wp:effectExtent l="0" t="0" r="9525" b="9525"/>
            <wp:docPr id="21" name="Chart 2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67A3B" w:rsidRPr="00891713" w:rsidRDefault="00567A3B" w:rsidP="00567A3B">
      <w:pPr>
        <w:spacing w:line="276" w:lineRule="auto"/>
        <w:rPr>
          <w:rFonts w:ascii="Garamond" w:eastAsia="Palatino Linotype" w:hAnsi="Garamond" w:cs="Palatino Linotype"/>
          <w:b/>
          <w:szCs w:val="22"/>
        </w:rPr>
      </w:pPr>
      <w:r w:rsidRPr="00891713">
        <w:rPr>
          <w:rFonts w:ascii="Garamond" w:eastAsia="Palatino Linotype" w:hAnsi="Garamond" w:cs="Palatino Linotype"/>
          <w:b/>
          <w:szCs w:val="22"/>
        </w:rPr>
        <w:t xml:space="preserve"> Note: </w:t>
      </w:r>
      <w:r w:rsidRPr="00891713">
        <w:rPr>
          <w:rFonts w:ascii="Garamond" w:eastAsia="Palatino Linotype" w:hAnsi="Garamond" w:cs="Palatino Linotype"/>
          <w:bCs/>
          <w:szCs w:val="22"/>
        </w:rPr>
        <w:t>ADNT implies Average Daily Notional Turnover</w:t>
      </w:r>
    </w:p>
    <w:p w:rsidR="00567A3B" w:rsidRDefault="00567A3B" w:rsidP="00567A3B">
      <w:pPr>
        <w:spacing w:line="276" w:lineRule="auto"/>
        <w:rPr>
          <w:rFonts w:ascii="Garamond" w:eastAsia="Palatino Linotype" w:hAnsi="Garamond" w:cs="Palatino Linotype"/>
          <w:bCs/>
          <w:szCs w:val="22"/>
        </w:rPr>
      </w:pPr>
      <w:r w:rsidRPr="00891713">
        <w:rPr>
          <w:rFonts w:ascii="Garamond" w:eastAsia="Palatino Linotype" w:hAnsi="Garamond" w:cs="Palatino Linotype"/>
          <w:b/>
          <w:szCs w:val="22"/>
        </w:rPr>
        <w:t xml:space="preserve">Source: </w:t>
      </w:r>
      <w:r w:rsidRPr="00891713">
        <w:rPr>
          <w:rFonts w:ascii="Garamond" w:eastAsia="Palatino Linotype" w:hAnsi="Garamond" w:cs="Palatino Linotype"/>
          <w:bCs/>
          <w:szCs w:val="22"/>
        </w:rPr>
        <w:t>BSE and NSE</w:t>
      </w:r>
    </w:p>
    <w:p w:rsidR="00567A3B" w:rsidRDefault="00567A3B" w:rsidP="00567A3B">
      <w:pPr>
        <w:spacing w:line="276" w:lineRule="auto"/>
        <w:rPr>
          <w:rFonts w:ascii="Garamond" w:eastAsia="Palatino Linotype" w:hAnsi="Garamond" w:cs="Palatino Linotype"/>
          <w:bCs/>
          <w:szCs w:val="22"/>
        </w:rPr>
      </w:pPr>
    </w:p>
    <w:p w:rsidR="00567A3B" w:rsidRDefault="00567A3B" w:rsidP="00567A3B">
      <w:pPr>
        <w:spacing w:line="276" w:lineRule="auto"/>
        <w:rPr>
          <w:rFonts w:ascii="Garamond" w:eastAsia="Palatino Linotype" w:hAnsi="Garamond" w:cs="Palatino Linotype"/>
          <w:b/>
          <w:szCs w:val="22"/>
        </w:rPr>
      </w:pPr>
      <w:r w:rsidRPr="00AD4F7A">
        <w:rPr>
          <w:rFonts w:ascii="Garamond" w:eastAsia="Palatino Linotype" w:hAnsi="Garamond" w:cs="Palatino Linotype"/>
          <w:b/>
          <w:szCs w:val="22"/>
        </w:rPr>
        <w:t>Table 3: Trends in Equity Derivatives Market</w:t>
      </w:r>
    </w:p>
    <w:tbl>
      <w:tblPr>
        <w:tblW w:w="10250" w:type="dxa"/>
        <w:jc w:val="center"/>
        <w:tblLook w:val="04A0" w:firstRow="1" w:lastRow="0" w:firstColumn="1" w:lastColumn="0" w:noHBand="0" w:noVBand="1"/>
      </w:tblPr>
      <w:tblGrid>
        <w:gridCol w:w="1459"/>
        <w:gridCol w:w="1582"/>
        <w:gridCol w:w="1618"/>
        <w:gridCol w:w="1379"/>
        <w:gridCol w:w="1421"/>
        <w:gridCol w:w="1413"/>
        <w:gridCol w:w="1378"/>
      </w:tblGrid>
      <w:tr w:rsidR="00567A3B" w:rsidRPr="00721DBE" w:rsidTr="00402D0C">
        <w:trPr>
          <w:trHeight w:val="181"/>
          <w:jc w:val="center"/>
        </w:trPr>
        <w:tc>
          <w:tcPr>
            <w:tcW w:w="1459" w:type="dxa"/>
            <w:vMerge w:val="restart"/>
            <w:tcBorders>
              <w:top w:val="single" w:sz="8" w:space="0" w:color="auto"/>
              <w:left w:val="single" w:sz="8" w:space="0" w:color="auto"/>
              <w:bottom w:val="single" w:sz="8" w:space="0" w:color="000000"/>
              <w:right w:val="single" w:sz="8" w:space="0" w:color="auto"/>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lastRenderedPageBreak/>
              <w:t>Description</w:t>
            </w:r>
          </w:p>
        </w:tc>
        <w:tc>
          <w:tcPr>
            <w:tcW w:w="4579" w:type="dxa"/>
            <w:gridSpan w:val="3"/>
            <w:tcBorders>
              <w:top w:val="single" w:sz="8" w:space="0" w:color="auto"/>
              <w:left w:val="nil"/>
              <w:bottom w:val="single" w:sz="8" w:space="0" w:color="auto"/>
              <w:right w:val="single" w:sz="8" w:space="0" w:color="000000"/>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NSE</w:t>
            </w:r>
          </w:p>
        </w:tc>
        <w:tc>
          <w:tcPr>
            <w:tcW w:w="4212" w:type="dxa"/>
            <w:gridSpan w:val="3"/>
            <w:tcBorders>
              <w:top w:val="single" w:sz="8" w:space="0" w:color="auto"/>
              <w:left w:val="nil"/>
              <w:bottom w:val="single" w:sz="8" w:space="0" w:color="auto"/>
              <w:right w:val="single" w:sz="8" w:space="0" w:color="000000"/>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BSE</w:t>
            </w:r>
          </w:p>
        </w:tc>
      </w:tr>
      <w:tr w:rsidR="00567A3B" w:rsidRPr="00721DBE" w:rsidTr="00402D0C">
        <w:trPr>
          <w:trHeight w:val="450"/>
          <w:jc w:val="center"/>
        </w:trPr>
        <w:tc>
          <w:tcPr>
            <w:tcW w:w="1459" w:type="dxa"/>
            <w:vMerge/>
            <w:tcBorders>
              <w:top w:val="single" w:sz="8" w:space="0" w:color="auto"/>
              <w:left w:val="single" w:sz="8" w:space="0" w:color="auto"/>
              <w:bottom w:val="single" w:sz="8" w:space="0" w:color="000000"/>
              <w:right w:val="single" w:sz="8" w:space="0" w:color="auto"/>
            </w:tcBorders>
            <w:shd w:val="clear" w:color="auto" w:fill="BDD6EE" w:themeFill="accent1" w:themeFillTint="66"/>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p>
        </w:tc>
        <w:tc>
          <w:tcPr>
            <w:tcW w:w="1582" w:type="dxa"/>
            <w:tcBorders>
              <w:top w:val="nil"/>
              <w:left w:val="nil"/>
              <w:bottom w:val="single" w:sz="8" w:space="0" w:color="auto"/>
              <w:right w:val="single" w:sz="8" w:space="0" w:color="auto"/>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Jan-22</w:t>
            </w:r>
          </w:p>
        </w:tc>
        <w:tc>
          <w:tcPr>
            <w:tcW w:w="1618" w:type="dxa"/>
            <w:tcBorders>
              <w:top w:val="nil"/>
              <w:left w:val="nil"/>
              <w:bottom w:val="single" w:sz="8" w:space="0" w:color="auto"/>
              <w:right w:val="single" w:sz="8" w:space="0" w:color="auto"/>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Feb-22</w:t>
            </w:r>
          </w:p>
        </w:tc>
        <w:tc>
          <w:tcPr>
            <w:tcW w:w="1379" w:type="dxa"/>
            <w:tcBorders>
              <w:top w:val="nil"/>
              <w:left w:val="nil"/>
              <w:bottom w:val="single" w:sz="8" w:space="0" w:color="auto"/>
              <w:right w:val="single" w:sz="8" w:space="0" w:color="auto"/>
            </w:tcBorders>
            <w:shd w:val="clear" w:color="auto" w:fill="BDD6EE" w:themeFill="accent1" w:themeFillTint="66"/>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Percentage Change Over Month</w:t>
            </w:r>
          </w:p>
        </w:tc>
        <w:tc>
          <w:tcPr>
            <w:tcW w:w="1421" w:type="dxa"/>
            <w:tcBorders>
              <w:top w:val="nil"/>
              <w:left w:val="nil"/>
              <w:bottom w:val="single" w:sz="8" w:space="0" w:color="auto"/>
              <w:right w:val="single" w:sz="8" w:space="0" w:color="auto"/>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Jan-22</w:t>
            </w:r>
          </w:p>
        </w:tc>
        <w:tc>
          <w:tcPr>
            <w:tcW w:w="1413" w:type="dxa"/>
            <w:tcBorders>
              <w:top w:val="nil"/>
              <w:left w:val="nil"/>
              <w:bottom w:val="single" w:sz="8" w:space="0" w:color="auto"/>
              <w:right w:val="single" w:sz="8" w:space="0" w:color="auto"/>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Feb-22</w:t>
            </w:r>
          </w:p>
        </w:tc>
        <w:tc>
          <w:tcPr>
            <w:tcW w:w="1378" w:type="dxa"/>
            <w:tcBorders>
              <w:top w:val="nil"/>
              <w:left w:val="nil"/>
              <w:bottom w:val="single" w:sz="8" w:space="0" w:color="auto"/>
              <w:right w:val="single" w:sz="8" w:space="0" w:color="auto"/>
            </w:tcBorders>
            <w:shd w:val="clear" w:color="auto" w:fill="BDD6EE" w:themeFill="accent1" w:themeFillTint="66"/>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Percentage Change Over Month</w:t>
            </w:r>
          </w:p>
        </w:tc>
      </w:tr>
      <w:tr w:rsidR="00567A3B" w:rsidRPr="00721DBE" w:rsidTr="00402D0C">
        <w:trPr>
          <w:trHeight w:val="181"/>
          <w:jc w:val="center"/>
        </w:trPr>
        <w:tc>
          <w:tcPr>
            <w:tcW w:w="10250" w:type="dxa"/>
            <w:gridSpan w:val="7"/>
            <w:tcBorders>
              <w:top w:val="single" w:sz="8" w:space="0" w:color="auto"/>
              <w:left w:val="single" w:sz="8" w:space="0" w:color="auto"/>
              <w:bottom w:val="single" w:sz="8" w:space="0" w:color="auto"/>
              <w:right w:val="single" w:sz="8" w:space="0" w:color="000000"/>
            </w:tcBorders>
            <w:shd w:val="clear" w:color="000000" w:fill="FFFFCC"/>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A. Turnover  (</w:t>
            </w:r>
            <w:r w:rsidRPr="00721DBE">
              <w:rPr>
                <w:rFonts w:ascii="Times New Roman" w:eastAsia="Palatino Linotype" w:hAnsi="Times New Roman"/>
                <w:b/>
                <w:bCs/>
                <w:color w:val="000000"/>
                <w:sz w:val="20"/>
                <w:szCs w:val="20"/>
              </w:rPr>
              <w:t>₹</w:t>
            </w:r>
            <w:r w:rsidR="000654C7" w:rsidRPr="00721DBE">
              <w:rPr>
                <w:rFonts w:ascii="Garamond" w:eastAsia="Palatino Linotype" w:hAnsi="Garamond" w:cs="Palatino Linotype"/>
                <w:b/>
                <w:bCs/>
                <w:color w:val="000000"/>
                <w:sz w:val="20"/>
                <w:szCs w:val="20"/>
              </w:rPr>
              <w:t>crore</w:t>
            </w:r>
            <w:r w:rsidRPr="00721DBE">
              <w:rPr>
                <w:rFonts w:ascii="Garamond" w:eastAsia="Palatino Linotype" w:hAnsi="Garamond" w:cs="Palatino Linotype"/>
                <w:b/>
                <w:bCs/>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 Index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7,61,672</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9,53,262</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25.2</w:t>
            </w:r>
          </w:p>
        </w:tc>
        <w:tc>
          <w:tcPr>
            <w:tcW w:w="1421" w:type="dxa"/>
            <w:tcBorders>
              <w:top w:val="nil"/>
              <w:left w:val="nil"/>
              <w:bottom w:val="single" w:sz="8" w:space="0" w:color="000000"/>
              <w:right w:val="single" w:sz="8" w:space="0" w:color="000000"/>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5.92</w:t>
            </w:r>
          </w:p>
        </w:tc>
        <w:tc>
          <w:tcPr>
            <w:tcW w:w="1413" w:type="dxa"/>
            <w:tcBorders>
              <w:top w:val="nil"/>
              <w:left w:val="nil"/>
              <w:bottom w:val="single" w:sz="8" w:space="0" w:color="000000"/>
              <w:right w:val="single" w:sz="8" w:space="0" w:color="000000"/>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5.32</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-10.1</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 Options on Index</w:t>
            </w:r>
          </w:p>
        </w:tc>
        <w:tc>
          <w:tcPr>
            <w:tcW w:w="1582" w:type="dxa"/>
            <w:tcBorders>
              <w:top w:val="nil"/>
              <w:left w:val="nil"/>
              <w:bottom w:val="single" w:sz="8" w:space="0" w:color="auto"/>
              <w:right w:val="single" w:sz="8" w:space="0" w:color="auto"/>
            </w:tcBorders>
            <w:shd w:val="clear" w:color="auto" w:fill="auto"/>
            <w:noWrap/>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17,23,43,817</w:t>
            </w:r>
          </w:p>
        </w:tc>
        <w:tc>
          <w:tcPr>
            <w:tcW w:w="1618" w:type="dxa"/>
            <w:tcBorders>
              <w:top w:val="nil"/>
              <w:left w:val="nil"/>
              <w:bottom w:val="single" w:sz="8" w:space="0" w:color="auto"/>
              <w:right w:val="single" w:sz="8" w:space="0" w:color="auto"/>
            </w:tcBorders>
            <w:shd w:val="clear" w:color="auto" w:fill="auto"/>
            <w:noWrap/>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19,31,63,285</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12.1</w:t>
            </w:r>
          </w:p>
        </w:tc>
        <w:tc>
          <w:tcPr>
            <w:tcW w:w="1421" w:type="dxa"/>
            <w:tcBorders>
              <w:top w:val="nil"/>
              <w:left w:val="nil"/>
              <w:bottom w:val="single" w:sz="8" w:space="0" w:color="000000"/>
              <w:right w:val="single" w:sz="8" w:space="0" w:color="000000"/>
            </w:tcBorders>
            <w:shd w:val="clear" w:color="auto" w:fill="auto"/>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50,64,558</w:t>
            </w:r>
          </w:p>
        </w:tc>
        <w:tc>
          <w:tcPr>
            <w:tcW w:w="1413" w:type="dxa"/>
            <w:tcBorders>
              <w:top w:val="nil"/>
              <w:left w:val="nil"/>
              <w:bottom w:val="single" w:sz="8" w:space="0" w:color="000000"/>
              <w:right w:val="single" w:sz="8" w:space="0" w:color="000000"/>
            </w:tcBorders>
            <w:shd w:val="clear" w:color="auto" w:fill="auto"/>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48,24,485</w:t>
            </w:r>
          </w:p>
        </w:tc>
        <w:tc>
          <w:tcPr>
            <w:tcW w:w="1378" w:type="dxa"/>
            <w:tcBorders>
              <w:top w:val="nil"/>
              <w:left w:val="nil"/>
              <w:bottom w:val="single" w:sz="8" w:space="0" w:color="auto"/>
              <w:right w:val="single" w:sz="8" w:space="0" w:color="auto"/>
            </w:tcBorders>
            <w:shd w:val="clear" w:color="auto" w:fill="auto"/>
            <w:noWrap/>
            <w:vAlign w:val="center"/>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-4.7</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8,15,12,747</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9,24,63,762</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13.4</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11,44,295</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2,39,861</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-79.0</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9,08,31,070</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10,06,99,523</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10.9</w:t>
            </w:r>
          </w:p>
        </w:tc>
        <w:tc>
          <w:tcPr>
            <w:tcW w:w="1421" w:type="dxa"/>
            <w:tcBorders>
              <w:top w:val="nil"/>
              <w:left w:val="nil"/>
              <w:bottom w:val="single" w:sz="8" w:space="0" w:color="000000"/>
              <w:right w:val="single" w:sz="8" w:space="0" w:color="000000"/>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39,20,263</w:t>
            </w:r>
          </w:p>
        </w:tc>
        <w:tc>
          <w:tcPr>
            <w:tcW w:w="1413" w:type="dxa"/>
            <w:tcBorders>
              <w:top w:val="nil"/>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45,84,624</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16.9</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(iii) Stock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17,85,393</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16,84,884</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-5.6</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413" w:type="dxa"/>
            <w:tcBorders>
              <w:top w:val="nil"/>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(iv) Options on Stock</w:t>
            </w:r>
          </w:p>
        </w:tc>
        <w:tc>
          <w:tcPr>
            <w:tcW w:w="1582" w:type="dxa"/>
            <w:tcBorders>
              <w:top w:val="nil"/>
              <w:left w:val="nil"/>
              <w:bottom w:val="single" w:sz="8" w:space="0" w:color="auto"/>
              <w:right w:val="single" w:sz="8" w:space="0" w:color="auto"/>
            </w:tcBorders>
            <w:shd w:val="clear" w:color="auto" w:fill="auto"/>
            <w:noWrap/>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48,49,881</w:t>
            </w:r>
          </w:p>
        </w:tc>
        <w:tc>
          <w:tcPr>
            <w:tcW w:w="1618" w:type="dxa"/>
            <w:tcBorders>
              <w:top w:val="nil"/>
              <w:left w:val="nil"/>
              <w:bottom w:val="single" w:sz="8" w:space="0" w:color="auto"/>
              <w:right w:val="single" w:sz="8" w:space="0" w:color="auto"/>
            </w:tcBorders>
            <w:shd w:val="clear" w:color="auto" w:fill="auto"/>
            <w:noWrap/>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43,75,837</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-9.8</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13,52,821</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13,17,212</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-2.6</w:t>
            </w:r>
          </w:p>
        </w:tc>
        <w:tc>
          <w:tcPr>
            <w:tcW w:w="1421" w:type="dxa"/>
            <w:tcBorders>
              <w:top w:val="nil"/>
              <w:left w:val="nil"/>
              <w:bottom w:val="single" w:sz="8" w:space="0" w:color="000000"/>
              <w:right w:val="single" w:sz="8" w:space="0" w:color="000000"/>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413" w:type="dxa"/>
            <w:tcBorders>
              <w:top w:val="single" w:sz="4" w:space="0" w:color="auto"/>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34,97,060</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30,58,625</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-12.5</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413" w:type="dxa"/>
            <w:tcBorders>
              <w:top w:val="nil"/>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Total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17,97,40,762</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20,01,77,267</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11.4</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50,64,564</w:t>
            </w:r>
          </w:p>
        </w:tc>
        <w:tc>
          <w:tcPr>
            <w:tcW w:w="1413"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48,24,490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-4.7</w:t>
            </w:r>
          </w:p>
        </w:tc>
      </w:tr>
      <w:tr w:rsidR="00567A3B" w:rsidRPr="00721DBE" w:rsidTr="00402D0C">
        <w:trPr>
          <w:trHeight w:val="181"/>
          <w:jc w:val="center"/>
        </w:trPr>
        <w:tc>
          <w:tcPr>
            <w:tcW w:w="10250" w:type="dxa"/>
            <w:gridSpan w:val="7"/>
            <w:tcBorders>
              <w:top w:val="single" w:sz="8" w:space="0" w:color="auto"/>
              <w:left w:val="single" w:sz="8" w:space="0" w:color="auto"/>
              <w:bottom w:val="single" w:sz="8" w:space="0" w:color="auto"/>
              <w:right w:val="single" w:sz="8" w:space="0" w:color="000000"/>
            </w:tcBorders>
            <w:shd w:val="clear" w:color="auto" w:fill="FFF2CC" w:themeFill="accent4" w:themeFillTint="33"/>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B. No. of Contracts</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 Index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83,71,235</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1,06,65,167</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27.4</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64</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59</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-7.8</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 Options on Index</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jc w:val="right"/>
              <w:rPr>
                <w:rFonts w:ascii="Garamond" w:hAnsi="Garamond" w:cs="Arial"/>
                <w:sz w:val="20"/>
                <w:szCs w:val="20"/>
              </w:rPr>
            </w:pPr>
            <w:r w:rsidRPr="00721DBE">
              <w:rPr>
                <w:rFonts w:ascii="Garamond" w:hAnsi="Garamond" w:cs="Arial"/>
                <w:sz w:val="20"/>
                <w:szCs w:val="20"/>
              </w:rPr>
              <w:t>1,86,71,37,723</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jc w:val="right"/>
              <w:rPr>
                <w:rFonts w:ascii="Garamond" w:hAnsi="Garamond" w:cs="Arial"/>
                <w:sz w:val="20"/>
                <w:szCs w:val="20"/>
              </w:rPr>
            </w:pPr>
            <w:r w:rsidRPr="00721DBE">
              <w:rPr>
                <w:rFonts w:ascii="Garamond" w:hAnsi="Garamond" w:cs="Arial"/>
                <w:sz w:val="20"/>
                <w:szCs w:val="20"/>
              </w:rPr>
              <w:t>2,11,48,68,631</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13.3</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jc w:val="center"/>
              <w:rPr>
                <w:rFonts w:ascii="Garamond" w:hAnsi="Garamond" w:cs="Arial"/>
                <w:sz w:val="20"/>
                <w:szCs w:val="20"/>
              </w:rPr>
            </w:pPr>
            <w:r w:rsidRPr="00721DBE">
              <w:rPr>
                <w:rFonts w:ascii="Garamond" w:hAnsi="Garamond" w:cs="Arial"/>
                <w:sz w:val="20"/>
                <w:szCs w:val="20"/>
              </w:rPr>
              <w:t>5,34,74,245</w:t>
            </w:r>
          </w:p>
        </w:tc>
        <w:tc>
          <w:tcPr>
            <w:tcW w:w="1413" w:type="dxa"/>
            <w:tcBorders>
              <w:top w:val="nil"/>
              <w:left w:val="nil"/>
              <w:bottom w:val="single" w:sz="8" w:space="0" w:color="000000"/>
              <w:right w:val="single" w:sz="8" w:space="0" w:color="000000"/>
            </w:tcBorders>
            <w:shd w:val="clear" w:color="auto" w:fill="auto"/>
            <w:hideMark/>
          </w:tcPr>
          <w:p w:rsidR="00402D0C" w:rsidRPr="00721DBE" w:rsidRDefault="00402D0C" w:rsidP="00402D0C">
            <w:pPr>
              <w:jc w:val="center"/>
              <w:rPr>
                <w:rFonts w:ascii="Garamond" w:hAnsi="Garamond" w:cs="Arial"/>
                <w:sz w:val="20"/>
                <w:szCs w:val="20"/>
              </w:rPr>
            </w:pPr>
            <w:r w:rsidRPr="00721DBE">
              <w:rPr>
                <w:rFonts w:ascii="Garamond" w:hAnsi="Garamond" w:cs="Arial"/>
                <w:sz w:val="20"/>
                <w:szCs w:val="20"/>
              </w:rPr>
              <w:t>4,93,26,822</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-7.8 </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89,67,36,465</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1,03,10,90,247</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15.0</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1,38,27,081</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28,05,891</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-79.7</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97,04,01,258</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1,08,37,78,384</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11.7</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3,96,47,164</w:t>
            </w:r>
          </w:p>
        </w:tc>
        <w:tc>
          <w:tcPr>
            <w:tcW w:w="1413" w:type="dxa"/>
            <w:tcBorders>
              <w:top w:val="nil"/>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4,65,20,931</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17.3</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(iii) Stock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2,45,36,987</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2,39,94,909</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-2.2</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nil"/>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(iv) Options on Stock</w:t>
            </w:r>
          </w:p>
        </w:tc>
        <w:tc>
          <w:tcPr>
            <w:tcW w:w="1582" w:type="dxa"/>
            <w:tcBorders>
              <w:top w:val="nil"/>
              <w:left w:val="nil"/>
              <w:bottom w:val="single" w:sz="8" w:space="0" w:color="auto"/>
              <w:right w:val="single" w:sz="8" w:space="0" w:color="auto"/>
            </w:tcBorders>
            <w:shd w:val="clear" w:color="auto" w:fill="auto"/>
            <w:noWrap/>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6,30,51,056</w:t>
            </w:r>
          </w:p>
        </w:tc>
        <w:tc>
          <w:tcPr>
            <w:tcW w:w="1618" w:type="dxa"/>
            <w:tcBorders>
              <w:top w:val="nil"/>
              <w:left w:val="nil"/>
              <w:bottom w:val="single" w:sz="8" w:space="0" w:color="auto"/>
              <w:right w:val="single" w:sz="8" w:space="0" w:color="auto"/>
            </w:tcBorders>
            <w:shd w:val="clear" w:color="auto" w:fill="auto"/>
            <w:noWrap/>
            <w:hideMark/>
          </w:tcPr>
          <w:p w:rsidR="00402D0C" w:rsidRPr="0037544C" w:rsidRDefault="00402D0C" w:rsidP="00402D0C">
            <w:pPr>
              <w:jc w:val="center"/>
              <w:rPr>
                <w:rFonts w:ascii="Garamond" w:eastAsia="Palatino Linotype" w:hAnsi="Garamond" w:cs="Palatino Linotype"/>
                <w:color w:val="000000"/>
                <w:sz w:val="20"/>
                <w:szCs w:val="20"/>
              </w:rPr>
            </w:pPr>
            <w:r w:rsidRPr="0037544C">
              <w:rPr>
                <w:rFonts w:ascii="Garamond" w:eastAsia="Palatino Linotype" w:hAnsi="Garamond" w:cs="Palatino Linotype"/>
                <w:color w:val="000000"/>
                <w:sz w:val="20"/>
                <w:szCs w:val="20"/>
              </w:rPr>
              <w:t>5,81,76,135</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-7.7</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1,85,55,424</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1,83,65,486</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-1.0</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4,44,95,632</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3,98,10,649</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-10.5</w:t>
            </w:r>
          </w:p>
        </w:tc>
        <w:tc>
          <w:tcPr>
            <w:tcW w:w="1421" w:type="dxa"/>
            <w:tcBorders>
              <w:top w:val="nil"/>
              <w:left w:val="nil"/>
              <w:bottom w:val="single" w:sz="8" w:space="0" w:color="000000"/>
              <w:right w:val="single" w:sz="8" w:space="0" w:color="000000"/>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nil"/>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Total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1,96,30,97,001</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2,20,77,04,842</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12.5</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5,34,74,309</w:t>
            </w:r>
          </w:p>
        </w:tc>
        <w:tc>
          <w:tcPr>
            <w:tcW w:w="1413"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4,93,26,881</w:t>
            </w:r>
          </w:p>
        </w:tc>
        <w:tc>
          <w:tcPr>
            <w:tcW w:w="1378" w:type="dxa"/>
            <w:tcBorders>
              <w:top w:val="nil"/>
              <w:left w:val="nil"/>
              <w:bottom w:val="single" w:sz="8" w:space="0" w:color="auto"/>
              <w:right w:val="single" w:sz="8" w:space="0" w:color="auto"/>
            </w:tcBorders>
            <w:shd w:val="clear" w:color="auto" w:fill="auto"/>
            <w:noWrap/>
            <w:hideMark/>
          </w:tcPr>
          <w:p w:rsidR="00402D0C" w:rsidRPr="00402D0C" w:rsidRDefault="00402D0C" w:rsidP="00402D0C">
            <w:pPr>
              <w:pBdr>
                <w:between w:val="nil"/>
              </w:pBdr>
              <w:jc w:val="center"/>
              <w:rPr>
                <w:rFonts w:ascii="Garamond" w:eastAsia="Palatino Linotype" w:hAnsi="Garamond" w:cs="Palatino Linotype"/>
                <w:b/>
                <w:bCs/>
                <w:color w:val="000000"/>
                <w:sz w:val="20"/>
                <w:szCs w:val="20"/>
              </w:rPr>
            </w:pPr>
            <w:r w:rsidRPr="00402D0C">
              <w:rPr>
                <w:rFonts w:ascii="Garamond" w:eastAsia="Palatino Linotype" w:hAnsi="Garamond" w:cs="Palatino Linotype"/>
                <w:b/>
                <w:bCs/>
                <w:color w:val="000000"/>
                <w:sz w:val="20"/>
                <w:szCs w:val="20"/>
              </w:rPr>
              <w:t>-7.8</w:t>
            </w:r>
          </w:p>
        </w:tc>
      </w:tr>
      <w:tr w:rsidR="00567A3B" w:rsidRPr="00721DBE" w:rsidTr="00402D0C">
        <w:trPr>
          <w:trHeight w:val="181"/>
          <w:jc w:val="center"/>
        </w:trPr>
        <w:tc>
          <w:tcPr>
            <w:tcW w:w="10250" w:type="dxa"/>
            <w:gridSpan w:val="7"/>
            <w:tcBorders>
              <w:top w:val="single" w:sz="8" w:space="0" w:color="auto"/>
              <w:left w:val="single" w:sz="8" w:space="0" w:color="auto"/>
              <w:bottom w:val="single" w:sz="8" w:space="0" w:color="auto"/>
              <w:right w:val="single" w:sz="8" w:space="0" w:color="000000"/>
            </w:tcBorders>
            <w:shd w:val="clear" w:color="auto" w:fill="FFF2CC" w:themeFill="accent4" w:themeFillTint="33"/>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C.  Open Interest in Terms of Value (</w:t>
            </w:r>
            <w:r w:rsidRPr="00721DBE">
              <w:rPr>
                <w:rFonts w:ascii="Times New Roman" w:eastAsia="Palatino Linotype" w:hAnsi="Times New Roman"/>
                <w:b/>
                <w:bCs/>
                <w:color w:val="000000"/>
                <w:sz w:val="20"/>
                <w:szCs w:val="20"/>
              </w:rPr>
              <w:t>₹</w:t>
            </w:r>
            <w:r w:rsidRPr="00721DBE">
              <w:rPr>
                <w:rFonts w:ascii="Garamond" w:eastAsia="Palatino Linotype" w:hAnsi="Garamond" w:cs="Palatino Linotype"/>
                <w:b/>
                <w:bCs/>
                <w:color w:val="000000"/>
                <w:sz w:val="20"/>
                <w:szCs w:val="20"/>
              </w:rPr>
              <w:t xml:space="preserve"> </w:t>
            </w:r>
            <w:r w:rsidR="000654C7" w:rsidRPr="00721DBE">
              <w:rPr>
                <w:rFonts w:ascii="Garamond" w:eastAsia="Palatino Linotype" w:hAnsi="Garamond" w:cs="Palatino Linotype"/>
                <w:b/>
                <w:bCs/>
                <w:color w:val="000000"/>
                <w:sz w:val="20"/>
                <w:szCs w:val="20"/>
              </w:rPr>
              <w:t>crore</w:t>
            </w:r>
            <w:r w:rsidRPr="00721DBE">
              <w:rPr>
                <w:rFonts w:ascii="Garamond" w:eastAsia="Palatino Linotype" w:hAnsi="Garamond" w:cs="Palatino Linotype"/>
                <w:b/>
                <w:bCs/>
                <w:color w:val="000000"/>
                <w:sz w:val="20"/>
                <w:szCs w:val="20"/>
              </w:rPr>
              <w:t>)</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 Index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26,199</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33,086 </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26.3</w:t>
            </w:r>
          </w:p>
        </w:tc>
        <w:tc>
          <w:tcPr>
            <w:tcW w:w="1421" w:type="dxa"/>
            <w:tcBorders>
              <w:top w:val="nil"/>
              <w:left w:val="nil"/>
              <w:bottom w:val="nil"/>
              <w:right w:val="nil"/>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0.18</w:t>
            </w:r>
          </w:p>
        </w:tc>
        <w:tc>
          <w:tcPr>
            <w:tcW w:w="1413" w:type="dxa"/>
            <w:tcBorders>
              <w:top w:val="single" w:sz="4" w:space="0" w:color="auto"/>
              <w:left w:val="single" w:sz="4" w:space="0" w:color="auto"/>
              <w:bottom w:val="nil"/>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0.18</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0.0</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 Options on Index</w:t>
            </w:r>
          </w:p>
        </w:tc>
        <w:tc>
          <w:tcPr>
            <w:tcW w:w="1582" w:type="dxa"/>
            <w:tcBorders>
              <w:top w:val="nil"/>
              <w:left w:val="nil"/>
              <w:bottom w:val="single" w:sz="8"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4,55,719</w:t>
            </w:r>
          </w:p>
        </w:tc>
        <w:tc>
          <w:tcPr>
            <w:tcW w:w="1618" w:type="dxa"/>
            <w:tcBorders>
              <w:top w:val="nil"/>
              <w:left w:val="nil"/>
              <w:bottom w:val="single" w:sz="8"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5,12,010</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12.4</w:t>
            </w:r>
          </w:p>
        </w:tc>
        <w:tc>
          <w:tcPr>
            <w:tcW w:w="1421" w:type="dxa"/>
            <w:tcBorders>
              <w:top w:val="single" w:sz="8" w:space="0" w:color="auto"/>
              <w:left w:val="nil"/>
              <w:bottom w:val="single" w:sz="8"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21</w:t>
            </w:r>
          </w:p>
        </w:tc>
        <w:tc>
          <w:tcPr>
            <w:tcW w:w="1413" w:type="dxa"/>
            <w:tcBorders>
              <w:top w:val="single" w:sz="8" w:space="0" w:color="auto"/>
              <w:left w:val="nil"/>
              <w:bottom w:val="single" w:sz="8"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41</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95.2</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2,04,423</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2,53,415 </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24.0</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6.54</w:t>
            </w:r>
          </w:p>
        </w:tc>
        <w:tc>
          <w:tcPr>
            <w:tcW w:w="1413" w:type="dxa"/>
            <w:tcBorders>
              <w:top w:val="single" w:sz="4" w:space="0" w:color="auto"/>
              <w:left w:val="single" w:sz="4" w:space="0" w:color="auto"/>
              <w:bottom w:val="nil"/>
              <w:right w:val="nil"/>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12.05</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84.3</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nil"/>
              <w:left w:val="nil"/>
              <w:bottom w:val="single" w:sz="4"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2,51,296</w:t>
            </w:r>
          </w:p>
        </w:tc>
        <w:tc>
          <w:tcPr>
            <w:tcW w:w="1618" w:type="dxa"/>
            <w:tcBorders>
              <w:top w:val="nil"/>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2,58,595 </w:t>
            </w:r>
          </w:p>
        </w:tc>
        <w:tc>
          <w:tcPr>
            <w:tcW w:w="1379" w:type="dxa"/>
            <w:tcBorders>
              <w:top w:val="nil"/>
              <w:left w:val="nil"/>
              <w:bottom w:val="single" w:sz="4"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2.9</w:t>
            </w:r>
          </w:p>
        </w:tc>
        <w:tc>
          <w:tcPr>
            <w:tcW w:w="1421" w:type="dxa"/>
            <w:tcBorders>
              <w:top w:val="nil"/>
              <w:left w:val="nil"/>
              <w:bottom w:val="single" w:sz="4" w:space="0" w:color="auto"/>
              <w:right w:val="nil"/>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14.36</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29.21</w:t>
            </w:r>
          </w:p>
        </w:tc>
        <w:tc>
          <w:tcPr>
            <w:tcW w:w="1378" w:type="dxa"/>
            <w:tcBorders>
              <w:top w:val="nil"/>
              <w:left w:val="nil"/>
              <w:bottom w:val="single" w:sz="4"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103.4</w:t>
            </w:r>
          </w:p>
        </w:tc>
      </w:tr>
      <w:tr w:rsidR="00402D0C" w:rsidRPr="00721DBE" w:rsidTr="005D3A87">
        <w:trPr>
          <w:trHeight w:val="129"/>
          <w:jc w:val="center"/>
        </w:trPr>
        <w:tc>
          <w:tcPr>
            <w:tcW w:w="1459" w:type="dxa"/>
            <w:tcBorders>
              <w:top w:val="nil"/>
              <w:left w:val="single" w:sz="8" w:space="0" w:color="auto"/>
              <w:bottom w:val="single" w:sz="8" w:space="0" w:color="auto"/>
              <w:right w:val="single" w:sz="4"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(iii) Stock Futures</w:t>
            </w:r>
          </w:p>
        </w:tc>
        <w:tc>
          <w:tcPr>
            <w:tcW w:w="1582"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1,98,601</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1,85,848 </w:t>
            </w:r>
          </w:p>
        </w:tc>
        <w:tc>
          <w:tcPr>
            <w:tcW w:w="13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-6.4</w:t>
            </w:r>
          </w:p>
        </w:tc>
        <w:tc>
          <w:tcPr>
            <w:tcW w:w="1421"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37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4"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(iv) Options on Stock</w:t>
            </w:r>
          </w:p>
        </w:tc>
        <w:tc>
          <w:tcPr>
            <w:tcW w:w="1582"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98,627</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75,468</w:t>
            </w:r>
          </w:p>
        </w:tc>
        <w:tc>
          <w:tcPr>
            <w:tcW w:w="13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-23.5</w:t>
            </w:r>
          </w:p>
        </w:tc>
        <w:tc>
          <w:tcPr>
            <w:tcW w:w="1421"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c>
          <w:tcPr>
            <w:tcW w:w="137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single" w:sz="4" w:space="0" w:color="auto"/>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33,782</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29,497 </w:t>
            </w:r>
          </w:p>
        </w:tc>
        <w:tc>
          <w:tcPr>
            <w:tcW w:w="1379" w:type="dxa"/>
            <w:tcBorders>
              <w:top w:val="single" w:sz="4" w:space="0" w:color="auto"/>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-12.7</w:t>
            </w:r>
          </w:p>
        </w:tc>
        <w:tc>
          <w:tcPr>
            <w:tcW w:w="1421" w:type="dxa"/>
            <w:tcBorders>
              <w:top w:val="single" w:sz="4" w:space="0" w:color="auto"/>
              <w:left w:val="nil"/>
              <w:bottom w:val="single" w:sz="4" w:space="0" w:color="auto"/>
              <w:right w:val="nil"/>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378" w:type="dxa"/>
            <w:tcBorders>
              <w:top w:val="single" w:sz="4" w:space="0" w:color="auto"/>
              <w:left w:val="single" w:sz="8" w:space="0" w:color="auto"/>
              <w:bottom w:val="single" w:sz="4"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i/>
                <w:iCs/>
                <w:color w:val="000000"/>
                <w:sz w:val="20"/>
                <w:szCs w:val="20"/>
              </w:rPr>
            </w:pPr>
            <w:r w:rsidRPr="00721DBE">
              <w:rPr>
                <w:rFonts w:ascii="Garamond" w:eastAsia="Palatino Linotype" w:hAnsi="Garamond" w:cs="Palatino Linotype"/>
                <w:i/>
                <w:iCs/>
                <w:color w:val="000000"/>
                <w:sz w:val="20"/>
                <w:szCs w:val="20"/>
              </w:rPr>
              <w:t>Call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64,845</w:t>
            </w:r>
          </w:p>
        </w:tc>
        <w:tc>
          <w:tcPr>
            <w:tcW w:w="1618" w:type="dxa"/>
            <w:tcBorders>
              <w:top w:val="nil"/>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45,971 </w:t>
            </w:r>
          </w:p>
        </w:tc>
        <w:tc>
          <w:tcPr>
            <w:tcW w:w="1379" w:type="dxa"/>
            <w:tcBorders>
              <w:top w:val="nil"/>
              <w:left w:val="nil"/>
              <w:bottom w:val="single" w:sz="8" w:space="0" w:color="auto"/>
              <w:right w:val="single" w:sz="4"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-29.1</w:t>
            </w:r>
          </w:p>
        </w:tc>
        <w:tc>
          <w:tcPr>
            <w:tcW w:w="1421"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0.00</w:t>
            </w:r>
          </w:p>
        </w:tc>
        <w:tc>
          <w:tcPr>
            <w:tcW w:w="137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Total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7,79,146</w:t>
            </w:r>
          </w:p>
        </w:tc>
        <w:tc>
          <w:tcPr>
            <w:tcW w:w="161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8,06,413</w:t>
            </w:r>
          </w:p>
        </w:tc>
        <w:tc>
          <w:tcPr>
            <w:tcW w:w="1379" w:type="dxa"/>
            <w:tcBorders>
              <w:top w:val="nil"/>
              <w:left w:val="nil"/>
              <w:bottom w:val="single" w:sz="8" w:space="0" w:color="auto"/>
              <w:right w:val="single" w:sz="4"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3.5</w:t>
            </w:r>
          </w:p>
        </w:tc>
        <w:tc>
          <w:tcPr>
            <w:tcW w:w="1421"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20.79</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41.11</w:t>
            </w:r>
          </w:p>
        </w:tc>
        <w:tc>
          <w:tcPr>
            <w:tcW w:w="137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97.7</w:t>
            </w:r>
          </w:p>
        </w:tc>
      </w:tr>
      <w:tr w:rsidR="00567A3B" w:rsidRPr="00721DBE" w:rsidTr="00402D0C">
        <w:trPr>
          <w:trHeight w:val="181"/>
          <w:jc w:val="center"/>
        </w:trPr>
        <w:tc>
          <w:tcPr>
            <w:tcW w:w="10250" w:type="dxa"/>
            <w:gridSpan w:val="7"/>
            <w:tcBorders>
              <w:top w:val="single" w:sz="8" w:space="0" w:color="auto"/>
              <w:left w:val="single" w:sz="8" w:space="0" w:color="auto"/>
              <w:bottom w:val="single" w:sz="8" w:space="0" w:color="auto"/>
              <w:right w:val="single" w:sz="8" w:space="0" w:color="000000"/>
            </w:tcBorders>
            <w:shd w:val="clear" w:color="auto" w:fill="FFF2CC" w:themeFill="accent4" w:themeFillTint="33"/>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D.  Open Interest in Terms of No of Contracts</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 Index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2,93,900</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3,85,465 </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31.2</w:t>
            </w:r>
          </w:p>
        </w:tc>
        <w:tc>
          <w:tcPr>
            <w:tcW w:w="1421" w:type="dxa"/>
            <w:tcBorders>
              <w:top w:val="nil"/>
              <w:left w:val="nil"/>
              <w:bottom w:val="nil"/>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w:t>
            </w:r>
          </w:p>
        </w:tc>
        <w:tc>
          <w:tcPr>
            <w:tcW w:w="1413" w:type="dxa"/>
            <w:tcBorders>
              <w:top w:val="single" w:sz="4" w:space="0" w:color="auto"/>
              <w:left w:val="single" w:sz="4" w:space="0" w:color="auto"/>
              <w:bottom w:val="nil"/>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0.0</w:t>
            </w:r>
          </w:p>
        </w:tc>
      </w:tr>
      <w:tr w:rsidR="00402D0C" w:rsidRPr="00721DBE" w:rsidTr="005D3A87">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 Options on Index</w:t>
            </w:r>
          </w:p>
        </w:tc>
        <w:tc>
          <w:tcPr>
            <w:tcW w:w="1582" w:type="dxa"/>
            <w:tcBorders>
              <w:top w:val="nil"/>
              <w:left w:val="nil"/>
              <w:bottom w:val="single" w:sz="8"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50,94,082</w:t>
            </w:r>
          </w:p>
        </w:tc>
        <w:tc>
          <w:tcPr>
            <w:tcW w:w="1618" w:type="dxa"/>
            <w:tcBorders>
              <w:top w:val="nil"/>
              <w:left w:val="nil"/>
              <w:bottom w:val="single" w:sz="8"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59,62,315</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17.0</w:t>
            </w:r>
          </w:p>
        </w:tc>
        <w:tc>
          <w:tcPr>
            <w:tcW w:w="1421" w:type="dxa"/>
            <w:tcBorders>
              <w:top w:val="single" w:sz="8" w:space="0" w:color="auto"/>
              <w:left w:val="nil"/>
              <w:bottom w:val="nil"/>
              <w:right w:val="single" w:sz="8" w:space="0" w:color="auto"/>
            </w:tcBorders>
            <w:shd w:val="clear" w:color="auto" w:fill="auto"/>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230</w:t>
            </w:r>
          </w:p>
        </w:tc>
        <w:tc>
          <w:tcPr>
            <w:tcW w:w="1413" w:type="dxa"/>
            <w:tcBorders>
              <w:top w:val="single" w:sz="8" w:space="0" w:color="auto"/>
              <w:left w:val="nil"/>
              <w:bottom w:val="nil"/>
              <w:right w:val="single" w:sz="8" w:space="0" w:color="auto"/>
            </w:tcBorders>
            <w:shd w:val="clear" w:color="auto" w:fill="auto"/>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469</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103.9</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22,92,869</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29,57,232 </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29.0</w:t>
            </w:r>
          </w:p>
        </w:tc>
        <w:tc>
          <w:tcPr>
            <w:tcW w:w="1421" w:type="dxa"/>
            <w:tcBorders>
              <w:top w:val="single" w:sz="8" w:space="0" w:color="auto"/>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72</w:t>
            </w:r>
          </w:p>
        </w:tc>
        <w:tc>
          <w:tcPr>
            <w:tcW w:w="1413" w:type="dxa"/>
            <w:tcBorders>
              <w:top w:val="single" w:sz="8" w:space="0" w:color="auto"/>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137</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90.3</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28,01,213</w:t>
            </w:r>
          </w:p>
        </w:tc>
        <w:tc>
          <w:tcPr>
            <w:tcW w:w="1618" w:type="dxa"/>
            <w:tcBorders>
              <w:top w:val="nil"/>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30,05,083 </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7.3</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158</w:t>
            </w:r>
          </w:p>
        </w:tc>
        <w:tc>
          <w:tcPr>
            <w:tcW w:w="1413"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332</w:t>
            </w:r>
          </w:p>
        </w:tc>
        <w:tc>
          <w:tcPr>
            <w:tcW w:w="1378"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110.1</w:t>
            </w:r>
          </w:p>
        </w:tc>
      </w:tr>
      <w:tr w:rsidR="00402D0C" w:rsidRPr="00721DBE" w:rsidTr="005D3A87">
        <w:trPr>
          <w:trHeight w:val="189"/>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(iii) Stock Futures</w:t>
            </w:r>
          </w:p>
        </w:tc>
        <w:tc>
          <w:tcPr>
            <w:tcW w:w="1582"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28,23,555</w:t>
            </w:r>
          </w:p>
        </w:tc>
        <w:tc>
          <w:tcPr>
            <w:tcW w:w="1618" w:type="dxa"/>
            <w:tcBorders>
              <w:top w:val="nil"/>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27,88,368 </w:t>
            </w:r>
          </w:p>
        </w:tc>
        <w:tc>
          <w:tcPr>
            <w:tcW w:w="1379" w:type="dxa"/>
            <w:tcBorders>
              <w:top w:val="nil"/>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-1.2</w:t>
            </w:r>
          </w:p>
        </w:tc>
        <w:tc>
          <w:tcPr>
            <w:tcW w:w="1421"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single" w:sz="8"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nil"/>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1"/>
          <w:jc w:val="center"/>
        </w:trPr>
        <w:tc>
          <w:tcPr>
            <w:tcW w:w="1459" w:type="dxa"/>
            <w:tcBorders>
              <w:top w:val="nil"/>
              <w:left w:val="single" w:sz="8" w:space="0" w:color="auto"/>
              <w:bottom w:val="single" w:sz="4"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(iv) Options on Stock</w:t>
            </w:r>
          </w:p>
        </w:tc>
        <w:tc>
          <w:tcPr>
            <w:tcW w:w="1582" w:type="dxa"/>
            <w:tcBorders>
              <w:top w:val="nil"/>
              <w:left w:val="nil"/>
              <w:bottom w:val="single" w:sz="4"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13,75,629</w:t>
            </w:r>
          </w:p>
        </w:tc>
        <w:tc>
          <w:tcPr>
            <w:tcW w:w="1618" w:type="dxa"/>
            <w:tcBorders>
              <w:top w:val="nil"/>
              <w:left w:val="nil"/>
              <w:bottom w:val="single" w:sz="4" w:space="0" w:color="auto"/>
              <w:right w:val="single" w:sz="8" w:space="0" w:color="auto"/>
            </w:tcBorders>
            <w:shd w:val="clear" w:color="auto" w:fill="auto"/>
            <w:noWrap/>
            <w:hideMark/>
          </w:tcPr>
          <w:p w:rsidR="00402D0C" w:rsidRPr="00402D0C" w:rsidRDefault="00402D0C" w:rsidP="00402D0C">
            <w:pPr>
              <w:jc w:val="center"/>
              <w:rPr>
                <w:rFonts w:ascii="Garamond" w:eastAsia="Palatino Linotype" w:hAnsi="Garamond" w:cs="Palatino Linotype"/>
                <w:color w:val="000000"/>
                <w:sz w:val="20"/>
                <w:szCs w:val="20"/>
              </w:rPr>
            </w:pPr>
            <w:r w:rsidRPr="00402D0C">
              <w:rPr>
                <w:rFonts w:ascii="Garamond" w:eastAsia="Palatino Linotype" w:hAnsi="Garamond" w:cs="Palatino Linotype"/>
                <w:color w:val="000000"/>
                <w:sz w:val="20"/>
                <w:szCs w:val="20"/>
              </w:rPr>
              <w:t>11,01,389</w:t>
            </w:r>
          </w:p>
        </w:tc>
        <w:tc>
          <w:tcPr>
            <w:tcW w:w="1379" w:type="dxa"/>
            <w:tcBorders>
              <w:top w:val="nil"/>
              <w:left w:val="nil"/>
              <w:bottom w:val="single" w:sz="4"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-19.9</w:t>
            </w:r>
          </w:p>
        </w:tc>
        <w:tc>
          <w:tcPr>
            <w:tcW w:w="1421" w:type="dxa"/>
            <w:tcBorders>
              <w:top w:val="single" w:sz="8" w:space="0" w:color="auto"/>
              <w:left w:val="nil"/>
              <w:bottom w:val="single" w:sz="4" w:space="0" w:color="auto"/>
              <w:right w:val="single" w:sz="8"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c>
          <w:tcPr>
            <w:tcW w:w="1413" w:type="dxa"/>
            <w:tcBorders>
              <w:top w:val="single" w:sz="8" w:space="0" w:color="auto"/>
              <w:left w:val="nil"/>
              <w:bottom w:val="single" w:sz="4" w:space="0" w:color="auto"/>
              <w:right w:val="single" w:sz="8"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c>
          <w:tcPr>
            <w:tcW w:w="1378" w:type="dxa"/>
            <w:tcBorders>
              <w:top w:val="nil"/>
              <w:left w:val="nil"/>
              <w:bottom w:val="single" w:sz="4"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w:t>
            </w:r>
          </w:p>
        </w:tc>
      </w:tr>
      <w:tr w:rsidR="00402D0C" w:rsidRPr="00721DBE" w:rsidTr="005D3A87">
        <w:trPr>
          <w:trHeight w:val="189"/>
          <w:jc w:val="center"/>
        </w:trPr>
        <w:tc>
          <w:tcPr>
            <w:tcW w:w="1459"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Put</w:t>
            </w:r>
          </w:p>
        </w:tc>
        <w:tc>
          <w:tcPr>
            <w:tcW w:w="1582"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4,69,346</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4,27,227 </w:t>
            </w:r>
          </w:p>
        </w:tc>
        <w:tc>
          <w:tcPr>
            <w:tcW w:w="13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-9.0</w:t>
            </w:r>
          </w:p>
        </w:tc>
        <w:tc>
          <w:tcPr>
            <w:tcW w:w="1421"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402D0C" w:rsidRPr="00721DBE" w:rsidTr="005D3A87">
        <w:trPr>
          <w:trHeight w:val="189"/>
          <w:jc w:val="center"/>
        </w:trPr>
        <w:tc>
          <w:tcPr>
            <w:tcW w:w="1459" w:type="dxa"/>
            <w:tcBorders>
              <w:top w:val="single" w:sz="4" w:space="0" w:color="auto"/>
              <w:left w:val="single" w:sz="8" w:space="0" w:color="auto"/>
              <w:bottom w:val="single" w:sz="8" w:space="0" w:color="auto"/>
              <w:right w:val="single" w:sz="8" w:space="0" w:color="auto"/>
            </w:tcBorders>
            <w:shd w:val="clear" w:color="auto" w:fill="BDD6EE" w:themeFill="accent1" w:themeFillTint="66"/>
            <w:noWrap/>
            <w:hideMark/>
          </w:tcPr>
          <w:p w:rsidR="00402D0C" w:rsidRPr="00721DBE" w:rsidRDefault="00402D0C" w:rsidP="00402D0C">
            <w:pPr>
              <w:pBdr>
                <w:between w:val="nil"/>
              </w:pBdr>
              <w:jc w:val="center"/>
              <w:rPr>
                <w:rFonts w:ascii="Garamond" w:eastAsia="Palatino Linotype" w:hAnsi="Garamond" w:cs="Palatino Linotype"/>
                <w:b/>
                <w:bCs/>
                <w:i/>
                <w:iCs/>
                <w:color w:val="000000"/>
                <w:sz w:val="20"/>
                <w:szCs w:val="20"/>
              </w:rPr>
            </w:pPr>
            <w:r w:rsidRPr="00721DBE">
              <w:rPr>
                <w:rFonts w:ascii="Garamond" w:eastAsia="Palatino Linotype" w:hAnsi="Garamond" w:cs="Palatino Linotype"/>
                <w:b/>
                <w:bCs/>
                <w:i/>
                <w:iCs/>
                <w:color w:val="000000"/>
                <w:sz w:val="20"/>
                <w:szCs w:val="20"/>
              </w:rPr>
              <w:t>Call</w:t>
            </w:r>
          </w:p>
        </w:tc>
        <w:tc>
          <w:tcPr>
            <w:tcW w:w="1582" w:type="dxa"/>
            <w:tcBorders>
              <w:top w:val="single" w:sz="4" w:space="0" w:color="auto"/>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9,06,283</w:t>
            </w:r>
          </w:p>
        </w:tc>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 xml:space="preserve">     6,74,162 </w:t>
            </w:r>
          </w:p>
        </w:tc>
        <w:tc>
          <w:tcPr>
            <w:tcW w:w="1379" w:type="dxa"/>
            <w:tcBorders>
              <w:top w:val="single" w:sz="4" w:space="0" w:color="auto"/>
              <w:left w:val="nil"/>
              <w:bottom w:val="single" w:sz="8" w:space="0" w:color="auto"/>
              <w:right w:val="single" w:sz="8" w:space="0" w:color="auto"/>
            </w:tcBorders>
            <w:shd w:val="clear" w:color="auto" w:fill="auto"/>
            <w:noWrap/>
            <w:vAlign w:val="center"/>
            <w:hideMark/>
          </w:tcPr>
          <w:p w:rsidR="00402D0C" w:rsidRDefault="00402D0C" w:rsidP="00402D0C">
            <w:pPr>
              <w:jc w:val="center"/>
              <w:rPr>
                <w:rFonts w:ascii="Garamond" w:hAnsi="Garamond" w:cs="Arial"/>
                <w:color w:val="000000"/>
                <w:sz w:val="20"/>
                <w:szCs w:val="20"/>
              </w:rPr>
            </w:pPr>
            <w:r>
              <w:rPr>
                <w:rFonts w:ascii="Garamond" w:hAnsi="Garamond" w:cs="Arial"/>
                <w:color w:val="000000"/>
                <w:sz w:val="20"/>
                <w:szCs w:val="20"/>
              </w:rPr>
              <w:t>-25.6</w:t>
            </w:r>
          </w:p>
        </w:tc>
        <w:tc>
          <w:tcPr>
            <w:tcW w:w="1421" w:type="dxa"/>
            <w:tcBorders>
              <w:top w:val="single" w:sz="4" w:space="0" w:color="auto"/>
              <w:left w:val="nil"/>
              <w:bottom w:val="single" w:sz="8" w:space="0" w:color="auto"/>
              <w:right w:val="single" w:sz="8" w:space="0" w:color="auto"/>
            </w:tcBorders>
            <w:shd w:val="clear" w:color="auto" w:fill="auto"/>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413" w:type="dxa"/>
            <w:tcBorders>
              <w:top w:val="single" w:sz="4" w:space="0" w:color="auto"/>
              <w:left w:val="single" w:sz="4" w:space="0" w:color="auto"/>
              <w:bottom w:val="nil"/>
              <w:right w:val="single" w:sz="4"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0</w:t>
            </w:r>
          </w:p>
        </w:tc>
        <w:tc>
          <w:tcPr>
            <w:tcW w:w="1378" w:type="dxa"/>
            <w:tcBorders>
              <w:top w:val="single" w:sz="4" w:space="0" w:color="auto"/>
              <w:left w:val="nil"/>
              <w:bottom w:val="single" w:sz="8" w:space="0" w:color="auto"/>
              <w:right w:val="single" w:sz="8" w:space="0" w:color="auto"/>
            </w:tcBorders>
            <w:shd w:val="clear" w:color="auto" w:fill="auto"/>
            <w:noWrap/>
            <w:hideMark/>
          </w:tcPr>
          <w:p w:rsidR="00402D0C" w:rsidRPr="00721DBE" w:rsidRDefault="00402D0C" w:rsidP="00402D0C">
            <w:pPr>
              <w:pBdr>
                <w:between w:val="nil"/>
              </w:pBdr>
              <w:jc w:val="center"/>
              <w:rPr>
                <w:rFonts w:ascii="Garamond" w:eastAsia="Palatino Linotype" w:hAnsi="Garamond" w:cs="Palatino Linotype"/>
                <w:color w:val="000000"/>
                <w:sz w:val="20"/>
                <w:szCs w:val="20"/>
              </w:rPr>
            </w:pPr>
            <w:r w:rsidRPr="00721DBE">
              <w:rPr>
                <w:rFonts w:ascii="Garamond" w:eastAsia="Palatino Linotype" w:hAnsi="Garamond" w:cs="Palatino Linotype"/>
                <w:color w:val="000000"/>
                <w:sz w:val="20"/>
                <w:szCs w:val="20"/>
              </w:rPr>
              <w:t>-</w:t>
            </w:r>
          </w:p>
        </w:tc>
      </w:tr>
      <w:tr w:rsidR="00567A3B" w:rsidRPr="00721DBE" w:rsidTr="00402D0C">
        <w:trPr>
          <w:trHeight w:val="181"/>
          <w:jc w:val="center"/>
        </w:trPr>
        <w:tc>
          <w:tcPr>
            <w:tcW w:w="1459" w:type="dxa"/>
            <w:tcBorders>
              <w:top w:val="nil"/>
              <w:left w:val="single" w:sz="8" w:space="0" w:color="auto"/>
              <w:bottom w:val="single" w:sz="8" w:space="0" w:color="auto"/>
              <w:right w:val="single" w:sz="8" w:space="0" w:color="auto"/>
            </w:tcBorders>
            <w:shd w:val="clear" w:color="auto" w:fill="BDD6EE" w:themeFill="accent1" w:themeFillTint="66"/>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lastRenderedPageBreak/>
              <w:t>Total</w:t>
            </w:r>
          </w:p>
        </w:tc>
        <w:tc>
          <w:tcPr>
            <w:tcW w:w="1582" w:type="dxa"/>
            <w:tcBorders>
              <w:top w:val="nil"/>
              <w:left w:val="nil"/>
              <w:bottom w:val="single" w:sz="8" w:space="0" w:color="auto"/>
              <w:right w:val="single" w:sz="8" w:space="0" w:color="auto"/>
            </w:tcBorders>
            <w:shd w:val="clear" w:color="auto" w:fill="auto"/>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95,87,166</w:t>
            </w:r>
          </w:p>
        </w:tc>
        <w:tc>
          <w:tcPr>
            <w:tcW w:w="1618" w:type="dxa"/>
            <w:tcBorders>
              <w:top w:val="nil"/>
              <w:left w:val="nil"/>
              <w:bottom w:val="single" w:sz="8" w:space="0" w:color="auto"/>
              <w:right w:val="single" w:sz="8" w:space="0" w:color="auto"/>
            </w:tcBorders>
            <w:shd w:val="clear" w:color="auto" w:fill="auto"/>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1,02,37,537</w:t>
            </w:r>
          </w:p>
        </w:tc>
        <w:tc>
          <w:tcPr>
            <w:tcW w:w="1379" w:type="dxa"/>
            <w:tcBorders>
              <w:top w:val="nil"/>
              <w:left w:val="nil"/>
              <w:bottom w:val="single" w:sz="8" w:space="0" w:color="auto"/>
              <w:right w:val="single" w:sz="8" w:space="0" w:color="auto"/>
            </w:tcBorders>
            <w:shd w:val="clear" w:color="auto" w:fill="auto"/>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6.8</w:t>
            </w:r>
          </w:p>
        </w:tc>
        <w:tc>
          <w:tcPr>
            <w:tcW w:w="1421" w:type="dxa"/>
            <w:tcBorders>
              <w:top w:val="nil"/>
              <w:left w:val="nil"/>
              <w:bottom w:val="single" w:sz="8" w:space="0" w:color="auto"/>
              <w:right w:val="single" w:sz="8" w:space="0" w:color="auto"/>
            </w:tcBorders>
            <w:shd w:val="clear" w:color="auto" w:fill="auto"/>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232</w:t>
            </w:r>
          </w:p>
        </w:tc>
        <w:tc>
          <w:tcPr>
            <w:tcW w:w="1413" w:type="dxa"/>
            <w:tcBorders>
              <w:top w:val="single" w:sz="8" w:space="0" w:color="auto"/>
              <w:left w:val="nil"/>
              <w:bottom w:val="single" w:sz="8" w:space="0" w:color="auto"/>
              <w:right w:val="single" w:sz="8" w:space="0" w:color="auto"/>
            </w:tcBorders>
            <w:shd w:val="clear" w:color="auto" w:fill="auto"/>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471</w:t>
            </w:r>
          </w:p>
        </w:tc>
        <w:tc>
          <w:tcPr>
            <w:tcW w:w="1378" w:type="dxa"/>
            <w:tcBorders>
              <w:top w:val="nil"/>
              <w:left w:val="nil"/>
              <w:bottom w:val="single" w:sz="8" w:space="0" w:color="auto"/>
              <w:right w:val="single" w:sz="8" w:space="0" w:color="auto"/>
            </w:tcBorders>
            <w:shd w:val="clear" w:color="auto" w:fill="auto"/>
            <w:noWrap/>
            <w:hideMark/>
          </w:tcPr>
          <w:p w:rsidR="00567A3B" w:rsidRPr="00721DBE" w:rsidRDefault="00567A3B" w:rsidP="0026016F">
            <w:pPr>
              <w:pBdr>
                <w:between w:val="nil"/>
              </w:pBdr>
              <w:jc w:val="center"/>
              <w:rPr>
                <w:rFonts w:ascii="Garamond" w:eastAsia="Palatino Linotype" w:hAnsi="Garamond" w:cs="Palatino Linotype"/>
                <w:b/>
                <w:bCs/>
                <w:color w:val="000000"/>
                <w:sz w:val="20"/>
                <w:szCs w:val="20"/>
              </w:rPr>
            </w:pPr>
            <w:r w:rsidRPr="00721DBE">
              <w:rPr>
                <w:rFonts w:ascii="Garamond" w:eastAsia="Palatino Linotype" w:hAnsi="Garamond" w:cs="Palatino Linotype"/>
                <w:b/>
                <w:bCs/>
                <w:color w:val="000000"/>
                <w:sz w:val="20"/>
                <w:szCs w:val="20"/>
              </w:rPr>
              <w:t>103.0</w:t>
            </w:r>
          </w:p>
        </w:tc>
      </w:tr>
    </w:tbl>
    <w:p w:rsidR="00567A3B" w:rsidRDefault="00567A3B" w:rsidP="00567A3B">
      <w:pPr>
        <w:pBdr>
          <w:between w:val="nil"/>
        </w:pBdr>
        <w:jc w:val="center"/>
        <w:rPr>
          <w:rFonts w:ascii="Garamond" w:eastAsia="Palatino Linotype" w:hAnsi="Garamond" w:cs="Palatino Linotype"/>
          <w:b/>
          <w:color w:val="000000"/>
        </w:rPr>
      </w:pPr>
    </w:p>
    <w:p w:rsidR="00567A3B" w:rsidRPr="002F4592" w:rsidRDefault="00567A3B" w:rsidP="00567A3B">
      <w:pPr>
        <w:tabs>
          <w:tab w:val="left" w:pos="3135"/>
        </w:tabs>
        <w:spacing w:line="276" w:lineRule="auto"/>
        <w:rPr>
          <w:rFonts w:ascii="Garamond" w:eastAsia="Palatino Linotype" w:hAnsi="Garamond" w:cs="Palatino Linotype"/>
          <w:b/>
          <w:szCs w:val="22"/>
        </w:rPr>
      </w:pPr>
      <w:r w:rsidRPr="002F4592">
        <w:rPr>
          <w:rFonts w:ascii="Garamond" w:eastAsia="Palatino Linotype" w:hAnsi="Garamond" w:cs="Palatino Linotype"/>
          <w:b/>
          <w:szCs w:val="22"/>
        </w:rPr>
        <w:t xml:space="preserve">Source: </w:t>
      </w:r>
      <w:r w:rsidRPr="002F4592">
        <w:rPr>
          <w:rFonts w:ascii="Garamond" w:eastAsia="Palatino Linotype" w:hAnsi="Garamond" w:cs="Palatino Linotype"/>
          <w:bCs/>
          <w:szCs w:val="22"/>
        </w:rPr>
        <w:t>BSE and NSE</w:t>
      </w:r>
    </w:p>
    <w:p w:rsidR="00567A3B" w:rsidRPr="00891713" w:rsidRDefault="00567A3B" w:rsidP="00567A3B">
      <w:pPr>
        <w:pBdr>
          <w:between w:val="nil"/>
        </w:pBdr>
        <w:jc w:val="center"/>
        <w:rPr>
          <w:rFonts w:ascii="Garamond" w:eastAsia="Palatino Linotype" w:hAnsi="Garamond" w:cs="Palatino Linotype"/>
          <w:b/>
          <w:color w:val="000000"/>
        </w:rPr>
      </w:pPr>
    </w:p>
    <w:p w:rsidR="00567A3B" w:rsidRPr="00891713" w:rsidRDefault="00567A3B" w:rsidP="00567A3B">
      <w:pPr>
        <w:widowControl w:val="0"/>
        <w:numPr>
          <w:ilvl w:val="0"/>
          <w:numId w:val="3"/>
        </w:numPr>
        <w:spacing w:line="276" w:lineRule="auto"/>
        <w:ind w:left="567" w:hanging="567"/>
        <w:jc w:val="both"/>
        <w:rPr>
          <w:rFonts w:ascii="Garamond" w:eastAsia="Palatino Linotype" w:hAnsi="Garamond" w:cs="Palatino Linotype"/>
          <w:b/>
        </w:rPr>
      </w:pPr>
      <w:r w:rsidRPr="00891713">
        <w:rPr>
          <w:rFonts w:ascii="Garamond" w:eastAsia="Palatino Linotype" w:hAnsi="Garamond" w:cs="Palatino Linotype"/>
          <w:b/>
        </w:rPr>
        <w:t xml:space="preserve">Currency Derivatives </w:t>
      </w:r>
    </w:p>
    <w:p w:rsidR="00567A3B" w:rsidRPr="00EE138D" w:rsidRDefault="00567A3B" w:rsidP="00567A3B">
      <w:pPr>
        <w:spacing w:line="276" w:lineRule="auto"/>
        <w:ind w:left="567"/>
        <w:jc w:val="both"/>
        <w:rPr>
          <w:rFonts w:ascii="Garamond" w:eastAsia="Palatino Linotype" w:hAnsi="Garamond" w:cs="Palatino Linotype"/>
        </w:rPr>
      </w:pPr>
      <w:r w:rsidRPr="00EE138D">
        <w:rPr>
          <w:rFonts w:ascii="Garamond" w:eastAsia="Palatino Linotype" w:hAnsi="Garamond" w:cs="Palatino Linotype"/>
        </w:rPr>
        <w:t xml:space="preserve">During </w:t>
      </w:r>
      <w:r w:rsidRPr="00EE138D">
        <w:rPr>
          <w:rFonts w:ascii="Garamond" w:eastAsia="Palatino Linotype" w:hAnsi="Garamond" w:cs="Palatino Linotype"/>
          <w:szCs w:val="22"/>
        </w:rPr>
        <w:t>February 2022</w:t>
      </w:r>
      <w:r w:rsidRPr="00EE138D">
        <w:rPr>
          <w:rFonts w:ascii="Garamond" w:eastAsia="Palatino Linotype" w:hAnsi="Garamond" w:cs="Palatino Linotype"/>
        </w:rPr>
        <w:t xml:space="preserve">, the monthly notional turnover of currency derivatives in India (NSE, BSE and MSEI together) stood at </w:t>
      </w:r>
      <w:r w:rsidRPr="00EE138D">
        <w:rPr>
          <w:rFonts w:ascii="Times New Roman" w:eastAsia="Palatino Linotype" w:hAnsi="Times New Roman"/>
        </w:rPr>
        <w:t>₹</w:t>
      </w:r>
      <w:r w:rsidRPr="00EE138D">
        <w:rPr>
          <w:rFonts w:ascii="Garamond" w:eastAsia="Palatino Linotype" w:hAnsi="Garamond" w:cs="Palatino Linotype"/>
        </w:rPr>
        <w:t xml:space="preserve"> 32,34,893 </w:t>
      </w:r>
      <w:r w:rsidR="000654C7">
        <w:rPr>
          <w:rFonts w:ascii="Garamond" w:eastAsia="Palatino Linotype" w:hAnsi="Garamond" w:cs="Palatino Linotype"/>
        </w:rPr>
        <w:t>crore</w:t>
      </w:r>
      <w:r w:rsidRPr="00EE138D">
        <w:rPr>
          <w:rFonts w:ascii="Garamond" w:eastAsia="Palatino Linotype" w:hAnsi="Garamond" w:cs="Palatino Linotype"/>
        </w:rPr>
        <w:t xml:space="preserve"> as compared to </w:t>
      </w:r>
      <w:r w:rsidRPr="00EE138D">
        <w:rPr>
          <w:rFonts w:ascii="Times New Roman" w:eastAsia="Palatino Linotype" w:hAnsi="Times New Roman"/>
        </w:rPr>
        <w:t>₹</w:t>
      </w:r>
      <w:r w:rsidRPr="00EE138D">
        <w:rPr>
          <w:rFonts w:ascii="Garamond" w:eastAsia="Palatino Linotype" w:hAnsi="Garamond" w:cs="Palatino Linotype"/>
        </w:rPr>
        <w:t xml:space="preserve"> 27,27,302 </w:t>
      </w:r>
      <w:r w:rsidR="000654C7">
        <w:rPr>
          <w:rFonts w:ascii="Garamond" w:eastAsia="Palatino Linotype" w:hAnsi="Garamond" w:cs="Palatino Linotype"/>
        </w:rPr>
        <w:t>crore</w:t>
      </w:r>
      <w:r w:rsidRPr="00EE138D">
        <w:rPr>
          <w:rFonts w:ascii="Garamond" w:eastAsia="Palatino Linotype" w:hAnsi="Garamond" w:cs="Palatino Linotype"/>
        </w:rPr>
        <w:t xml:space="preserve"> in January 2022, registering rise of 18.6 per cent.</w:t>
      </w:r>
    </w:p>
    <w:p w:rsidR="00567A3B" w:rsidRPr="009000FB" w:rsidRDefault="00567A3B" w:rsidP="00567A3B">
      <w:pPr>
        <w:keepNext/>
        <w:pBdr>
          <w:between w:val="nil"/>
        </w:pBdr>
        <w:spacing w:line="276" w:lineRule="auto"/>
        <w:ind w:left="720" w:hanging="720"/>
        <w:jc w:val="center"/>
        <w:rPr>
          <w:rFonts w:ascii="Garamond" w:eastAsia="Palatino Linotype" w:hAnsi="Garamond" w:cs="Palatino Linotype"/>
          <w:b/>
        </w:rPr>
      </w:pPr>
      <w:r w:rsidRPr="009000FB">
        <w:rPr>
          <w:rFonts w:ascii="Garamond" w:eastAsia="Palatino Linotype" w:hAnsi="Garamond" w:cs="Palatino Linotype"/>
          <w:b/>
        </w:rPr>
        <w:t>Figure 7: Trends of Currency Derivatives at NSE, MSEI and BSE (</w:t>
      </w:r>
      <w:r w:rsidRPr="009000FB">
        <w:rPr>
          <w:rFonts w:ascii="Times New Roman" w:eastAsia="Palatino Linotype" w:hAnsi="Times New Roman"/>
          <w:b/>
        </w:rPr>
        <w:t>₹</w:t>
      </w:r>
      <w:r w:rsidRPr="009000FB">
        <w:rPr>
          <w:rFonts w:ascii="Garamond" w:eastAsia="Palatino Linotype" w:hAnsi="Garamond" w:cs="Palatino Linotype"/>
          <w:b/>
        </w:rPr>
        <w:t xml:space="preserve"> </w:t>
      </w:r>
      <w:r w:rsidR="000654C7">
        <w:rPr>
          <w:rFonts w:ascii="Garamond" w:eastAsia="Palatino Linotype" w:hAnsi="Garamond" w:cs="Palatino Linotype"/>
          <w:b/>
        </w:rPr>
        <w:t>crore</w:t>
      </w:r>
      <w:r w:rsidRPr="009000FB">
        <w:rPr>
          <w:rFonts w:ascii="Garamond" w:eastAsia="Palatino Linotype" w:hAnsi="Garamond" w:cs="Palatino Linotype"/>
          <w:b/>
        </w:rPr>
        <w:t>)</w:t>
      </w:r>
    </w:p>
    <w:p w:rsidR="00567A3B" w:rsidRPr="009000FB" w:rsidRDefault="00567A3B" w:rsidP="00567A3B">
      <w:pPr>
        <w:keepNext/>
        <w:pBdr>
          <w:between w:val="nil"/>
        </w:pBdr>
        <w:spacing w:line="276" w:lineRule="auto"/>
        <w:ind w:left="720" w:hanging="720"/>
        <w:jc w:val="center"/>
        <w:rPr>
          <w:rFonts w:ascii="Garamond" w:eastAsia="Palatino Linotype" w:hAnsi="Garamond" w:cs="Palatino Linotype"/>
          <w:b/>
        </w:rPr>
      </w:pPr>
      <w:r w:rsidRPr="009000FB">
        <w:rPr>
          <w:noProof/>
          <w:lang w:val="en-US" w:bidi="hi-IN"/>
        </w:rPr>
        <w:drawing>
          <wp:inline distT="0" distB="0" distL="0" distR="0" wp14:anchorId="40FC0EF9" wp14:editId="20D73116">
            <wp:extent cx="5343525" cy="2276475"/>
            <wp:effectExtent l="0" t="0" r="9525" b="9525"/>
            <wp:docPr id="22" name="Chart 2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9000FB">
        <w:rPr>
          <w:rFonts w:ascii="Garamond" w:eastAsia="Palatino Linotype" w:hAnsi="Garamond" w:cs="Palatino Linotype"/>
          <w:b/>
          <w:szCs w:val="22"/>
        </w:rPr>
        <w:t xml:space="preserve">   </w:t>
      </w:r>
    </w:p>
    <w:p w:rsidR="00567A3B" w:rsidRPr="009000FB" w:rsidRDefault="00567A3B" w:rsidP="00567A3B">
      <w:pPr>
        <w:keepNext/>
        <w:pBdr>
          <w:between w:val="nil"/>
        </w:pBdr>
        <w:spacing w:line="276" w:lineRule="auto"/>
        <w:ind w:left="720" w:hanging="153"/>
        <w:rPr>
          <w:rFonts w:ascii="Garamond" w:eastAsia="Palatino Linotype" w:hAnsi="Garamond" w:cs="Palatino Linotype"/>
          <w:b/>
        </w:rPr>
      </w:pPr>
      <w:r w:rsidRPr="009000FB">
        <w:rPr>
          <w:rFonts w:ascii="Garamond" w:eastAsia="Palatino Linotype" w:hAnsi="Garamond" w:cs="Palatino Linotype"/>
          <w:b/>
          <w:szCs w:val="22"/>
        </w:rPr>
        <w:t xml:space="preserve">Source: </w:t>
      </w:r>
      <w:r w:rsidRPr="009000FB">
        <w:rPr>
          <w:rFonts w:ascii="Garamond" w:eastAsia="Palatino Linotype" w:hAnsi="Garamond" w:cs="Palatino Linotype"/>
          <w:bCs/>
          <w:szCs w:val="22"/>
        </w:rPr>
        <w:t>BSE, NSE and MSEI</w:t>
      </w:r>
    </w:p>
    <w:p w:rsidR="00567A3B" w:rsidRPr="009000FB" w:rsidRDefault="00567A3B" w:rsidP="00567A3B">
      <w:pPr>
        <w:spacing w:line="276" w:lineRule="auto"/>
        <w:ind w:left="720"/>
        <w:rPr>
          <w:rFonts w:ascii="Garamond" w:eastAsia="Palatino Linotype" w:hAnsi="Garamond" w:cs="Palatino Linotype"/>
          <w:bCs/>
          <w:szCs w:val="22"/>
        </w:rPr>
      </w:pPr>
    </w:p>
    <w:p w:rsidR="00567A3B" w:rsidRPr="00891713" w:rsidRDefault="00567A3B" w:rsidP="00567A3B">
      <w:pPr>
        <w:widowControl w:val="0"/>
        <w:numPr>
          <w:ilvl w:val="0"/>
          <w:numId w:val="3"/>
        </w:numPr>
        <w:spacing w:line="276" w:lineRule="auto"/>
        <w:ind w:left="567" w:hanging="567"/>
        <w:jc w:val="both"/>
        <w:rPr>
          <w:rFonts w:ascii="Garamond" w:eastAsia="Palatino Linotype" w:hAnsi="Garamond" w:cs="Palatino Linotype"/>
          <w:b/>
        </w:rPr>
      </w:pPr>
      <w:r w:rsidRPr="00891713">
        <w:rPr>
          <w:rFonts w:ascii="Garamond" w:eastAsia="Palatino Linotype" w:hAnsi="Garamond" w:cs="Palatino Linotype"/>
          <w:b/>
        </w:rPr>
        <w:t xml:space="preserve">Interest Rate Derivatives </w:t>
      </w:r>
    </w:p>
    <w:p w:rsidR="00567A3B" w:rsidRPr="009000FB" w:rsidRDefault="00567A3B" w:rsidP="00567A3B">
      <w:pPr>
        <w:pStyle w:val="ListParagraph"/>
        <w:jc w:val="both"/>
        <w:rPr>
          <w:rFonts w:ascii="Garamond" w:eastAsia="Palatino Linotype" w:hAnsi="Garamond" w:cs="Palatino Linotype"/>
          <w:sz w:val="24"/>
          <w:szCs w:val="24"/>
          <w:lang w:val="en-GB"/>
        </w:rPr>
      </w:pPr>
      <w:r w:rsidRPr="009000FB">
        <w:rPr>
          <w:rFonts w:ascii="Garamond" w:eastAsia="Palatino Linotype" w:hAnsi="Garamond" w:cs="Palatino Linotype"/>
          <w:sz w:val="24"/>
          <w:szCs w:val="24"/>
          <w:lang w:val="en-GB"/>
        </w:rPr>
        <w:t xml:space="preserve">During February 2022, the monthly notional turnover of interest rate derivatives at NSE increased by 87.6 per cent to </w:t>
      </w:r>
      <w:r w:rsidRPr="009000FB">
        <w:rPr>
          <w:rFonts w:ascii="Times New Roman" w:eastAsia="Palatino Linotype" w:hAnsi="Times New Roman"/>
          <w:sz w:val="24"/>
          <w:szCs w:val="24"/>
          <w:lang w:val="en-GB"/>
        </w:rPr>
        <w:t>₹</w:t>
      </w:r>
      <w:r w:rsidRPr="009000FB">
        <w:rPr>
          <w:rFonts w:ascii="Garamond" w:eastAsia="Palatino Linotype" w:hAnsi="Garamond" w:cs="Palatino Linotype"/>
          <w:sz w:val="24"/>
          <w:szCs w:val="24"/>
          <w:lang w:val="en-GB"/>
        </w:rPr>
        <w:t xml:space="preserve"> 3,742 </w:t>
      </w:r>
      <w:r w:rsidR="000654C7">
        <w:rPr>
          <w:rFonts w:ascii="Garamond" w:eastAsia="Palatino Linotype" w:hAnsi="Garamond" w:cs="Palatino Linotype"/>
          <w:sz w:val="24"/>
          <w:szCs w:val="24"/>
          <w:lang w:val="en-GB"/>
        </w:rPr>
        <w:t>crore</w:t>
      </w:r>
      <w:r w:rsidRPr="009000FB">
        <w:rPr>
          <w:rFonts w:ascii="Garamond" w:eastAsia="Palatino Linotype" w:hAnsi="Garamond" w:cs="Palatino Linotype"/>
          <w:sz w:val="24"/>
          <w:szCs w:val="24"/>
          <w:lang w:val="en-GB"/>
        </w:rPr>
        <w:t xml:space="preserve">, while that at BSE increased by 33.0 per cent to </w:t>
      </w:r>
      <w:r w:rsidRPr="009000FB">
        <w:rPr>
          <w:rFonts w:ascii="Times New Roman" w:eastAsia="Palatino Linotype" w:hAnsi="Times New Roman"/>
          <w:sz w:val="24"/>
          <w:szCs w:val="24"/>
          <w:lang w:val="en-GB"/>
        </w:rPr>
        <w:t>₹</w:t>
      </w:r>
      <w:r w:rsidRPr="009000FB">
        <w:rPr>
          <w:rFonts w:ascii="Garamond" w:eastAsia="Palatino Linotype" w:hAnsi="Garamond" w:cs="Palatino Linotype"/>
          <w:sz w:val="24"/>
          <w:szCs w:val="24"/>
          <w:lang w:val="en-GB"/>
        </w:rPr>
        <w:t xml:space="preserve"> 5,089 </w:t>
      </w:r>
      <w:r w:rsidR="000654C7">
        <w:rPr>
          <w:rFonts w:ascii="Garamond" w:eastAsia="Palatino Linotype" w:hAnsi="Garamond" w:cs="Palatino Linotype"/>
          <w:sz w:val="24"/>
          <w:szCs w:val="24"/>
          <w:lang w:val="en-GB"/>
        </w:rPr>
        <w:t>crore</w:t>
      </w:r>
      <w:r w:rsidRPr="009000FB">
        <w:rPr>
          <w:rFonts w:ascii="Garamond" w:eastAsia="Palatino Linotype" w:hAnsi="Garamond" w:cs="Palatino Linotype"/>
          <w:sz w:val="24"/>
          <w:szCs w:val="24"/>
          <w:lang w:val="en-GB"/>
        </w:rPr>
        <w:t>.</w:t>
      </w:r>
    </w:p>
    <w:p w:rsidR="00567A3B" w:rsidRPr="009000FB" w:rsidRDefault="00567A3B" w:rsidP="00567A3B">
      <w:pPr>
        <w:keepNext/>
        <w:pBdr>
          <w:between w:val="nil"/>
        </w:pBdr>
        <w:spacing w:line="276" w:lineRule="auto"/>
        <w:ind w:left="720" w:hanging="720"/>
        <w:jc w:val="center"/>
        <w:rPr>
          <w:rFonts w:ascii="Garamond" w:eastAsia="Palatino Linotype" w:hAnsi="Garamond" w:cs="Palatino Linotype"/>
          <w:b/>
        </w:rPr>
      </w:pPr>
      <w:r w:rsidRPr="009000FB">
        <w:rPr>
          <w:rFonts w:ascii="Garamond" w:eastAsia="Palatino Linotype" w:hAnsi="Garamond" w:cs="Palatino Linotype"/>
          <w:b/>
        </w:rPr>
        <w:t>Figure 8: Trends of Interest Rate Derivatives at NSE and BSE (</w:t>
      </w:r>
      <w:r w:rsidRPr="009000FB">
        <w:rPr>
          <w:rFonts w:ascii="Times New Roman" w:eastAsia="Palatino Linotype" w:hAnsi="Times New Roman"/>
          <w:b/>
        </w:rPr>
        <w:t>₹</w:t>
      </w:r>
      <w:r w:rsidRPr="009000FB">
        <w:rPr>
          <w:rFonts w:ascii="Garamond" w:eastAsia="Palatino Linotype" w:hAnsi="Garamond" w:cs="Palatino Linotype"/>
          <w:b/>
        </w:rPr>
        <w:t xml:space="preserve"> </w:t>
      </w:r>
      <w:r w:rsidR="000654C7">
        <w:rPr>
          <w:rFonts w:ascii="Garamond" w:eastAsia="Palatino Linotype" w:hAnsi="Garamond" w:cs="Palatino Linotype"/>
          <w:b/>
        </w:rPr>
        <w:t>crore</w:t>
      </w:r>
      <w:r w:rsidRPr="009000FB">
        <w:rPr>
          <w:rFonts w:ascii="Garamond" w:eastAsia="Palatino Linotype" w:hAnsi="Garamond" w:cs="Palatino Linotype"/>
          <w:b/>
        </w:rPr>
        <w:t>)</w:t>
      </w:r>
    </w:p>
    <w:p w:rsidR="00567A3B" w:rsidRPr="009000FB" w:rsidRDefault="00567A3B" w:rsidP="00567A3B">
      <w:pPr>
        <w:keepNext/>
        <w:pBdr>
          <w:between w:val="nil"/>
        </w:pBdr>
        <w:spacing w:line="276" w:lineRule="auto"/>
        <w:ind w:left="720" w:hanging="720"/>
        <w:jc w:val="center"/>
        <w:rPr>
          <w:rFonts w:ascii="Garamond" w:eastAsia="Palatino Linotype" w:hAnsi="Garamond" w:cs="Palatino Linotype"/>
          <w:b/>
        </w:rPr>
      </w:pPr>
      <w:r w:rsidRPr="009000FB">
        <w:rPr>
          <w:noProof/>
          <w:lang w:val="en-US" w:bidi="hi-IN"/>
        </w:rPr>
        <w:drawing>
          <wp:inline distT="0" distB="0" distL="0" distR="0" wp14:anchorId="7A82EF88" wp14:editId="0C2C2CBF">
            <wp:extent cx="5200650" cy="2066925"/>
            <wp:effectExtent l="0" t="0" r="0" b="9525"/>
            <wp:docPr id="23" name="Chart 23">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67A3B" w:rsidRPr="009000FB" w:rsidRDefault="00567A3B" w:rsidP="00567A3B">
      <w:pPr>
        <w:pBdr>
          <w:top w:val="nil"/>
          <w:left w:val="nil"/>
          <w:bottom w:val="nil"/>
          <w:right w:val="nil"/>
          <w:between w:val="nil"/>
        </w:pBdr>
        <w:spacing w:line="276" w:lineRule="auto"/>
        <w:rPr>
          <w:rFonts w:ascii="Garamond" w:eastAsia="Palatino Linotype" w:hAnsi="Garamond" w:cs="Palatino Linotype"/>
          <w:b/>
        </w:rPr>
      </w:pPr>
      <w:r w:rsidRPr="009000FB">
        <w:rPr>
          <w:rFonts w:ascii="Garamond" w:eastAsia="Palatino Linotype" w:hAnsi="Garamond" w:cs="Palatino Linotype"/>
          <w:b/>
        </w:rPr>
        <w:t xml:space="preserve">   </w:t>
      </w:r>
      <w:r w:rsidRPr="009000FB">
        <w:rPr>
          <w:rFonts w:ascii="Garamond" w:eastAsia="Palatino Linotype" w:hAnsi="Garamond" w:cs="Palatino Linotype"/>
          <w:b/>
          <w:szCs w:val="22"/>
        </w:rPr>
        <w:t xml:space="preserve">  </w:t>
      </w:r>
      <w:r w:rsidRPr="009000FB">
        <w:rPr>
          <w:rFonts w:ascii="Garamond" w:eastAsia="Palatino Linotype" w:hAnsi="Garamond" w:cs="Palatino Linotype"/>
          <w:b/>
          <w:szCs w:val="22"/>
        </w:rPr>
        <w:tab/>
        <w:t xml:space="preserve">Source: </w:t>
      </w:r>
      <w:r w:rsidRPr="009000FB">
        <w:rPr>
          <w:rFonts w:ascii="Garamond" w:eastAsia="Palatino Linotype" w:hAnsi="Garamond" w:cs="Palatino Linotype"/>
          <w:bCs/>
          <w:szCs w:val="22"/>
        </w:rPr>
        <w:t>BSE and NSE</w:t>
      </w:r>
      <w:r w:rsidRPr="009000FB">
        <w:rPr>
          <w:rFonts w:ascii="Garamond" w:eastAsia="Palatino Linotype" w:hAnsi="Garamond" w:cs="Palatino Linotype"/>
          <w:b/>
          <w:szCs w:val="22"/>
        </w:rPr>
        <w:t xml:space="preserve"> </w:t>
      </w:r>
    </w:p>
    <w:p w:rsidR="00567A3B" w:rsidRPr="00891713" w:rsidRDefault="00567A3B" w:rsidP="00567A3B">
      <w:pPr>
        <w:ind w:left="720"/>
        <w:rPr>
          <w:rFonts w:ascii="Garamond" w:eastAsia="Palatino Linotype" w:hAnsi="Garamond" w:cs="Palatino Linotype"/>
          <w:b/>
          <w:szCs w:val="22"/>
        </w:rPr>
      </w:pPr>
    </w:p>
    <w:p w:rsidR="00567A3B" w:rsidRPr="00C2045E" w:rsidRDefault="00567A3B" w:rsidP="00567A3B">
      <w:pPr>
        <w:widowControl w:val="0"/>
        <w:numPr>
          <w:ilvl w:val="0"/>
          <w:numId w:val="2"/>
        </w:numPr>
        <w:spacing w:line="276" w:lineRule="auto"/>
        <w:ind w:left="454" w:hanging="454"/>
        <w:rPr>
          <w:rFonts w:ascii="Garamond" w:eastAsia="Palatino Linotype" w:hAnsi="Garamond" w:cs="Palatino Linotype"/>
          <w:b/>
        </w:rPr>
      </w:pPr>
      <w:r w:rsidRPr="00C2045E">
        <w:rPr>
          <w:rFonts w:ascii="Garamond" w:eastAsia="Palatino Linotype" w:hAnsi="Garamond" w:cs="Palatino Linotype"/>
          <w:b/>
        </w:rPr>
        <w:t>Trading in Corporate Debt Market</w:t>
      </w:r>
    </w:p>
    <w:p w:rsidR="00567A3B" w:rsidRPr="00C2045E" w:rsidRDefault="00567A3B" w:rsidP="00402D0C">
      <w:pPr>
        <w:numPr>
          <w:ilvl w:val="0"/>
          <w:numId w:val="1"/>
        </w:numPr>
        <w:pBdr>
          <w:between w:val="nil"/>
        </w:pBdr>
        <w:ind w:left="714" w:hanging="357"/>
        <w:jc w:val="both"/>
        <w:rPr>
          <w:rFonts w:ascii="Garamond" w:eastAsia="Palatino Linotype" w:hAnsi="Garamond" w:cs="Palatino Linotype"/>
        </w:rPr>
      </w:pPr>
      <w:r w:rsidRPr="00C2045E">
        <w:rPr>
          <w:rFonts w:ascii="Garamond" w:eastAsia="Palatino Linotype" w:hAnsi="Garamond" w:cs="Palatino Linotype"/>
        </w:rPr>
        <w:t xml:space="preserve">During </w:t>
      </w:r>
      <w:r>
        <w:rPr>
          <w:rFonts w:ascii="Garamond" w:eastAsia="Palatino Linotype" w:hAnsi="Garamond" w:cs="Palatino Linotype"/>
        </w:rPr>
        <w:t>February 2022</w:t>
      </w:r>
      <w:r w:rsidRPr="00C2045E">
        <w:rPr>
          <w:rFonts w:ascii="Garamond" w:eastAsia="Palatino Linotype" w:hAnsi="Garamond" w:cs="Palatino Linotype"/>
        </w:rPr>
        <w:t xml:space="preserve">, BSE registered </w:t>
      </w:r>
      <w:r>
        <w:rPr>
          <w:rFonts w:ascii="Garamond" w:eastAsia="Palatino Linotype" w:hAnsi="Garamond" w:cs="Palatino Linotype"/>
        </w:rPr>
        <w:t xml:space="preserve">7,841 </w:t>
      </w:r>
      <w:r w:rsidRPr="00C2045E">
        <w:rPr>
          <w:rFonts w:ascii="Garamond" w:eastAsia="Palatino Linotype" w:hAnsi="Garamond" w:cs="Palatino Linotype"/>
        </w:rPr>
        <w:t xml:space="preserve">trades of corporate debt with traded value of </w:t>
      </w:r>
      <w:r w:rsidRPr="00C2045E">
        <w:rPr>
          <w:rFonts w:ascii="Times New Roman" w:eastAsia="Palatino Linotype" w:hAnsi="Times New Roman"/>
        </w:rPr>
        <w:t>₹</w:t>
      </w:r>
      <w:r>
        <w:rPr>
          <w:rFonts w:ascii="Garamond" w:eastAsia="Palatino Linotype" w:hAnsi="Garamond" w:cs="Palatino Linotype"/>
        </w:rPr>
        <w:t>60,640</w:t>
      </w:r>
      <w:r w:rsidRPr="00C2045E">
        <w:rPr>
          <w:rFonts w:ascii="Garamond" w:eastAsia="Palatino Linotype" w:hAnsi="Garamond" w:cs="Palatino Linotype"/>
        </w:rPr>
        <w:t xml:space="preserve"> </w:t>
      </w:r>
      <w:r w:rsidR="000654C7">
        <w:rPr>
          <w:rFonts w:ascii="Garamond" w:eastAsia="Palatino Linotype" w:hAnsi="Garamond" w:cs="Palatino Linotype"/>
        </w:rPr>
        <w:t>crore</w:t>
      </w:r>
      <w:r w:rsidRPr="00C2045E">
        <w:rPr>
          <w:rFonts w:ascii="Garamond" w:eastAsia="Palatino Linotype" w:hAnsi="Garamond" w:cs="Palatino Linotype"/>
        </w:rPr>
        <w:t xml:space="preserve">, </w:t>
      </w:r>
      <w:r>
        <w:rPr>
          <w:rFonts w:ascii="Garamond" w:eastAsia="Palatino Linotype" w:hAnsi="Garamond" w:cs="Palatino Linotype"/>
        </w:rPr>
        <w:t xml:space="preserve">which was an increase of  33.9 </w:t>
      </w:r>
      <w:r w:rsidRPr="00C2045E">
        <w:rPr>
          <w:rFonts w:ascii="Garamond" w:eastAsia="Palatino Linotype" w:hAnsi="Garamond" w:cs="Palatino Linotype"/>
        </w:rPr>
        <w:t xml:space="preserve">per cent in traded value compared to </w:t>
      </w:r>
      <w:r>
        <w:rPr>
          <w:rFonts w:ascii="Garamond" w:eastAsia="Palatino Linotype" w:hAnsi="Garamond" w:cs="Palatino Linotype"/>
        </w:rPr>
        <w:t>January 2022</w:t>
      </w:r>
      <w:r w:rsidRPr="00C2045E">
        <w:rPr>
          <w:rFonts w:ascii="Garamond" w:eastAsia="Palatino Linotype" w:hAnsi="Garamond" w:cs="Palatino Linotype"/>
        </w:rPr>
        <w:t xml:space="preserve">. </w:t>
      </w:r>
    </w:p>
    <w:p w:rsidR="00567A3B" w:rsidRPr="00402D0C" w:rsidRDefault="00567A3B" w:rsidP="00402D0C">
      <w:pPr>
        <w:numPr>
          <w:ilvl w:val="0"/>
          <w:numId w:val="1"/>
        </w:numPr>
        <w:pBdr>
          <w:between w:val="nil"/>
        </w:pBdr>
        <w:ind w:left="714" w:hanging="357"/>
        <w:jc w:val="both"/>
        <w:rPr>
          <w:rFonts w:ascii="Garamond" w:eastAsia="Palatino Linotype" w:hAnsi="Garamond" w:cs="Palatino Linotype"/>
          <w:b/>
          <w:color w:val="2E74B5"/>
        </w:rPr>
      </w:pPr>
      <w:r w:rsidRPr="00C2045E">
        <w:rPr>
          <w:rFonts w:ascii="Garamond" w:eastAsia="Palatino Linotype" w:hAnsi="Garamond" w:cs="Palatino Linotype"/>
        </w:rPr>
        <w:t xml:space="preserve">At NSE, </w:t>
      </w:r>
      <w:r>
        <w:rPr>
          <w:rFonts w:ascii="Garamond" w:eastAsia="Palatino Linotype" w:hAnsi="Garamond" w:cs="Palatino Linotype"/>
        </w:rPr>
        <w:t>4,</w:t>
      </w:r>
      <w:r w:rsidR="00421E44">
        <w:rPr>
          <w:rFonts w:ascii="Garamond" w:eastAsia="Palatino Linotype" w:hAnsi="Garamond" w:cs="Palatino Linotype"/>
        </w:rPr>
        <w:t>886</w:t>
      </w:r>
      <w:r>
        <w:rPr>
          <w:rFonts w:ascii="Garamond" w:eastAsia="Palatino Linotype" w:hAnsi="Garamond" w:cs="Palatino Linotype"/>
        </w:rPr>
        <w:t xml:space="preserve"> </w:t>
      </w:r>
      <w:r w:rsidRPr="00C2045E">
        <w:rPr>
          <w:rFonts w:ascii="Garamond" w:eastAsia="Palatino Linotype" w:hAnsi="Garamond" w:cs="Palatino Linotype"/>
        </w:rPr>
        <w:t xml:space="preserve">trades were recorded with a traded value of </w:t>
      </w:r>
      <w:r w:rsidRPr="00C2045E">
        <w:rPr>
          <w:rFonts w:ascii="Times New Roman" w:eastAsia="Palatino Linotype" w:hAnsi="Times New Roman"/>
        </w:rPr>
        <w:t>₹</w:t>
      </w:r>
      <w:r w:rsidR="00421E44">
        <w:rPr>
          <w:rFonts w:ascii="Garamond" w:eastAsia="Palatino Linotype" w:hAnsi="Garamond" w:cs="Palatino Linotype"/>
        </w:rPr>
        <w:t>81448</w:t>
      </w:r>
      <w:r w:rsidRPr="00C2045E">
        <w:rPr>
          <w:rFonts w:ascii="Garamond" w:eastAsia="Palatino Linotype" w:hAnsi="Garamond" w:cs="Palatino Linotype"/>
        </w:rPr>
        <w:t xml:space="preserve"> </w:t>
      </w:r>
      <w:r w:rsidR="000654C7">
        <w:rPr>
          <w:rFonts w:ascii="Garamond" w:eastAsia="Palatino Linotype" w:hAnsi="Garamond" w:cs="Palatino Linotype"/>
        </w:rPr>
        <w:t>crore</w:t>
      </w:r>
      <w:r w:rsidRPr="00C2045E">
        <w:rPr>
          <w:rFonts w:ascii="Garamond" w:eastAsia="Palatino Linotype" w:hAnsi="Garamond" w:cs="Palatino Linotype"/>
        </w:rPr>
        <w:t xml:space="preserve"> in </w:t>
      </w:r>
      <w:r>
        <w:rPr>
          <w:rFonts w:ascii="Garamond" w:eastAsia="Palatino Linotype" w:hAnsi="Garamond" w:cs="Palatino Linotype"/>
        </w:rPr>
        <w:t>February</w:t>
      </w:r>
      <w:r w:rsidRPr="00C2045E">
        <w:rPr>
          <w:rFonts w:ascii="Garamond" w:eastAsia="Palatino Linotype" w:hAnsi="Garamond" w:cs="Palatino Linotype"/>
        </w:rPr>
        <w:t xml:space="preserve"> 202</w:t>
      </w:r>
      <w:r>
        <w:rPr>
          <w:rFonts w:ascii="Garamond" w:eastAsia="Palatino Linotype" w:hAnsi="Garamond" w:cs="Palatino Linotype"/>
        </w:rPr>
        <w:t>2</w:t>
      </w:r>
      <w:r w:rsidRPr="00C2045E">
        <w:rPr>
          <w:rFonts w:ascii="Garamond" w:eastAsia="Palatino Linotype" w:hAnsi="Garamond" w:cs="Palatino Linotype"/>
        </w:rPr>
        <w:t xml:space="preserve"> which is </w:t>
      </w:r>
      <w:r w:rsidR="00421E44">
        <w:rPr>
          <w:rFonts w:ascii="Garamond" w:eastAsia="Palatino Linotype" w:hAnsi="Garamond" w:cs="Palatino Linotype"/>
        </w:rPr>
        <w:t>4.9</w:t>
      </w:r>
      <w:r w:rsidRPr="00C2045E">
        <w:rPr>
          <w:rFonts w:ascii="Garamond" w:eastAsia="Palatino Linotype" w:hAnsi="Garamond" w:cs="Palatino Linotype"/>
        </w:rPr>
        <w:t xml:space="preserve"> per cent </w:t>
      </w:r>
      <w:r>
        <w:rPr>
          <w:rFonts w:ascii="Garamond" w:eastAsia="Palatino Linotype" w:hAnsi="Garamond" w:cs="Palatino Linotype"/>
        </w:rPr>
        <w:t>lower as</w:t>
      </w:r>
      <w:r w:rsidRPr="00C2045E">
        <w:rPr>
          <w:rFonts w:ascii="Garamond" w:eastAsia="Palatino Linotype" w:hAnsi="Garamond" w:cs="Palatino Linotype"/>
        </w:rPr>
        <w:t xml:space="preserve"> compared to</w:t>
      </w:r>
      <w:r>
        <w:rPr>
          <w:rFonts w:ascii="Garamond" w:eastAsia="Palatino Linotype" w:hAnsi="Garamond" w:cs="Palatino Linotype"/>
        </w:rPr>
        <w:t xml:space="preserve"> January 2022</w:t>
      </w:r>
      <w:r w:rsidRPr="00C2045E">
        <w:rPr>
          <w:rFonts w:ascii="Garamond" w:eastAsia="Palatino Linotype" w:hAnsi="Garamond" w:cs="Palatino Linotype"/>
        </w:rPr>
        <w:t xml:space="preserve">. </w:t>
      </w:r>
    </w:p>
    <w:p w:rsidR="00402D0C" w:rsidRPr="00C2045E" w:rsidRDefault="00402D0C" w:rsidP="00402D0C">
      <w:pPr>
        <w:pBdr>
          <w:between w:val="nil"/>
        </w:pBdr>
        <w:ind w:left="714"/>
        <w:jc w:val="both"/>
        <w:rPr>
          <w:rFonts w:ascii="Garamond" w:eastAsia="Palatino Linotype" w:hAnsi="Garamond" w:cs="Palatino Linotype"/>
          <w:b/>
          <w:color w:val="2E74B5"/>
        </w:rPr>
      </w:pPr>
    </w:p>
    <w:p w:rsidR="00567A3B" w:rsidRDefault="00567A3B" w:rsidP="00567A3B">
      <w:pPr>
        <w:pBdr>
          <w:between w:val="nil"/>
        </w:pBdr>
        <w:spacing w:line="276" w:lineRule="auto"/>
        <w:ind w:left="720" w:hanging="720"/>
        <w:jc w:val="center"/>
        <w:rPr>
          <w:rFonts w:ascii="Garamond" w:eastAsia="Palatino Linotype" w:hAnsi="Garamond" w:cs="Palatino Linotype"/>
          <w:b/>
        </w:rPr>
      </w:pPr>
      <w:r w:rsidRPr="00891713">
        <w:rPr>
          <w:rFonts w:ascii="Garamond" w:eastAsia="Palatino Linotype" w:hAnsi="Garamond" w:cs="Palatino Linotype"/>
          <w:b/>
        </w:rPr>
        <w:lastRenderedPageBreak/>
        <w:t>Figure 10: Trends in Reported Turnover of Corporate Bonds (</w:t>
      </w:r>
      <w:r w:rsidRPr="00891713">
        <w:rPr>
          <w:rFonts w:ascii="Times New Roman" w:eastAsia="Palatino Linotype" w:hAnsi="Times New Roman"/>
          <w:b/>
        </w:rPr>
        <w:t>₹</w:t>
      </w:r>
      <w:r w:rsidRPr="00891713">
        <w:rPr>
          <w:rFonts w:ascii="Garamond" w:eastAsia="Palatino Linotype" w:hAnsi="Garamond" w:cs="Palatino Linotype"/>
          <w:b/>
        </w:rPr>
        <w:t xml:space="preserve"> </w:t>
      </w:r>
      <w:r w:rsidR="000654C7">
        <w:rPr>
          <w:rFonts w:ascii="Garamond" w:eastAsia="Palatino Linotype" w:hAnsi="Garamond" w:cs="Palatino Linotype"/>
          <w:b/>
        </w:rPr>
        <w:t>crore</w:t>
      </w:r>
      <w:r w:rsidRPr="00891713">
        <w:rPr>
          <w:rFonts w:ascii="Garamond" w:eastAsia="Palatino Linotype" w:hAnsi="Garamond" w:cs="Palatino Linotype"/>
          <w:b/>
        </w:rPr>
        <w:t>)</w:t>
      </w:r>
    </w:p>
    <w:p w:rsidR="00567A3B" w:rsidRDefault="00567A3B" w:rsidP="00567A3B">
      <w:pPr>
        <w:pBdr>
          <w:between w:val="nil"/>
        </w:pBdr>
        <w:spacing w:line="276" w:lineRule="auto"/>
        <w:ind w:left="720" w:hanging="720"/>
        <w:jc w:val="center"/>
        <w:rPr>
          <w:rFonts w:ascii="Garamond" w:eastAsia="Palatino Linotype" w:hAnsi="Garamond" w:cs="Palatino Linotype"/>
          <w:b/>
        </w:rPr>
      </w:pPr>
      <w:r>
        <w:rPr>
          <w:noProof/>
          <w:lang w:val="en-US" w:bidi="hi-IN"/>
        </w:rPr>
        <w:drawing>
          <wp:inline distT="0" distB="0" distL="0" distR="0" wp14:anchorId="15BD4413" wp14:editId="18E95895">
            <wp:extent cx="5210175" cy="2428875"/>
            <wp:effectExtent l="0" t="0" r="9525" b="9525"/>
            <wp:docPr id="1" name="Chart 1">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67A3B" w:rsidRDefault="00567A3B" w:rsidP="00567A3B">
      <w:pPr>
        <w:rPr>
          <w:rFonts w:ascii="Garamond" w:eastAsia="Palatino Linotype" w:hAnsi="Garamond" w:cs="Palatino Linotype"/>
          <w:bCs/>
          <w:szCs w:val="22"/>
        </w:rPr>
      </w:pPr>
      <w:r w:rsidRPr="00891713">
        <w:rPr>
          <w:rFonts w:ascii="Garamond" w:eastAsia="Palatino Linotype" w:hAnsi="Garamond" w:cs="Palatino Linotype"/>
          <w:b/>
        </w:rPr>
        <w:t xml:space="preserve">                     </w:t>
      </w:r>
      <w:r w:rsidRPr="00891713">
        <w:rPr>
          <w:rFonts w:ascii="Garamond" w:eastAsia="Palatino Linotype" w:hAnsi="Garamond" w:cs="Palatino Linotype"/>
          <w:b/>
          <w:szCs w:val="22"/>
        </w:rPr>
        <w:t xml:space="preserve">Source: </w:t>
      </w:r>
      <w:r w:rsidRPr="00891713">
        <w:rPr>
          <w:rFonts w:ascii="Garamond" w:eastAsia="Palatino Linotype" w:hAnsi="Garamond" w:cs="Palatino Linotype"/>
          <w:bCs/>
          <w:szCs w:val="22"/>
        </w:rPr>
        <w:t>BSE and NSE</w:t>
      </w:r>
    </w:p>
    <w:p w:rsidR="00567A3B" w:rsidRDefault="00567A3B" w:rsidP="00567A3B">
      <w:pPr>
        <w:rPr>
          <w:rFonts w:ascii="Garamond" w:eastAsia="Palatino Linotype" w:hAnsi="Garamond" w:cs="Palatino Linotype"/>
          <w:bCs/>
          <w:szCs w:val="22"/>
        </w:rPr>
      </w:pPr>
    </w:p>
    <w:p w:rsidR="00567A3B" w:rsidRPr="00891713" w:rsidRDefault="00567A3B" w:rsidP="00567A3B">
      <w:pPr>
        <w:rPr>
          <w:rFonts w:ascii="Garamond" w:eastAsia="Palatino Linotype" w:hAnsi="Garamond" w:cs="Palatino Linotype"/>
          <w:bCs/>
          <w:szCs w:val="22"/>
        </w:rPr>
      </w:pPr>
    </w:p>
    <w:p w:rsidR="00567A3B" w:rsidRPr="00891713" w:rsidRDefault="00567A3B" w:rsidP="00567A3B">
      <w:pPr>
        <w:widowControl w:val="0"/>
        <w:numPr>
          <w:ilvl w:val="0"/>
          <w:numId w:val="2"/>
        </w:numPr>
        <w:spacing w:line="276" w:lineRule="auto"/>
        <w:ind w:left="567" w:hanging="567"/>
        <w:rPr>
          <w:rFonts w:ascii="Garamond" w:eastAsia="Palatino Linotype" w:hAnsi="Garamond" w:cs="Palatino Linotype"/>
          <w:b/>
        </w:rPr>
      </w:pPr>
      <w:r w:rsidRPr="00891713">
        <w:rPr>
          <w:rFonts w:ascii="Garamond" w:eastAsia="Palatino Linotype" w:hAnsi="Garamond" w:cs="Palatino Linotype"/>
          <w:b/>
        </w:rPr>
        <w:t>Trends in Institutional Investments</w:t>
      </w:r>
    </w:p>
    <w:p w:rsidR="00567A3B" w:rsidRPr="00891713" w:rsidRDefault="00567A3B" w:rsidP="00567A3B">
      <w:pPr>
        <w:widowControl w:val="0"/>
        <w:spacing w:line="276" w:lineRule="auto"/>
        <w:ind w:left="567"/>
        <w:rPr>
          <w:rFonts w:ascii="Garamond" w:eastAsia="Palatino Linotype" w:hAnsi="Garamond" w:cs="Palatino Linotype"/>
          <w:b/>
        </w:rPr>
      </w:pPr>
    </w:p>
    <w:p w:rsidR="00567A3B" w:rsidRPr="00891713" w:rsidRDefault="00567A3B" w:rsidP="00567A3B">
      <w:pPr>
        <w:widowControl w:val="0"/>
        <w:numPr>
          <w:ilvl w:val="0"/>
          <w:numId w:val="4"/>
        </w:numPr>
        <w:tabs>
          <w:tab w:val="left" w:pos="0"/>
        </w:tabs>
        <w:spacing w:line="276" w:lineRule="auto"/>
        <w:ind w:left="567" w:hanging="567"/>
        <w:jc w:val="both"/>
        <w:rPr>
          <w:rFonts w:ascii="Garamond" w:eastAsia="Palatino Linotype" w:hAnsi="Garamond" w:cs="Palatino Linotype"/>
          <w:b/>
        </w:rPr>
      </w:pPr>
      <w:r w:rsidRPr="00891713">
        <w:rPr>
          <w:rFonts w:ascii="Garamond" w:eastAsia="Palatino Linotype" w:hAnsi="Garamond" w:cs="Palatino Linotype"/>
          <w:b/>
        </w:rPr>
        <w:t>Trends in Fund Mobilisation/Transactions by Mutual Funds</w:t>
      </w:r>
    </w:p>
    <w:p w:rsidR="00567A3B" w:rsidRPr="002D088A" w:rsidRDefault="00567A3B" w:rsidP="00421E44">
      <w:pPr>
        <w:numPr>
          <w:ilvl w:val="0"/>
          <w:numId w:val="1"/>
        </w:numPr>
        <w:pBdr>
          <w:between w:val="nil"/>
        </w:pBdr>
        <w:ind w:left="714" w:hanging="357"/>
        <w:jc w:val="both"/>
        <w:rPr>
          <w:rFonts w:ascii="Garamond" w:eastAsia="Times New Roman" w:hAnsi="Garamond" w:cs="Tahoma"/>
          <w:color w:val="000000"/>
          <w:lang w:eastAsia="en-IN"/>
        </w:rPr>
      </w:pPr>
      <w:r w:rsidRPr="00891713">
        <w:rPr>
          <w:rFonts w:ascii="Garamond" w:eastAsia="Times New Roman" w:hAnsi="Garamond" w:cs="Tahoma"/>
          <w:color w:val="000000"/>
          <w:lang w:eastAsia="en-IN"/>
        </w:rPr>
        <w:t> </w:t>
      </w:r>
      <w:r w:rsidRPr="002D088A">
        <w:rPr>
          <w:rFonts w:ascii="Garamond" w:eastAsia="Times New Roman" w:hAnsi="Garamond" w:cs="Tahoma"/>
          <w:color w:val="000000"/>
          <w:lang w:eastAsia="en-IN"/>
        </w:rPr>
        <w:t xml:space="preserve">As at end of </w:t>
      </w:r>
      <w:r>
        <w:rPr>
          <w:rFonts w:ascii="Garamond" w:eastAsia="Times New Roman" w:hAnsi="Garamond" w:cs="Tahoma"/>
          <w:color w:val="000000"/>
          <w:lang w:eastAsia="en-IN"/>
        </w:rPr>
        <w:t>January 2022, there were a total of 1,479</w:t>
      </w:r>
      <w:r w:rsidRPr="002D088A">
        <w:rPr>
          <w:rFonts w:ascii="Garamond" w:eastAsia="Times New Roman" w:hAnsi="Garamond" w:cs="Tahoma"/>
          <w:color w:val="000000"/>
          <w:lang w:eastAsia="en-IN"/>
        </w:rPr>
        <w:t xml:space="preserve"> mutual fund schem</w:t>
      </w:r>
      <w:r>
        <w:rPr>
          <w:rFonts w:ascii="Garamond" w:eastAsia="Times New Roman" w:hAnsi="Garamond" w:cs="Tahoma"/>
          <w:color w:val="000000"/>
          <w:lang w:eastAsia="en-IN"/>
        </w:rPr>
        <w:t>es in the market, of which 1,109 were open-ended schemes, 349</w:t>
      </w:r>
      <w:r w:rsidRPr="002D088A">
        <w:rPr>
          <w:rFonts w:ascii="Garamond" w:eastAsia="Times New Roman" w:hAnsi="Garamond" w:cs="Tahoma"/>
          <w:color w:val="000000"/>
          <w:lang w:eastAsia="en-IN"/>
        </w:rPr>
        <w:t xml:space="preserve"> were close-ended schemes and 21 were interval schemes. </w:t>
      </w:r>
    </w:p>
    <w:p w:rsidR="00567A3B" w:rsidRPr="00161A1B" w:rsidRDefault="00567A3B" w:rsidP="00421E44">
      <w:pPr>
        <w:numPr>
          <w:ilvl w:val="0"/>
          <w:numId w:val="1"/>
        </w:numPr>
        <w:pBdr>
          <w:between w:val="nil"/>
        </w:pBdr>
        <w:ind w:left="714" w:hanging="357"/>
        <w:jc w:val="both"/>
        <w:rPr>
          <w:rFonts w:ascii="Garamond" w:eastAsia="Times New Roman" w:hAnsi="Garamond" w:cs="Tahoma"/>
          <w:color w:val="000000"/>
          <w:lang w:eastAsia="en-IN"/>
        </w:rPr>
      </w:pPr>
      <w:r w:rsidRPr="002D088A">
        <w:rPr>
          <w:rFonts w:ascii="Garamond" w:eastAsia="Times New Roman" w:hAnsi="Garamond" w:cs="Tahoma"/>
          <w:color w:val="000000"/>
          <w:lang w:eastAsia="en-IN"/>
        </w:rPr>
        <w:t xml:space="preserve">The mutual fund industry saw a net </w:t>
      </w:r>
      <w:r>
        <w:rPr>
          <w:rFonts w:ascii="Garamond" w:eastAsia="Times New Roman" w:hAnsi="Garamond" w:cs="Tahoma"/>
          <w:color w:val="000000"/>
          <w:lang w:eastAsia="en-IN"/>
        </w:rPr>
        <w:t>inflow</w:t>
      </w:r>
      <w:r w:rsidRPr="00161A1B">
        <w:rPr>
          <w:rFonts w:ascii="Garamond" w:eastAsia="Times New Roman" w:hAnsi="Garamond" w:cs="Tahoma"/>
          <w:color w:val="000000"/>
          <w:lang w:eastAsia="en-IN"/>
        </w:rPr>
        <w:t xml:space="preserve"> of  </w:t>
      </w:r>
      <w:r w:rsidRPr="00421E44">
        <w:rPr>
          <w:rFonts w:ascii="Times New Roman" w:eastAsia="Times New Roman" w:hAnsi="Times New Roman"/>
          <w:color w:val="000000"/>
          <w:lang w:eastAsia="en-IN"/>
        </w:rPr>
        <w:t>₹</w:t>
      </w:r>
      <w:r w:rsidRPr="00421E44">
        <w:rPr>
          <w:rFonts w:ascii="Garamond" w:eastAsia="Times New Roman" w:hAnsi="Garamond" w:cs="Tahoma"/>
          <w:color w:val="000000"/>
          <w:lang w:eastAsia="en-IN"/>
        </w:rPr>
        <w:t xml:space="preserve"> 31,53</w:t>
      </w:r>
      <w:r w:rsidR="00421E44" w:rsidRPr="00421E44">
        <w:rPr>
          <w:rFonts w:ascii="Garamond" w:eastAsia="Times New Roman" w:hAnsi="Garamond" w:cs="Tahoma"/>
          <w:color w:val="000000"/>
          <w:lang w:eastAsia="en-IN"/>
        </w:rPr>
        <w:t xml:space="preserve">3 </w:t>
      </w:r>
      <w:r w:rsidRPr="00161A1B">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161A1B">
        <w:rPr>
          <w:rFonts w:ascii="Garamond" w:eastAsia="Times New Roman" w:hAnsi="Garamond" w:cs="Tahoma"/>
          <w:color w:val="000000"/>
          <w:lang w:eastAsia="en-IN"/>
        </w:rPr>
        <w:t xml:space="preserve"> during </w:t>
      </w:r>
      <w:r>
        <w:rPr>
          <w:rFonts w:ascii="Garamond" w:eastAsia="Times New Roman" w:hAnsi="Garamond" w:cs="Tahoma"/>
          <w:color w:val="000000"/>
          <w:lang w:eastAsia="en-IN"/>
        </w:rPr>
        <w:t>February 2022 as against a</w:t>
      </w:r>
      <w:r w:rsidRPr="00161A1B">
        <w:rPr>
          <w:rFonts w:ascii="Garamond" w:eastAsia="Times New Roman" w:hAnsi="Garamond" w:cs="Tahoma"/>
          <w:color w:val="000000"/>
          <w:lang w:eastAsia="en-IN"/>
        </w:rPr>
        <w:t xml:space="preserve"> </w:t>
      </w:r>
      <w:r>
        <w:rPr>
          <w:rFonts w:ascii="Garamond" w:eastAsia="Times New Roman" w:hAnsi="Garamond" w:cs="Tahoma"/>
          <w:color w:val="000000"/>
          <w:lang w:eastAsia="en-IN"/>
        </w:rPr>
        <w:t>net in</w:t>
      </w:r>
      <w:r w:rsidRPr="00161A1B">
        <w:rPr>
          <w:rFonts w:ascii="Garamond" w:eastAsia="Times New Roman" w:hAnsi="Garamond" w:cs="Tahoma"/>
          <w:color w:val="000000"/>
          <w:lang w:eastAsia="en-IN"/>
        </w:rPr>
        <w:t xml:space="preserve">flow of </w:t>
      </w:r>
      <w:r w:rsidRPr="00421E44">
        <w:rPr>
          <w:rFonts w:ascii="Times New Roman" w:eastAsia="Times New Roman" w:hAnsi="Times New Roman"/>
          <w:color w:val="000000"/>
          <w:lang w:eastAsia="en-IN"/>
        </w:rPr>
        <w:t>₹</w:t>
      </w:r>
      <w:r w:rsidRPr="00161A1B">
        <w:rPr>
          <w:rFonts w:ascii="Garamond" w:eastAsia="Times New Roman" w:hAnsi="Garamond" w:cs="Tahoma"/>
          <w:color w:val="000000"/>
          <w:lang w:eastAsia="en-IN"/>
        </w:rPr>
        <w:t xml:space="preserve"> 35,252</w:t>
      </w:r>
      <w:r>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161A1B">
        <w:rPr>
          <w:rFonts w:ascii="Garamond" w:eastAsia="Times New Roman" w:hAnsi="Garamond" w:cs="Tahoma"/>
          <w:color w:val="000000"/>
          <w:lang w:eastAsia="en-IN"/>
        </w:rPr>
        <w:t xml:space="preserve"> during </w:t>
      </w:r>
      <w:r>
        <w:rPr>
          <w:rFonts w:ascii="Garamond" w:eastAsia="Times New Roman" w:hAnsi="Garamond" w:cs="Tahoma"/>
          <w:color w:val="000000"/>
          <w:lang w:eastAsia="en-IN"/>
        </w:rPr>
        <w:t>January 2022</w:t>
      </w:r>
      <w:r w:rsidRPr="00161A1B">
        <w:rPr>
          <w:rFonts w:ascii="Garamond" w:eastAsia="Times New Roman" w:hAnsi="Garamond" w:cs="Tahoma"/>
          <w:color w:val="000000"/>
          <w:lang w:eastAsia="en-IN"/>
        </w:rPr>
        <w:t>.</w:t>
      </w:r>
    </w:p>
    <w:p w:rsidR="00567A3B" w:rsidRPr="00CA1FC4" w:rsidRDefault="00567A3B" w:rsidP="00421E44">
      <w:pPr>
        <w:numPr>
          <w:ilvl w:val="0"/>
          <w:numId w:val="1"/>
        </w:numPr>
        <w:pBdr>
          <w:between w:val="nil"/>
        </w:pBdr>
        <w:ind w:left="714" w:hanging="357"/>
        <w:jc w:val="both"/>
        <w:rPr>
          <w:rFonts w:ascii="Garamond" w:eastAsia="Times New Roman" w:hAnsi="Garamond" w:cs="Tahoma"/>
          <w:color w:val="000000"/>
          <w:lang w:eastAsia="en-IN"/>
        </w:rPr>
      </w:pPr>
      <w:r w:rsidRPr="00CA1FC4">
        <w:rPr>
          <w:rFonts w:ascii="Garamond" w:eastAsia="Times New Roman" w:hAnsi="Garamond" w:cs="Tahoma"/>
          <w:color w:val="000000"/>
          <w:lang w:eastAsia="en-IN"/>
        </w:rPr>
        <w:t>Gross funds mobilised by open-ended schemes during</w:t>
      </w:r>
      <w:r>
        <w:rPr>
          <w:rFonts w:ascii="Garamond" w:eastAsia="Times New Roman" w:hAnsi="Garamond" w:cs="Tahoma"/>
          <w:color w:val="000000"/>
          <w:lang w:eastAsia="en-IN"/>
        </w:rPr>
        <w:t xml:space="preserve"> February 2022</w:t>
      </w:r>
      <w:r w:rsidRPr="00CA1FC4">
        <w:rPr>
          <w:rFonts w:ascii="Garamond" w:eastAsia="Times New Roman" w:hAnsi="Garamond" w:cs="Tahoma"/>
          <w:color w:val="000000"/>
          <w:lang w:eastAsia="en-IN"/>
        </w:rPr>
        <w:t xml:space="preserve"> was </w:t>
      </w:r>
      <w:r w:rsidRPr="00CA1FC4">
        <w:rPr>
          <w:rFonts w:ascii="Times New Roman" w:eastAsia="Times New Roman" w:hAnsi="Times New Roman"/>
          <w:color w:val="000000"/>
          <w:lang w:eastAsia="en-IN"/>
        </w:rPr>
        <w:t>₹</w:t>
      </w:r>
      <w:r w:rsidRPr="00CA1FC4">
        <w:rPr>
          <w:rFonts w:ascii="Garamond" w:eastAsia="Times New Roman" w:hAnsi="Garamond" w:cs="Tahoma"/>
          <w:color w:val="000000"/>
          <w:lang w:eastAsia="en-IN"/>
        </w:rPr>
        <w:t xml:space="preserve">  </w:t>
      </w:r>
      <w:r>
        <w:rPr>
          <w:rFonts w:ascii="Garamond" w:eastAsia="Times New Roman" w:hAnsi="Garamond" w:cs="Tahoma"/>
          <w:color w:val="000000"/>
          <w:lang w:eastAsia="en-IN"/>
        </w:rPr>
        <w:t>7,65,461</w:t>
      </w:r>
      <w:r w:rsidRPr="008145F0">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as against redemption/repurchase of </w:t>
      </w:r>
      <w:r w:rsidRPr="00CA1FC4">
        <w:rPr>
          <w:rFonts w:ascii="Times New Roman" w:eastAsia="Times New Roman" w:hAnsi="Times New Roman"/>
          <w:color w:val="000000"/>
          <w:lang w:eastAsia="en-IN"/>
        </w:rPr>
        <w:t>₹</w:t>
      </w:r>
      <w:r>
        <w:rPr>
          <w:rFonts w:ascii="Garamond" w:eastAsia="Times New Roman" w:hAnsi="Garamond" w:cs="Tahoma"/>
          <w:color w:val="000000"/>
          <w:lang w:eastAsia="en-IN"/>
        </w:rPr>
        <w:t xml:space="preserve"> 7,34,</w:t>
      </w:r>
      <w:r w:rsidR="00421E44">
        <w:rPr>
          <w:rFonts w:ascii="Garamond" w:eastAsia="Times New Roman" w:hAnsi="Garamond" w:cs="Tahoma"/>
          <w:color w:val="000000"/>
          <w:lang w:eastAsia="en-IN"/>
        </w:rPr>
        <w:t>167</w:t>
      </w:r>
      <w:r>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resulting in a net </w:t>
      </w:r>
      <w:r>
        <w:rPr>
          <w:rFonts w:ascii="Garamond" w:eastAsia="Times New Roman" w:hAnsi="Garamond" w:cs="Tahoma"/>
          <w:color w:val="000000"/>
          <w:lang w:eastAsia="en-IN"/>
        </w:rPr>
        <w:t>in</w:t>
      </w:r>
      <w:r w:rsidRPr="00CA1FC4">
        <w:rPr>
          <w:rFonts w:ascii="Garamond" w:eastAsia="Times New Roman" w:hAnsi="Garamond" w:cs="Tahoma"/>
          <w:color w:val="000000"/>
          <w:lang w:eastAsia="en-IN"/>
        </w:rPr>
        <w:t xml:space="preserve">flow of </w:t>
      </w:r>
      <w:r w:rsidRPr="00CA1FC4">
        <w:rPr>
          <w:rFonts w:ascii="Times New Roman" w:eastAsia="Times New Roman" w:hAnsi="Times New Roman"/>
          <w:color w:val="000000"/>
          <w:lang w:eastAsia="en-IN"/>
        </w:rPr>
        <w:t>₹</w:t>
      </w:r>
      <w:r w:rsidRPr="00CA1FC4">
        <w:rPr>
          <w:rFonts w:ascii="Garamond" w:eastAsia="Times New Roman" w:hAnsi="Garamond" w:cs="Tahoma"/>
          <w:color w:val="000000"/>
          <w:lang w:eastAsia="en-IN"/>
        </w:rPr>
        <w:t xml:space="preserve"> </w:t>
      </w:r>
      <w:r>
        <w:rPr>
          <w:rFonts w:ascii="Garamond" w:eastAsia="Times New Roman" w:hAnsi="Garamond" w:cs="Tahoma"/>
          <w:color w:val="000000"/>
          <w:lang w:eastAsia="en-IN"/>
        </w:rPr>
        <w:t xml:space="preserve">31,294 </w:t>
      </w:r>
      <w:r w:rsidR="000654C7">
        <w:rPr>
          <w:rFonts w:ascii="Garamond" w:eastAsia="Times New Roman" w:hAnsi="Garamond" w:cs="Tahoma"/>
          <w:color w:val="000000"/>
          <w:lang w:eastAsia="en-IN"/>
        </w:rPr>
        <w:t>crore</w:t>
      </w:r>
      <w:r>
        <w:rPr>
          <w:rFonts w:ascii="Garamond" w:eastAsia="Times New Roman" w:hAnsi="Garamond" w:cs="Tahoma"/>
          <w:color w:val="000000"/>
          <w:lang w:eastAsia="en-IN"/>
        </w:rPr>
        <w:t xml:space="preserve"> to</w:t>
      </w:r>
      <w:r w:rsidRPr="00CA1FC4">
        <w:rPr>
          <w:rFonts w:ascii="Garamond" w:eastAsia="Times New Roman" w:hAnsi="Garamond" w:cs="Tahoma"/>
          <w:color w:val="000000"/>
          <w:lang w:eastAsia="en-IN"/>
        </w:rPr>
        <w:t xml:space="preserve"> open-ended schemes. Of</w:t>
      </w:r>
      <w:r>
        <w:rPr>
          <w:rFonts w:ascii="Garamond" w:eastAsia="Times New Roman" w:hAnsi="Garamond" w:cs="Tahoma"/>
          <w:color w:val="000000"/>
          <w:lang w:eastAsia="en-IN"/>
        </w:rPr>
        <w:t xml:space="preserve"> the</w:t>
      </w:r>
      <w:r w:rsidRPr="00CA1FC4">
        <w:rPr>
          <w:rFonts w:ascii="Garamond" w:eastAsia="Times New Roman" w:hAnsi="Garamond" w:cs="Tahoma"/>
          <w:color w:val="000000"/>
          <w:lang w:eastAsia="en-IN"/>
        </w:rPr>
        <w:t xml:space="preserve"> gross fund mobilisation, </w:t>
      </w:r>
      <w:r w:rsidRPr="00CA1FC4">
        <w:rPr>
          <w:rFonts w:ascii="Times New Roman" w:eastAsia="Times New Roman" w:hAnsi="Times New Roman"/>
          <w:color w:val="000000"/>
          <w:lang w:eastAsia="en-IN"/>
        </w:rPr>
        <w:t>₹</w:t>
      </w:r>
      <w:r>
        <w:rPr>
          <w:rFonts w:ascii="Garamond" w:eastAsia="Times New Roman" w:hAnsi="Garamond" w:cs="Tahoma"/>
          <w:color w:val="000000"/>
          <w:lang w:eastAsia="en-IN"/>
        </w:rPr>
        <w:t>6,85,644</w:t>
      </w:r>
      <w:r w:rsidRPr="00CA1FC4">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was mobilised through income/debt oriented schemes, </w:t>
      </w:r>
      <w:r w:rsidRPr="00CA1FC4">
        <w:rPr>
          <w:rFonts w:ascii="Times New Roman" w:eastAsia="Times New Roman" w:hAnsi="Times New Roman"/>
          <w:color w:val="000000"/>
          <w:lang w:eastAsia="en-IN"/>
        </w:rPr>
        <w:t>₹</w:t>
      </w:r>
      <w:r>
        <w:rPr>
          <w:rFonts w:ascii="Garamond" w:eastAsia="Times New Roman" w:hAnsi="Garamond" w:cs="Tahoma"/>
          <w:color w:val="000000"/>
          <w:lang w:eastAsia="en-IN"/>
        </w:rPr>
        <w:t xml:space="preserve"> 33,777</w:t>
      </w:r>
      <w:r w:rsidRPr="00161A1B">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through growth/equity oriented schemes, </w:t>
      </w:r>
      <w:r w:rsidRPr="00CA1FC4">
        <w:rPr>
          <w:rFonts w:ascii="Times New Roman" w:eastAsia="Times New Roman" w:hAnsi="Times New Roman"/>
          <w:color w:val="000000"/>
          <w:lang w:eastAsia="en-IN"/>
        </w:rPr>
        <w:t>₹</w:t>
      </w:r>
      <w:r>
        <w:rPr>
          <w:rFonts w:ascii="Garamond" w:eastAsia="Times New Roman" w:hAnsi="Garamond" w:cs="Tahoma"/>
          <w:color w:val="000000"/>
          <w:lang w:eastAsia="en-IN"/>
        </w:rPr>
        <w:t xml:space="preserve"> 16,645</w:t>
      </w:r>
      <w:r w:rsidRPr="00CA1FC4">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through hybrid schemes, </w:t>
      </w:r>
      <w:r w:rsidRPr="00CA1FC4">
        <w:rPr>
          <w:rFonts w:ascii="Times New Roman" w:eastAsia="Times New Roman" w:hAnsi="Times New Roman"/>
          <w:color w:val="000000"/>
          <w:lang w:eastAsia="en-IN"/>
        </w:rPr>
        <w:t>₹</w:t>
      </w:r>
      <w:r>
        <w:rPr>
          <w:rFonts w:ascii="Garamond" w:eastAsia="Times New Roman" w:hAnsi="Garamond" w:cs="Tahoma"/>
          <w:color w:val="000000"/>
          <w:lang w:eastAsia="en-IN"/>
        </w:rPr>
        <w:t>289</w:t>
      </w:r>
      <w:r w:rsidRPr="00CA1FC4">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through solution oriented schemes and </w:t>
      </w:r>
      <w:r w:rsidRPr="00CA1FC4">
        <w:rPr>
          <w:rFonts w:ascii="Times New Roman" w:eastAsia="Times New Roman" w:hAnsi="Times New Roman"/>
          <w:color w:val="000000"/>
          <w:lang w:eastAsia="en-IN"/>
        </w:rPr>
        <w:t>₹</w:t>
      </w:r>
      <w:r>
        <w:rPr>
          <w:rFonts w:ascii="Garamond" w:eastAsia="Times New Roman" w:hAnsi="Garamond" w:cs="Tahoma"/>
          <w:color w:val="000000"/>
          <w:lang w:eastAsia="en-IN"/>
        </w:rPr>
        <w:t>29,106</w:t>
      </w:r>
      <w:r w:rsidRPr="00CA1FC4">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CA1FC4">
        <w:rPr>
          <w:rFonts w:ascii="Garamond" w:eastAsia="Times New Roman" w:hAnsi="Garamond" w:cs="Tahoma"/>
          <w:color w:val="000000"/>
          <w:lang w:eastAsia="en-IN"/>
        </w:rPr>
        <w:t xml:space="preserve"> through other schemes. </w:t>
      </w:r>
    </w:p>
    <w:p w:rsidR="00567A3B" w:rsidRPr="002D088A" w:rsidRDefault="00567A3B" w:rsidP="00421E44">
      <w:pPr>
        <w:numPr>
          <w:ilvl w:val="0"/>
          <w:numId w:val="1"/>
        </w:numPr>
        <w:pBdr>
          <w:between w:val="nil"/>
        </w:pBdr>
        <w:ind w:left="714" w:hanging="357"/>
        <w:jc w:val="both"/>
        <w:rPr>
          <w:rFonts w:ascii="Garamond" w:eastAsia="Times New Roman" w:hAnsi="Garamond" w:cs="Tahoma"/>
          <w:color w:val="000000"/>
          <w:lang w:eastAsia="en-IN"/>
        </w:rPr>
      </w:pPr>
      <w:r w:rsidRPr="002D088A">
        <w:rPr>
          <w:rFonts w:ascii="Garamond" w:eastAsia="Times New Roman" w:hAnsi="Garamond" w:cs="Tahoma"/>
          <w:color w:val="000000"/>
          <w:lang w:eastAsia="en-IN"/>
        </w:rPr>
        <w:t>During</w:t>
      </w:r>
      <w:r>
        <w:rPr>
          <w:rFonts w:ascii="Garamond" w:eastAsia="Times New Roman" w:hAnsi="Garamond" w:cs="Tahoma"/>
          <w:color w:val="000000"/>
          <w:lang w:eastAsia="en-IN"/>
        </w:rPr>
        <w:t xml:space="preserve"> February 2022</w:t>
      </w:r>
      <w:r w:rsidRPr="002D088A">
        <w:rPr>
          <w:rFonts w:ascii="Garamond" w:eastAsia="Times New Roman" w:hAnsi="Garamond" w:cs="Tahoma"/>
          <w:color w:val="000000"/>
          <w:lang w:eastAsia="en-IN"/>
        </w:rPr>
        <w:t xml:space="preserve">, </w:t>
      </w:r>
      <w:r w:rsidRPr="00421E44">
        <w:rPr>
          <w:rFonts w:ascii="Times New Roman" w:eastAsia="Times New Roman" w:hAnsi="Times New Roman"/>
          <w:color w:val="000000"/>
          <w:lang w:eastAsia="en-IN"/>
        </w:rPr>
        <w:t>₹</w:t>
      </w:r>
      <w:r w:rsidRPr="00421E44">
        <w:rPr>
          <w:rFonts w:ascii="Garamond" w:eastAsia="Times New Roman" w:hAnsi="Garamond" w:cs="Tahoma"/>
          <w:color w:val="000000"/>
          <w:lang w:eastAsia="en-IN"/>
        </w:rPr>
        <w:t xml:space="preserve"> 60.5</w:t>
      </w:r>
      <w:r w:rsidRPr="002D088A">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2D088A">
        <w:rPr>
          <w:rFonts w:ascii="Garamond" w:eastAsia="Times New Roman" w:hAnsi="Garamond" w:cs="Tahoma"/>
          <w:color w:val="000000"/>
          <w:lang w:eastAsia="en-IN"/>
        </w:rPr>
        <w:t xml:space="preserve"> were matured/ repurchased</w:t>
      </w:r>
      <w:r w:rsidRPr="002D088A">
        <w:rPr>
          <w:rFonts w:ascii="Garamond" w:eastAsia="Times New Roman" w:hAnsi="Garamond" w:cs="Tahoma"/>
          <w:color w:val="000000"/>
          <w:vertAlign w:val="superscript"/>
          <w:lang w:eastAsia="en-IN"/>
        </w:rPr>
        <w:footnoteReference w:id="2"/>
      </w:r>
      <w:r w:rsidRPr="002D088A">
        <w:rPr>
          <w:rFonts w:ascii="Garamond" w:eastAsia="Times New Roman" w:hAnsi="Garamond" w:cs="Tahoma"/>
          <w:color w:val="000000"/>
          <w:lang w:eastAsia="en-IN"/>
        </w:rPr>
        <w:t xml:space="preserve"> by close-ended schemes while in the interval schemes, </w:t>
      </w:r>
      <w:r w:rsidRPr="002D088A">
        <w:rPr>
          <w:rFonts w:ascii="Times New Roman" w:eastAsia="Times New Roman" w:hAnsi="Times New Roman"/>
          <w:color w:val="000000"/>
          <w:lang w:eastAsia="en-IN"/>
        </w:rPr>
        <w:t>₹</w:t>
      </w:r>
      <w:r>
        <w:rPr>
          <w:rFonts w:ascii="Garamond" w:eastAsia="Times New Roman" w:hAnsi="Garamond" w:cs="Tahoma"/>
          <w:color w:val="000000"/>
          <w:lang w:eastAsia="en-IN"/>
        </w:rPr>
        <w:t>7.0</w:t>
      </w:r>
      <w:r w:rsidRPr="002D088A">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2D088A">
        <w:rPr>
          <w:rFonts w:ascii="Garamond" w:eastAsia="Times New Roman" w:hAnsi="Garamond" w:cs="Tahoma"/>
          <w:color w:val="000000"/>
          <w:lang w:eastAsia="en-IN"/>
        </w:rPr>
        <w:t xml:space="preserve"> were matured/redeemed.  </w:t>
      </w:r>
    </w:p>
    <w:p w:rsidR="00567A3B" w:rsidRDefault="00567A3B" w:rsidP="00421E44">
      <w:pPr>
        <w:numPr>
          <w:ilvl w:val="0"/>
          <w:numId w:val="1"/>
        </w:numPr>
        <w:pBdr>
          <w:between w:val="nil"/>
        </w:pBdr>
        <w:ind w:left="714" w:hanging="357"/>
        <w:jc w:val="both"/>
        <w:rPr>
          <w:rFonts w:ascii="Garamond" w:eastAsia="Times New Roman" w:hAnsi="Garamond" w:cs="Tahoma"/>
          <w:color w:val="000000"/>
          <w:lang w:eastAsia="en-IN"/>
        </w:rPr>
      </w:pPr>
      <w:r w:rsidRPr="00E92267">
        <w:rPr>
          <w:rFonts w:ascii="Garamond" w:eastAsia="Times New Roman" w:hAnsi="Garamond" w:cs="Tahoma"/>
          <w:color w:val="000000"/>
          <w:lang w:eastAsia="en-IN"/>
        </w:rPr>
        <w:t xml:space="preserve">The cumulative net assets under management of mutual funds </w:t>
      </w:r>
      <w:r w:rsidR="003B10DD">
        <w:rPr>
          <w:rFonts w:ascii="Garamond" w:eastAsia="Times New Roman" w:hAnsi="Garamond" w:cs="Tahoma"/>
          <w:color w:val="000000"/>
          <w:lang w:eastAsia="en-IN"/>
        </w:rPr>
        <w:t>declined</w:t>
      </w:r>
      <w:r w:rsidRPr="00E92267">
        <w:rPr>
          <w:rFonts w:ascii="Garamond" w:eastAsia="Times New Roman" w:hAnsi="Garamond" w:cs="Tahoma"/>
          <w:color w:val="000000"/>
          <w:lang w:eastAsia="en-IN"/>
        </w:rPr>
        <w:t xml:space="preserve"> marginally by </w:t>
      </w:r>
      <w:r>
        <w:rPr>
          <w:rFonts w:ascii="Garamond" w:eastAsia="Times New Roman" w:hAnsi="Garamond" w:cs="Tahoma"/>
          <w:color w:val="000000"/>
          <w:lang w:eastAsia="en-IN"/>
        </w:rPr>
        <w:t>1.2</w:t>
      </w:r>
      <w:r w:rsidRPr="00E92267">
        <w:rPr>
          <w:rFonts w:ascii="Garamond" w:eastAsia="Times New Roman" w:hAnsi="Garamond" w:cs="Tahoma"/>
          <w:color w:val="000000"/>
          <w:lang w:eastAsia="en-IN"/>
        </w:rPr>
        <w:t xml:space="preserve"> </w:t>
      </w:r>
      <w:r>
        <w:rPr>
          <w:rFonts w:ascii="Garamond" w:eastAsia="Times New Roman" w:hAnsi="Garamond" w:cs="Tahoma"/>
          <w:color w:val="000000"/>
          <w:lang w:eastAsia="en-IN"/>
        </w:rPr>
        <w:t xml:space="preserve">per cent to </w:t>
      </w:r>
      <w:r w:rsidRPr="00E92267">
        <w:rPr>
          <w:rFonts w:ascii="Times New Roman" w:eastAsia="Times New Roman" w:hAnsi="Times New Roman"/>
          <w:color w:val="000000"/>
          <w:lang w:eastAsia="en-IN"/>
        </w:rPr>
        <w:t>₹</w:t>
      </w:r>
      <w:r>
        <w:rPr>
          <w:rFonts w:ascii="Garamond" w:eastAsia="Times New Roman" w:hAnsi="Garamond" w:cs="Tahoma"/>
          <w:color w:val="000000"/>
          <w:lang w:eastAsia="en-IN"/>
        </w:rPr>
        <w:t>37.6</w:t>
      </w:r>
      <w:r w:rsidRPr="00E92267">
        <w:rPr>
          <w:rFonts w:ascii="Garamond" w:eastAsia="Times New Roman" w:hAnsi="Garamond" w:cs="Tahoma"/>
          <w:color w:val="000000"/>
          <w:lang w:eastAsia="en-IN"/>
        </w:rPr>
        <w:t xml:space="preserve"> </w:t>
      </w:r>
      <w:r>
        <w:rPr>
          <w:rFonts w:ascii="Garamond" w:eastAsia="Times New Roman" w:hAnsi="Garamond" w:cs="Tahoma"/>
          <w:color w:val="000000"/>
          <w:lang w:eastAsia="en-IN"/>
        </w:rPr>
        <w:t>lakh</w:t>
      </w:r>
      <w:r w:rsidRPr="00E92267">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E92267">
        <w:rPr>
          <w:rFonts w:ascii="Garamond" w:eastAsia="Times New Roman" w:hAnsi="Garamond" w:cs="Tahoma"/>
          <w:color w:val="000000"/>
          <w:lang w:eastAsia="en-IN"/>
        </w:rPr>
        <w:t xml:space="preserve"> at the end of </w:t>
      </w:r>
      <w:r>
        <w:rPr>
          <w:rFonts w:ascii="Garamond" w:eastAsia="Times New Roman" w:hAnsi="Garamond" w:cs="Tahoma"/>
          <w:color w:val="000000"/>
          <w:lang w:eastAsia="en-IN"/>
        </w:rPr>
        <w:t>February</w:t>
      </w:r>
      <w:r w:rsidRPr="00E92267">
        <w:rPr>
          <w:rFonts w:ascii="Garamond" w:eastAsia="Times New Roman" w:hAnsi="Garamond" w:cs="Tahoma"/>
          <w:color w:val="000000"/>
          <w:lang w:eastAsia="en-IN"/>
        </w:rPr>
        <w:t xml:space="preserve"> 2022</w:t>
      </w:r>
      <w:r>
        <w:rPr>
          <w:rFonts w:ascii="Garamond" w:eastAsia="Times New Roman" w:hAnsi="Garamond" w:cs="Tahoma"/>
          <w:color w:val="000000"/>
          <w:lang w:eastAsia="en-IN"/>
        </w:rPr>
        <w:t>.</w:t>
      </w:r>
    </w:p>
    <w:p w:rsidR="00567A3B" w:rsidRPr="00E92267" w:rsidRDefault="00567A3B" w:rsidP="00421E44">
      <w:pPr>
        <w:numPr>
          <w:ilvl w:val="0"/>
          <w:numId w:val="1"/>
        </w:numPr>
        <w:pBdr>
          <w:between w:val="nil"/>
        </w:pBdr>
        <w:ind w:left="714" w:hanging="357"/>
        <w:jc w:val="both"/>
        <w:rPr>
          <w:rFonts w:ascii="Garamond" w:eastAsia="Times New Roman" w:hAnsi="Garamond" w:cs="Tahoma"/>
          <w:color w:val="000000"/>
          <w:lang w:eastAsia="en-IN"/>
        </w:rPr>
      </w:pPr>
      <w:r w:rsidRPr="00E92267">
        <w:rPr>
          <w:rFonts w:ascii="Garamond" w:eastAsia="Times New Roman" w:hAnsi="Garamond" w:cs="Tahoma"/>
          <w:color w:val="000000"/>
          <w:lang w:eastAsia="en-IN"/>
        </w:rPr>
        <w:t xml:space="preserve">In the secondary market, during </w:t>
      </w:r>
      <w:r>
        <w:rPr>
          <w:rFonts w:ascii="Garamond" w:eastAsia="Times New Roman" w:hAnsi="Garamond" w:cs="Tahoma"/>
          <w:color w:val="000000"/>
          <w:lang w:eastAsia="en-IN"/>
        </w:rPr>
        <w:t>February 2022</w:t>
      </w:r>
      <w:r w:rsidRPr="00E92267">
        <w:rPr>
          <w:rFonts w:ascii="Garamond" w:eastAsia="Times New Roman" w:hAnsi="Garamond" w:cs="Tahoma"/>
          <w:color w:val="000000"/>
          <w:lang w:eastAsia="en-IN"/>
        </w:rPr>
        <w:t xml:space="preserve">, mutual funds deployed </w:t>
      </w:r>
      <w:r w:rsidRPr="00E92267">
        <w:rPr>
          <w:rFonts w:ascii="Times New Roman" w:eastAsia="Times New Roman" w:hAnsi="Times New Roman"/>
          <w:color w:val="000000"/>
          <w:lang w:eastAsia="en-IN"/>
        </w:rPr>
        <w:t>₹</w:t>
      </w:r>
      <w:r>
        <w:rPr>
          <w:rFonts w:ascii="Garamond" w:eastAsia="Times New Roman" w:hAnsi="Garamond" w:cs="Tahoma"/>
          <w:color w:val="000000"/>
          <w:lang w:eastAsia="en-IN"/>
        </w:rPr>
        <w:t>28,181</w:t>
      </w:r>
      <w:r w:rsidRPr="00E92267">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E92267">
        <w:rPr>
          <w:rFonts w:ascii="Garamond" w:eastAsia="Times New Roman" w:hAnsi="Garamond" w:cs="Tahoma"/>
          <w:color w:val="000000"/>
          <w:lang w:eastAsia="en-IN"/>
        </w:rPr>
        <w:t xml:space="preserve"> in equity schemes and </w:t>
      </w:r>
      <w:r w:rsidRPr="00E92267">
        <w:rPr>
          <w:rFonts w:ascii="Times New Roman" w:eastAsia="Times New Roman" w:hAnsi="Times New Roman"/>
          <w:color w:val="000000"/>
          <w:lang w:eastAsia="en-IN"/>
        </w:rPr>
        <w:t>₹</w:t>
      </w:r>
      <w:r>
        <w:rPr>
          <w:rFonts w:ascii="Garamond" w:eastAsia="Times New Roman" w:hAnsi="Garamond" w:cs="Tahoma"/>
          <w:color w:val="000000"/>
          <w:lang w:eastAsia="en-IN"/>
        </w:rPr>
        <w:t>5,597</w:t>
      </w:r>
      <w:r w:rsidRPr="00E92267">
        <w:rPr>
          <w:rFonts w:ascii="Garamond" w:eastAsia="Times New Roman" w:hAnsi="Garamond" w:cs="Tahoma"/>
          <w:color w:val="000000"/>
          <w:lang w:eastAsia="en-IN"/>
        </w:rPr>
        <w:t xml:space="preserve"> </w:t>
      </w:r>
      <w:r w:rsidR="000654C7">
        <w:rPr>
          <w:rFonts w:ascii="Garamond" w:eastAsia="Times New Roman" w:hAnsi="Garamond" w:cs="Tahoma"/>
          <w:color w:val="000000"/>
          <w:lang w:eastAsia="en-IN"/>
        </w:rPr>
        <w:t>crore</w:t>
      </w:r>
      <w:r w:rsidRPr="00E92267">
        <w:rPr>
          <w:rFonts w:ascii="Garamond" w:eastAsia="Times New Roman" w:hAnsi="Garamond" w:cs="Tahoma"/>
          <w:color w:val="000000"/>
          <w:lang w:eastAsia="en-IN"/>
        </w:rPr>
        <w:t xml:space="preserve"> in debt schemes.</w:t>
      </w:r>
    </w:p>
    <w:p w:rsidR="00567A3B" w:rsidRDefault="00567A3B" w:rsidP="00567A3B">
      <w:pPr>
        <w:pBdr>
          <w:between w:val="nil"/>
        </w:pBdr>
        <w:spacing w:line="276" w:lineRule="auto"/>
        <w:ind w:left="720" w:hanging="720"/>
        <w:jc w:val="center"/>
        <w:rPr>
          <w:rFonts w:ascii="Garamond" w:eastAsia="Palatino Linotype" w:hAnsi="Garamond" w:cs="Palatino Linotype"/>
          <w:b/>
        </w:rPr>
      </w:pPr>
      <w:r w:rsidRPr="00891713">
        <w:rPr>
          <w:rFonts w:ascii="Garamond" w:eastAsia="Palatino Linotype" w:hAnsi="Garamond" w:cs="Palatino Linotype"/>
          <w:b/>
        </w:rPr>
        <w:t>Figure 11: Trends in Mutual Funds Transactions in Secondary Market (</w:t>
      </w:r>
      <w:r w:rsidRPr="00891713">
        <w:rPr>
          <w:rFonts w:ascii="Times New Roman" w:eastAsia="Palatino Linotype" w:hAnsi="Times New Roman"/>
          <w:b/>
        </w:rPr>
        <w:t>₹</w:t>
      </w:r>
      <w:r w:rsidRPr="00891713">
        <w:rPr>
          <w:rFonts w:ascii="Garamond" w:eastAsia="Palatino Linotype" w:hAnsi="Garamond" w:cs="Palatino Linotype"/>
          <w:b/>
        </w:rPr>
        <w:t xml:space="preserve"> </w:t>
      </w:r>
      <w:r w:rsidR="000654C7">
        <w:rPr>
          <w:rFonts w:ascii="Garamond" w:eastAsia="Palatino Linotype" w:hAnsi="Garamond" w:cs="Palatino Linotype"/>
          <w:b/>
        </w:rPr>
        <w:t>crore</w:t>
      </w:r>
      <w:r w:rsidRPr="00891713">
        <w:rPr>
          <w:rFonts w:ascii="Garamond" w:eastAsia="Palatino Linotype" w:hAnsi="Garamond" w:cs="Palatino Linotype"/>
          <w:b/>
        </w:rPr>
        <w:t>)</w:t>
      </w:r>
    </w:p>
    <w:p w:rsidR="00567A3B" w:rsidRDefault="00567A3B" w:rsidP="00567A3B">
      <w:pPr>
        <w:pBdr>
          <w:between w:val="nil"/>
        </w:pBdr>
        <w:spacing w:line="276" w:lineRule="auto"/>
        <w:ind w:left="720" w:hanging="720"/>
        <w:jc w:val="center"/>
        <w:rPr>
          <w:rFonts w:ascii="Garamond" w:eastAsia="Palatino Linotype" w:hAnsi="Garamond" w:cs="Palatino Linotype"/>
          <w:b/>
        </w:rPr>
      </w:pPr>
      <w:r>
        <w:rPr>
          <w:noProof/>
          <w:lang w:val="en-US" w:bidi="hi-IN"/>
        </w:rPr>
        <w:lastRenderedPageBreak/>
        <w:drawing>
          <wp:inline distT="0" distB="0" distL="0" distR="0" wp14:anchorId="4AF81123" wp14:editId="29B650B8">
            <wp:extent cx="5197475" cy="2743200"/>
            <wp:effectExtent l="0" t="0" r="3175" b="0"/>
            <wp:docPr id="12" name="Chart 1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67A3B" w:rsidRDefault="00567A3B" w:rsidP="00567A3B">
      <w:pPr>
        <w:pBdr>
          <w:between w:val="nil"/>
        </w:pBdr>
        <w:spacing w:line="276" w:lineRule="auto"/>
        <w:ind w:left="720" w:hanging="720"/>
        <w:jc w:val="center"/>
        <w:rPr>
          <w:rFonts w:ascii="Garamond" w:eastAsia="Palatino Linotype" w:hAnsi="Garamond" w:cs="Palatino Linotype"/>
          <w:b/>
        </w:rPr>
      </w:pPr>
    </w:p>
    <w:p w:rsidR="00567A3B" w:rsidRDefault="00567A3B" w:rsidP="00567A3B">
      <w:pPr>
        <w:pBdr>
          <w:between w:val="nil"/>
        </w:pBdr>
        <w:spacing w:line="276" w:lineRule="auto"/>
        <w:ind w:left="720" w:hanging="720"/>
        <w:jc w:val="center"/>
        <w:rPr>
          <w:rFonts w:ascii="Garamond" w:eastAsia="Palatino Linotype" w:hAnsi="Garamond" w:cs="Palatino Linotype"/>
          <w:b/>
        </w:rPr>
      </w:pPr>
    </w:p>
    <w:p w:rsidR="00567A3B" w:rsidRPr="00891713" w:rsidRDefault="00567A3B" w:rsidP="00567A3B">
      <w:pPr>
        <w:widowControl w:val="0"/>
        <w:numPr>
          <w:ilvl w:val="0"/>
          <w:numId w:val="4"/>
        </w:numPr>
        <w:tabs>
          <w:tab w:val="left" w:pos="0"/>
        </w:tabs>
        <w:spacing w:line="276" w:lineRule="auto"/>
        <w:ind w:left="567" w:hanging="567"/>
        <w:jc w:val="both"/>
        <w:rPr>
          <w:rFonts w:ascii="Garamond" w:eastAsia="Palatino Linotype" w:hAnsi="Garamond" w:cs="Palatino Linotype"/>
          <w:b/>
        </w:rPr>
      </w:pPr>
      <w:r w:rsidRPr="00891713">
        <w:rPr>
          <w:rFonts w:ascii="Garamond" w:eastAsia="Palatino Linotype" w:hAnsi="Garamond" w:cs="Palatino Linotype"/>
          <w:b/>
        </w:rPr>
        <w:t>Trends in Investments by the Foreign Portfolio Investors (FPIs)</w:t>
      </w:r>
    </w:p>
    <w:p w:rsidR="00567A3B" w:rsidRPr="00891713" w:rsidRDefault="00567A3B" w:rsidP="00567A3B">
      <w:pPr>
        <w:widowControl w:val="0"/>
        <w:tabs>
          <w:tab w:val="left" w:pos="0"/>
        </w:tabs>
        <w:spacing w:line="276" w:lineRule="auto"/>
        <w:ind w:left="360"/>
        <w:jc w:val="both"/>
        <w:rPr>
          <w:rFonts w:ascii="Garamond" w:eastAsia="Palatino Linotype" w:hAnsi="Garamond" w:cs="Palatino Linotype"/>
          <w:b/>
        </w:rPr>
      </w:pPr>
    </w:p>
    <w:p w:rsidR="00567A3B" w:rsidRDefault="00567A3B" w:rsidP="003B10DD">
      <w:pPr>
        <w:numPr>
          <w:ilvl w:val="0"/>
          <w:numId w:val="1"/>
        </w:numPr>
        <w:pBdr>
          <w:between w:val="nil"/>
        </w:pBdr>
        <w:ind w:left="714" w:hanging="357"/>
        <w:jc w:val="both"/>
        <w:rPr>
          <w:rFonts w:ascii="Garamond" w:eastAsia="Palatino Linotype" w:hAnsi="Garamond" w:cs="Palatino Linotype"/>
        </w:rPr>
      </w:pPr>
      <w:r w:rsidRPr="007D4769">
        <w:rPr>
          <w:rFonts w:ascii="Garamond" w:eastAsia="Palatino Linotype" w:hAnsi="Garamond" w:cs="Palatino Linotype"/>
        </w:rPr>
        <w:t xml:space="preserve">The foreign portfolio outflow continued in </w:t>
      </w:r>
      <w:r>
        <w:rPr>
          <w:rFonts w:ascii="Garamond" w:eastAsia="Palatino Linotype" w:hAnsi="Garamond" w:cs="Palatino Linotype"/>
        </w:rPr>
        <w:t>February 2022</w:t>
      </w:r>
      <w:r w:rsidRPr="007D4769">
        <w:rPr>
          <w:rFonts w:ascii="Garamond" w:eastAsia="Palatino Linotype" w:hAnsi="Garamond" w:cs="Palatino Linotype"/>
        </w:rPr>
        <w:t xml:space="preserve"> as FPIs withdrew a total of </w:t>
      </w:r>
      <w:r w:rsidRPr="007D4769">
        <w:rPr>
          <w:rFonts w:ascii="Times New Roman" w:eastAsia="Palatino Linotype" w:hAnsi="Times New Roman"/>
        </w:rPr>
        <w:t>₹</w:t>
      </w:r>
      <w:r w:rsidRPr="007D4769">
        <w:rPr>
          <w:rFonts w:ascii="Garamond" w:eastAsia="Palatino Linotype" w:hAnsi="Garamond" w:cs="Palatino Linotype"/>
        </w:rPr>
        <w:t xml:space="preserve"> </w:t>
      </w:r>
      <w:r w:rsidR="003B10DD">
        <w:rPr>
          <w:rFonts w:ascii="Garamond" w:eastAsia="Palatino Linotype" w:hAnsi="Garamond" w:cs="Palatino Linotype"/>
        </w:rPr>
        <w:t>38,068</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from the Indian securities market</w:t>
      </w:r>
      <w:r w:rsidR="003B10DD">
        <w:rPr>
          <w:rFonts w:ascii="Garamond" w:eastAsia="Palatino Linotype" w:hAnsi="Garamond" w:cs="Palatino Linotype"/>
        </w:rPr>
        <w:t>, of which net outflow from equities was</w:t>
      </w:r>
      <w:r w:rsidRPr="007D4769">
        <w:rPr>
          <w:rFonts w:ascii="Garamond" w:eastAsia="Palatino Linotype" w:hAnsi="Garamond" w:cs="Palatino Linotype"/>
        </w:rPr>
        <w:t xml:space="preserve"> </w:t>
      </w:r>
      <w:r w:rsidRPr="007D4769">
        <w:rPr>
          <w:rFonts w:ascii="Times New Roman" w:eastAsia="Palatino Linotype" w:hAnsi="Times New Roman"/>
        </w:rPr>
        <w:t xml:space="preserve">₹ </w:t>
      </w:r>
      <w:r>
        <w:rPr>
          <w:rFonts w:ascii="Garamond" w:eastAsia="Palatino Linotype" w:hAnsi="Garamond" w:cs="Palatino Linotype"/>
        </w:rPr>
        <w:t>35,592</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w:t>
      </w:r>
      <w:r w:rsidR="003B10DD">
        <w:rPr>
          <w:rFonts w:ascii="Garamond" w:eastAsia="Palatino Linotype" w:hAnsi="Garamond" w:cs="Palatino Linotype"/>
        </w:rPr>
        <w:t xml:space="preserve">and that of </w:t>
      </w:r>
      <w:r w:rsidRPr="007D4769">
        <w:rPr>
          <w:rFonts w:ascii="Garamond" w:eastAsia="Palatino Linotype" w:hAnsi="Garamond" w:cs="Palatino Linotype"/>
        </w:rPr>
        <w:t xml:space="preserve">debt segment (including Debt VRR) </w:t>
      </w:r>
      <w:r w:rsidR="003B10DD">
        <w:rPr>
          <w:rFonts w:ascii="Garamond" w:eastAsia="Palatino Linotype" w:hAnsi="Garamond" w:cs="Palatino Linotype"/>
        </w:rPr>
        <w:t>was</w:t>
      </w:r>
      <w:r w:rsidRPr="007D4769">
        <w:rPr>
          <w:rFonts w:ascii="Garamond" w:eastAsia="Palatino Linotype" w:hAnsi="Garamond" w:cs="Palatino Linotype"/>
        </w:rPr>
        <w:t xml:space="preserve">  </w:t>
      </w:r>
      <w:r w:rsidRPr="007D4769">
        <w:rPr>
          <w:rFonts w:ascii="Times New Roman" w:eastAsia="Palatino Linotype" w:hAnsi="Times New Roman"/>
        </w:rPr>
        <w:t>₹</w:t>
      </w:r>
      <w:r>
        <w:rPr>
          <w:rFonts w:ascii="Garamond" w:eastAsia="Palatino Linotype" w:hAnsi="Garamond" w:cs="Palatino Linotype"/>
        </w:rPr>
        <w:t>2,586</w:t>
      </w:r>
      <w:r w:rsidRPr="007D4769">
        <w:rPr>
          <w:rFonts w:ascii="Garamond" w:eastAsia="Palatino Linotype" w:hAnsi="Garamond" w:cs="Palatino Linotype"/>
        </w:rPr>
        <w:t xml:space="preserve"> </w:t>
      </w:r>
      <w:r w:rsidR="000654C7">
        <w:rPr>
          <w:rFonts w:ascii="Garamond" w:eastAsia="Palatino Linotype" w:hAnsi="Garamond" w:cs="Palatino Linotype"/>
        </w:rPr>
        <w:t>crore</w:t>
      </w:r>
      <w:r w:rsidRPr="007D4769">
        <w:rPr>
          <w:rFonts w:ascii="Garamond" w:eastAsia="Palatino Linotype" w:hAnsi="Garamond" w:cs="Palatino Linotype"/>
        </w:rPr>
        <w:t xml:space="preserve"> during </w:t>
      </w:r>
      <w:r>
        <w:rPr>
          <w:rFonts w:ascii="Garamond" w:eastAsia="Palatino Linotype" w:hAnsi="Garamond" w:cs="Palatino Linotype"/>
        </w:rPr>
        <w:t>February 2022.</w:t>
      </w:r>
      <w:r w:rsidR="003B10DD">
        <w:rPr>
          <w:rFonts w:ascii="Garamond" w:eastAsia="Palatino Linotype" w:hAnsi="Garamond" w:cs="Palatino Linotype"/>
        </w:rPr>
        <w:t xml:space="preserve"> Hybrid securities saw net inflow of </w:t>
      </w:r>
      <w:r w:rsidR="003B10DD" w:rsidRPr="007D4769">
        <w:rPr>
          <w:rFonts w:ascii="Times New Roman" w:eastAsia="Palatino Linotype" w:hAnsi="Times New Roman"/>
        </w:rPr>
        <w:t>₹</w:t>
      </w:r>
      <w:r w:rsidR="003B10DD">
        <w:rPr>
          <w:rFonts w:ascii="Garamond" w:eastAsia="Palatino Linotype" w:hAnsi="Garamond" w:cs="Palatino Linotype"/>
        </w:rPr>
        <w:t>110 crore.</w:t>
      </w:r>
    </w:p>
    <w:p w:rsidR="00567A3B" w:rsidRPr="009860A2" w:rsidRDefault="00567A3B" w:rsidP="003B10DD">
      <w:pPr>
        <w:numPr>
          <w:ilvl w:val="0"/>
          <w:numId w:val="1"/>
        </w:numPr>
        <w:pBdr>
          <w:between w:val="nil"/>
        </w:pBdr>
        <w:ind w:left="714" w:hanging="357"/>
        <w:jc w:val="both"/>
        <w:rPr>
          <w:rFonts w:ascii="Garamond" w:eastAsia="Palatino Linotype" w:hAnsi="Garamond" w:cs="Palatino Linotype"/>
        </w:rPr>
      </w:pPr>
      <w:r>
        <w:rPr>
          <w:rFonts w:ascii="Garamond" w:eastAsia="Palatino Linotype" w:hAnsi="Garamond" w:cs="Palatino Linotype"/>
        </w:rPr>
        <w:t>W</w:t>
      </w:r>
      <w:r w:rsidRPr="007D4769">
        <w:rPr>
          <w:rFonts w:ascii="Garamond" w:eastAsia="Palatino Linotype" w:hAnsi="Garamond" w:cs="Palatino Linotype"/>
        </w:rPr>
        <w:t xml:space="preserve">ithin </w:t>
      </w:r>
      <w:r>
        <w:rPr>
          <w:rFonts w:ascii="Garamond" w:eastAsia="Palatino Linotype" w:hAnsi="Garamond" w:cs="Palatino Linotype"/>
        </w:rPr>
        <w:t xml:space="preserve">equity segment, </w:t>
      </w:r>
      <w:r w:rsidRPr="007D4769">
        <w:rPr>
          <w:rFonts w:ascii="Garamond" w:eastAsia="Palatino Linotype" w:hAnsi="Garamond" w:cs="Palatino Linotype"/>
        </w:rPr>
        <w:t xml:space="preserve">primary market route witnessed a </w:t>
      </w:r>
      <w:r>
        <w:rPr>
          <w:rFonts w:ascii="Garamond" w:eastAsia="Palatino Linotype" w:hAnsi="Garamond" w:cs="Palatino Linotype"/>
        </w:rPr>
        <w:t xml:space="preserve">net inflow of </w:t>
      </w:r>
      <w:r w:rsidRPr="007D4769">
        <w:rPr>
          <w:rFonts w:ascii="Times New Roman" w:eastAsia="Palatino Linotype" w:hAnsi="Times New Roman"/>
        </w:rPr>
        <w:t>₹</w:t>
      </w:r>
      <w:r w:rsidRPr="003B10DD">
        <w:rPr>
          <w:rFonts w:ascii="Garamond" w:eastAsia="Palatino Linotype" w:hAnsi="Garamond" w:cs="Palatino Linotype"/>
        </w:rPr>
        <w:t>3,024</w:t>
      </w:r>
      <w:r>
        <w:rPr>
          <w:rFonts w:ascii="Times New Roman" w:eastAsia="Palatino Linotype" w:hAnsi="Times New Roman"/>
        </w:rPr>
        <w:t xml:space="preserve"> </w:t>
      </w:r>
      <w:r w:rsidR="000654C7">
        <w:rPr>
          <w:rFonts w:ascii="Times New Roman" w:eastAsia="Palatino Linotype" w:hAnsi="Times New Roman"/>
        </w:rPr>
        <w:t>crore</w:t>
      </w:r>
      <w:r>
        <w:rPr>
          <w:rFonts w:ascii="Garamond" w:eastAsia="Palatino Linotype" w:hAnsi="Garamond" w:cs="Palatino Linotype"/>
        </w:rPr>
        <w:t xml:space="preserve"> while i</w:t>
      </w:r>
      <w:r w:rsidRPr="007D4769">
        <w:rPr>
          <w:rFonts w:ascii="Garamond" w:eastAsia="Palatino Linotype" w:hAnsi="Garamond" w:cs="Palatino Linotype"/>
        </w:rPr>
        <w:t xml:space="preserve">n the secondary market, FPIs remained net sellers </w:t>
      </w:r>
      <w:r>
        <w:rPr>
          <w:rFonts w:ascii="Garamond" w:eastAsia="Palatino Linotype" w:hAnsi="Garamond" w:cs="Palatino Linotype"/>
        </w:rPr>
        <w:t>with</w:t>
      </w:r>
      <w:r w:rsidRPr="007D4769">
        <w:rPr>
          <w:rFonts w:ascii="Garamond" w:eastAsia="Palatino Linotype" w:hAnsi="Garamond" w:cs="Palatino Linotype"/>
        </w:rPr>
        <w:t xml:space="preserve"> net </w:t>
      </w:r>
      <w:r w:rsidRPr="009860A2">
        <w:rPr>
          <w:rFonts w:ascii="Garamond" w:eastAsia="Palatino Linotype" w:hAnsi="Garamond" w:cs="Palatino Linotype"/>
        </w:rPr>
        <w:t xml:space="preserve">outflow of </w:t>
      </w:r>
      <w:r w:rsidRPr="009860A2">
        <w:rPr>
          <w:rFonts w:ascii="Times New Roman" w:eastAsia="Palatino Linotype" w:hAnsi="Times New Roman"/>
        </w:rPr>
        <w:t>₹</w:t>
      </w:r>
      <w:r w:rsidRPr="009860A2">
        <w:rPr>
          <w:rFonts w:ascii="Garamond" w:eastAsia="Palatino Linotype" w:hAnsi="Garamond" w:cs="Palatino Linotype"/>
        </w:rPr>
        <w:t xml:space="preserve"> 38,616 </w:t>
      </w:r>
      <w:r w:rsidR="000654C7">
        <w:rPr>
          <w:rFonts w:ascii="Garamond" w:eastAsia="Palatino Linotype" w:hAnsi="Garamond" w:cs="Palatino Linotype"/>
        </w:rPr>
        <w:t>crore</w:t>
      </w:r>
      <w:r w:rsidRPr="009860A2">
        <w:rPr>
          <w:rFonts w:ascii="Garamond" w:eastAsia="Palatino Linotype" w:hAnsi="Garamond" w:cs="Palatino Linotype"/>
        </w:rPr>
        <w:t>.</w:t>
      </w:r>
    </w:p>
    <w:p w:rsidR="00567A3B" w:rsidRPr="009860A2" w:rsidRDefault="00567A3B" w:rsidP="003B10DD">
      <w:pPr>
        <w:numPr>
          <w:ilvl w:val="0"/>
          <w:numId w:val="1"/>
        </w:numPr>
        <w:pBdr>
          <w:between w:val="nil"/>
        </w:pBdr>
        <w:ind w:left="714" w:hanging="357"/>
        <w:jc w:val="both"/>
        <w:rPr>
          <w:rFonts w:ascii="Garamond" w:eastAsia="Palatino Linotype" w:hAnsi="Garamond" w:cs="Palatino Linotype"/>
        </w:rPr>
      </w:pPr>
      <w:r w:rsidRPr="009860A2">
        <w:rPr>
          <w:rFonts w:ascii="Garamond" w:eastAsia="Palatino Linotype" w:hAnsi="Garamond" w:cs="Palatino Linotype"/>
        </w:rPr>
        <w:t xml:space="preserve">The </w:t>
      </w:r>
      <w:r w:rsidRPr="009860A2">
        <w:rPr>
          <w:rFonts w:ascii="Garamond" w:eastAsia="Palatino Linotype" w:hAnsi="Garamond" w:cs="Palatino Linotype"/>
          <w:color w:val="000000"/>
        </w:rPr>
        <w:t xml:space="preserve">AUC of FPIs in India, as at the end of February 2022 was </w:t>
      </w:r>
      <w:r w:rsidRPr="009860A2">
        <w:rPr>
          <w:rFonts w:ascii="Times New Roman" w:eastAsia="Palatino Linotype" w:hAnsi="Times New Roman"/>
          <w:color w:val="000000"/>
        </w:rPr>
        <w:t>₹</w:t>
      </w:r>
      <w:r w:rsidRPr="009860A2">
        <w:rPr>
          <w:rFonts w:ascii="Garamond" w:eastAsia="Palatino Linotype" w:hAnsi="Garamond" w:cs="Palatino Linotype"/>
          <w:color w:val="000000"/>
        </w:rPr>
        <w:t xml:space="preserve"> 49,74,869 </w:t>
      </w:r>
      <w:r w:rsidR="000654C7">
        <w:rPr>
          <w:rFonts w:ascii="Garamond" w:eastAsia="Palatino Linotype" w:hAnsi="Garamond" w:cs="Palatino Linotype"/>
          <w:color w:val="000000"/>
        </w:rPr>
        <w:t>crore</w:t>
      </w:r>
      <w:r w:rsidRPr="009860A2">
        <w:rPr>
          <w:rFonts w:ascii="Garamond" w:eastAsia="Palatino Linotype" w:hAnsi="Garamond" w:cs="Palatino Linotype"/>
          <w:color w:val="000000"/>
        </w:rPr>
        <w:t>, out of which the notional value of offshore derivative instruments (ODIs</w:t>
      </w:r>
      <w:r w:rsidR="003B10DD">
        <w:rPr>
          <w:rFonts w:ascii="Garamond" w:eastAsia="Palatino Linotype" w:hAnsi="Garamond" w:cs="Palatino Linotype"/>
          <w:color w:val="000000"/>
        </w:rPr>
        <w:t xml:space="preserve">) </w:t>
      </w:r>
      <w:r w:rsidRPr="009860A2">
        <w:rPr>
          <w:rFonts w:ascii="Garamond" w:eastAsia="Palatino Linotype" w:hAnsi="Garamond" w:cs="Palatino Linotype"/>
          <w:color w:val="000000"/>
        </w:rPr>
        <w:t xml:space="preserve">was </w:t>
      </w:r>
      <w:r w:rsidRPr="009860A2">
        <w:rPr>
          <w:rFonts w:ascii="Times New Roman" w:eastAsia="Palatino Linotype" w:hAnsi="Times New Roman"/>
          <w:color w:val="000000"/>
        </w:rPr>
        <w:t>₹</w:t>
      </w:r>
      <w:r w:rsidRPr="009860A2">
        <w:rPr>
          <w:rFonts w:ascii="Garamond" w:eastAsia="Palatino Linotype" w:hAnsi="Garamond"/>
          <w:color w:val="000000"/>
        </w:rPr>
        <w:t xml:space="preserve"> </w:t>
      </w:r>
      <w:r w:rsidRPr="009860A2">
        <w:rPr>
          <w:rFonts w:ascii="Garamond" w:eastAsia="Palatino Linotype" w:hAnsi="Garamond" w:cs="Palatino Linotype"/>
        </w:rPr>
        <w:t xml:space="preserve">89,143 </w:t>
      </w:r>
      <w:r w:rsidR="000654C7">
        <w:rPr>
          <w:rFonts w:ascii="Garamond" w:eastAsia="Palatino Linotype" w:hAnsi="Garamond" w:cs="Palatino Linotype"/>
          <w:color w:val="000000"/>
        </w:rPr>
        <w:t>crore</w:t>
      </w:r>
      <w:r w:rsidRPr="009860A2">
        <w:rPr>
          <w:rFonts w:ascii="Garamond" w:eastAsia="Palatino Linotype" w:hAnsi="Garamond" w:cs="Palatino Linotype"/>
          <w:color w:val="000000"/>
        </w:rPr>
        <w:t xml:space="preserve"> which constitutes 1.79 per cent of total AUC of FPIs.  </w:t>
      </w:r>
    </w:p>
    <w:p w:rsidR="00567A3B" w:rsidRDefault="00567A3B" w:rsidP="00567A3B">
      <w:pPr>
        <w:pBdr>
          <w:between w:val="nil"/>
        </w:pBdr>
        <w:spacing w:line="276" w:lineRule="auto"/>
        <w:ind w:left="720"/>
        <w:rPr>
          <w:rFonts w:ascii="Garamond" w:eastAsia="Palatino Linotype" w:hAnsi="Garamond" w:cs="Palatino Linotype"/>
          <w:b/>
        </w:rPr>
      </w:pPr>
    </w:p>
    <w:p w:rsidR="00567A3B" w:rsidRDefault="00567A3B" w:rsidP="00567A3B">
      <w:pPr>
        <w:pBdr>
          <w:between w:val="nil"/>
        </w:pBdr>
        <w:spacing w:line="276" w:lineRule="auto"/>
        <w:ind w:left="720"/>
        <w:rPr>
          <w:rFonts w:ascii="Garamond" w:eastAsia="Palatino Linotype" w:hAnsi="Garamond" w:cs="Palatino Linotype"/>
          <w:b/>
        </w:rPr>
      </w:pPr>
      <w:r w:rsidRPr="00891713">
        <w:rPr>
          <w:rFonts w:ascii="Garamond" w:eastAsia="Palatino Linotype" w:hAnsi="Garamond" w:cs="Palatino Linotype"/>
          <w:b/>
        </w:rPr>
        <w:t>Figure 12: Trends in FPIs’ Investments</w:t>
      </w:r>
    </w:p>
    <w:p w:rsidR="00567A3B" w:rsidRDefault="00567A3B" w:rsidP="00567A3B">
      <w:pPr>
        <w:pBdr>
          <w:between w:val="nil"/>
        </w:pBdr>
        <w:spacing w:line="276" w:lineRule="auto"/>
        <w:ind w:left="720"/>
        <w:rPr>
          <w:rFonts w:ascii="Garamond" w:eastAsia="Palatino Linotype" w:hAnsi="Garamond" w:cs="Palatino Linotype"/>
          <w:b/>
        </w:rPr>
      </w:pPr>
      <w:r>
        <w:rPr>
          <w:noProof/>
          <w:lang w:val="en-US" w:bidi="hi-IN"/>
        </w:rPr>
        <w:drawing>
          <wp:inline distT="0" distB="0" distL="0" distR="0" wp14:anchorId="524376FD" wp14:editId="0138A114">
            <wp:extent cx="5676900" cy="2828925"/>
            <wp:effectExtent l="0" t="0" r="0" b="9525"/>
            <wp:docPr id="19" name="Chart 19">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67A3B" w:rsidRDefault="00567A3B" w:rsidP="00567A3B">
      <w:pPr>
        <w:ind w:left="567"/>
        <w:rPr>
          <w:rFonts w:ascii="Garamond" w:eastAsia="Palatino Linotype" w:hAnsi="Garamond" w:cs="Palatino Linotype"/>
          <w:bCs/>
          <w:szCs w:val="22"/>
        </w:rPr>
      </w:pPr>
      <w:r w:rsidRPr="00891713">
        <w:rPr>
          <w:rFonts w:ascii="Garamond" w:eastAsia="Palatino Linotype" w:hAnsi="Garamond" w:cs="Palatino Linotype"/>
          <w:b/>
          <w:szCs w:val="22"/>
        </w:rPr>
        <w:t xml:space="preserve">Source: </w:t>
      </w:r>
      <w:r w:rsidRPr="00891713">
        <w:rPr>
          <w:rFonts w:ascii="Garamond" w:eastAsia="Palatino Linotype" w:hAnsi="Garamond" w:cs="Palatino Linotype"/>
          <w:bCs/>
          <w:szCs w:val="22"/>
        </w:rPr>
        <w:t>NSDL</w:t>
      </w:r>
    </w:p>
    <w:p w:rsidR="00567A3B" w:rsidRDefault="00567A3B" w:rsidP="00567A3B">
      <w:pPr>
        <w:ind w:left="567"/>
        <w:rPr>
          <w:rFonts w:ascii="Garamond" w:eastAsia="Palatino Linotype" w:hAnsi="Garamond" w:cs="Palatino Linotype"/>
          <w:b/>
          <w:szCs w:val="22"/>
        </w:rPr>
      </w:pPr>
    </w:p>
    <w:p w:rsidR="003B10DD" w:rsidRPr="00891713" w:rsidRDefault="003B10DD" w:rsidP="00567A3B">
      <w:pPr>
        <w:ind w:left="567"/>
        <w:rPr>
          <w:rFonts w:ascii="Garamond" w:eastAsia="Palatino Linotype" w:hAnsi="Garamond" w:cs="Palatino Linotype"/>
          <w:b/>
          <w:szCs w:val="22"/>
        </w:rPr>
      </w:pPr>
    </w:p>
    <w:p w:rsidR="00567A3B" w:rsidRPr="001F27C3" w:rsidRDefault="00567A3B" w:rsidP="00567A3B">
      <w:pPr>
        <w:widowControl w:val="0"/>
        <w:numPr>
          <w:ilvl w:val="0"/>
          <w:numId w:val="2"/>
        </w:numPr>
        <w:spacing w:line="360" w:lineRule="auto"/>
        <w:ind w:left="567" w:hanging="567"/>
        <w:jc w:val="both"/>
        <w:rPr>
          <w:rFonts w:ascii="Garamond" w:eastAsia="Palatino Linotype" w:hAnsi="Garamond" w:cs="Palatino Linotype"/>
          <w:b/>
          <w:color w:val="222A35"/>
        </w:rPr>
      </w:pPr>
      <w:bookmarkStart w:id="1" w:name="_30j0zll" w:colFirst="0" w:colLast="0"/>
      <w:bookmarkEnd w:id="1"/>
      <w:r w:rsidRPr="001F27C3">
        <w:rPr>
          <w:rFonts w:ascii="Garamond" w:eastAsia="Palatino Linotype" w:hAnsi="Garamond" w:cs="Palatino Linotype"/>
          <w:b/>
          <w:color w:val="222A35"/>
        </w:rPr>
        <w:lastRenderedPageBreak/>
        <w:t xml:space="preserve">Trends in Portfolio Management Services </w:t>
      </w:r>
    </w:p>
    <w:p w:rsidR="00567A3B" w:rsidRPr="00251BCF" w:rsidRDefault="00567A3B" w:rsidP="003B10DD">
      <w:pPr>
        <w:numPr>
          <w:ilvl w:val="0"/>
          <w:numId w:val="7"/>
        </w:numPr>
        <w:pBdr>
          <w:between w:val="nil"/>
        </w:pBdr>
        <w:ind w:left="851" w:hanging="284"/>
        <w:contextualSpacing/>
        <w:jc w:val="both"/>
        <w:rPr>
          <w:rFonts w:ascii="Garamond" w:eastAsia="Palatino Linotype" w:hAnsi="Garamond" w:cs="Palatino Linotype"/>
          <w:lang w:val="en-US"/>
        </w:rPr>
      </w:pPr>
      <w:r w:rsidRPr="00251BCF">
        <w:rPr>
          <w:rFonts w:ascii="Garamond" w:eastAsia="Palatino Linotype" w:hAnsi="Garamond" w:cs="Palatino Linotype"/>
          <w:lang w:val="en-US"/>
        </w:rPr>
        <w:t xml:space="preserve">As at end of February 2022, AUM of the portfolio management industry stood at </w:t>
      </w:r>
      <w:r w:rsidRPr="00251BCF">
        <w:rPr>
          <w:rFonts w:ascii="Times New Roman" w:eastAsia="Palatino Linotype" w:hAnsi="Times New Roman"/>
          <w:lang w:val="en-US"/>
        </w:rPr>
        <w:t>₹</w:t>
      </w:r>
      <w:r w:rsidRPr="00251BCF">
        <w:rPr>
          <w:rFonts w:ascii="Garamond" w:eastAsia="Palatino Linotype" w:hAnsi="Garamond"/>
          <w:lang w:val="en-US"/>
        </w:rPr>
        <w:t xml:space="preserve"> 23.8 </w:t>
      </w:r>
      <w:r>
        <w:rPr>
          <w:rFonts w:ascii="Garamond" w:eastAsia="Palatino Linotype" w:hAnsi="Garamond"/>
          <w:lang w:val="en-US"/>
        </w:rPr>
        <w:t>lakh</w:t>
      </w:r>
      <w:r w:rsidRPr="00251BCF">
        <w:rPr>
          <w:rFonts w:ascii="Garamond" w:eastAsia="Palatino Linotype" w:hAnsi="Garamond"/>
          <w:lang w:val="en-US"/>
        </w:rPr>
        <w:t xml:space="preserve"> </w:t>
      </w:r>
      <w:r w:rsidR="000654C7">
        <w:rPr>
          <w:rFonts w:ascii="Garamond" w:eastAsia="Palatino Linotype" w:hAnsi="Garamond"/>
          <w:lang w:val="en-US"/>
        </w:rPr>
        <w:t>crore</w:t>
      </w:r>
      <w:r w:rsidRPr="00251BCF">
        <w:rPr>
          <w:rFonts w:ascii="Garamond" w:eastAsia="Palatino Linotype" w:hAnsi="Garamond"/>
          <w:lang w:val="en-US"/>
        </w:rPr>
        <w:t xml:space="preserve"> as compared to </w:t>
      </w:r>
      <w:r w:rsidRPr="00251BCF">
        <w:rPr>
          <w:rFonts w:ascii="Times New Roman" w:eastAsia="Palatino Linotype" w:hAnsi="Times New Roman"/>
          <w:lang w:val="en-US"/>
        </w:rPr>
        <w:t>₹</w:t>
      </w:r>
      <w:r w:rsidRPr="00251BCF">
        <w:rPr>
          <w:rFonts w:ascii="Garamond" w:eastAsia="Palatino Linotype" w:hAnsi="Garamond" w:cs="Palatino Linotype"/>
          <w:lang w:val="en-US"/>
        </w:rPr>
        <w:t xml:space="preserve">23.7 </w:t>
      </w:r>
      <w:r>
        <w:rPr>
          <w:rFonts w:ascii="Garamond" w:eastAsia="Palatino Linotype" w:hAnsi="Garamond" w:cs="Palatino Linotype"/>
          <w:lang w:val="en-US"/>
        </w:rPr>
        <w:t>lakh</w:t>
      </w:r>
      <w:r w:rsidRPr="00251BCF">
        <w:rPr>
          <w:rFonts w:ascii="Garamond" w:eastAsia="Palatino Linotype" w:hAnsi="Garamond" w:cs="Palatino Linotype"/>
          <w:lang w:val="en-US"/>
        </w:rPr>
        <w:t xml:space="preserve"> </w:t>
      </w:r>
      <w:r w:rsidR="000654C7">
        <w:rPr>
          <w:rFonts w:ascii="Garamond" w:eastAsia="Palatino Linotype" w:hAnsi="Garamond" w:cs="Palatino Linotype"/>
          <w:lang w:val="en-US"/>
        </w:rPr>
        <w:t>crore</w:t>
      </w:r>
      <w:r w:rsidRPr="00251BCF">
        <w:rPr>
          <w:rFonts w:ascii="Garamond" w:eastAsia="Palatino Linotype" w:hAnsi="Garamond" w:cs="Palatino Linotype"/>
          <w:lang w:val="en-US"/>
        </w:rPr>
        <w:t xml:space="preserve"> at the end of January 2022. On a year on year basis the total AUM of portfolio management services witnessed a growth of 16.6 per cent. </w:t>
      </w:r>
    </w:p>
    <w:p w:rsidR="00567A3B" w:rsidRPr="00251BCF" w:rsidRDefault="00567A3B" w:rsidP="003B10DD">
      <w:pPr>
        <w:numPr>
          <w:ilvl w:val="0"/>
          <w:numId w:val="7"/>
        </w:numPr>
        <w:pBdr>
          <w:between w:val="nil"/>
        </w:pBdr>
        <w:ind w:left="851" w:hanging="284"/>
        <w:contextualSpacing/>
        <w:jc w:val="both"/>
        <w:rPr>
          <w:rFonts w:ascii="Garamond" w:eastAsia="Palatino Linotype" w:hAnsi="Garamond" w:cs="Palatino Linotype"/>
          <w:color w:val="000000"/>
          <w:lang w:val="en-US"/>
        </w:rPr>
      </w:pPr>
      <w:r w:rsidRPr="00251BCF">
        <w:rPr>
          <w:rFonts w:ascii="Garamond" w:eastAsia="Palatino Linotype" w:hAnsi="Garamond" w:cs="Palatino Linotype"/>
          <w:color w:val="000000"/>
          <w:lang w:val="en-US"/>
        </w:rPr>
        <w:t>There were 1,37,858 clients in portfolio management industry as at the end of February 2022, of which 1,28,298 clients were of discretionary services category, 7,684 clients in non-discretionary services category and 1,876 clients availed advisory services of portfolio managers.</w:t>
      </w:r>
    </w:p>
    <w:p w:rsidR="00567A3B" w:rsidRPr="008E42C8" w:rsidRDefault="00567A3B" w:rsidP="00567A3B">
      <w:pPr>
        <w:pBdr>
          <w:between w:val="nil"/>
        </w:pBdr>
        <w:spacing w:after="200" w:line="360" w:lineRule="auto"/>
        <w:ind w:left="851"/>
        <w:contextualSpacing/>
        <w:jc w:val="both"/>
        <w:rPr>
          <w:rFonts w:ascii="Garamond" w:eastAsia="Palatino Linotype" w:hAnsi="Garamond" w:cs="Palatino Linotype"/>
          <w:color w:val="000000"/>
          <w:lang w:val="en-US"/>
        </w:rPr>
      </w:pPr>
    </w:p>
    <w:p w:rsidR="00567A3B" w:rsidRPr="00891713" w:rsidRDefault="00567A3B" w:rsidP="00567A3B">
      <w:pPr>
        <w:widowControl w:val="0"/>
        <w:numPr>
          <w:ilvl w:val="0"/>
          <w:numId w:val="2"/>
        </w:numPr>
        <w:spacing w:line="360" w:lineRule="auto"/>
        <w:rPr>
          <w:rFonts w:ascii="Garamond" w:eastAsia="Palatino Linotype" w:hAnsi="Garamond" w:cs="Palatino Linotype"/>
          <w:b/>
          <w:color w:val="222A35"/>
        </w:rPr>
      </w:pPr>
      <w:r w:rsidRPr="00891713">
        <w:rPr>
          <w:rFonts w:ascii="Garamond" w:eastAsia="Palatino Linotype" w:hAnsi="Garamond" w:cs="Palatino Linotype"/>
          <w:b/>
          <w:color w:val="222A35"/>
        </w:rPr>
        <w:t>Trends in Substantial Acquisition of Shares and Takeovers</w:t>
      </w:r>
    </w:p>
    <w:p w:rsidR="00567A3B" w:rsidRPr="00DB765E" w:rsidRDefault="00567A3B" w:rsidP="005D3A87">
      <w:pPr>
        <w:ind w:left="720"/>
        <w:jc w:val="both"/>
        <w:rPr>
          <w:rFonts w:ascii="Garamond" w:eastAsia="Palatino Linotype" w:hAnsi="Garamond" w:cs="Palatino Linotype"/>
        </w:rPr>
      </w:pPr>
      <w:r w:rsidRPr="00891713">
        <w:rPr>
          <w:rFonts w:ascii="Garamond" w:eastAsia="Palatino Linotype" w:hAnsi="Garamond" w:cs="Palatino Linotype"/>
        </w:rPr>
        <w:t xml:space="preserve">During </w:t>
      </w:r>
      <w:r>
        <w:rPr>
          <w:rFonts w:ascii="Garamond" w:eastAsia="Palatino Linotype" w:hAnsi="Garamond" w:cs="Palatino Linotype"/>
        </w:rPr>
        <w:t xml:space="preserve">February 2022, seven </w:t>
      </w:r>
      <w:r w:rsidRPr="00891713">
        <w:rPr>
          <w:rFonts w:ascii="Garamond" w:eastAsia="Palatino Linotype" w:hAnsi="Garamond" w:cs="Palatino Linotype"/>
        </w:rPr>
        <w:t xml:space="preserve">open offers with offer value of </w:t>
      </w:r>
      <w:r w:rsidRPr="00891713">
        <w:rPr>
          <w:rFonts w:ascii="Times New Roman" w:eastAsia="Palatino Linotype" w:hAnsi="Times New Roman"/>
        </w:rPr>
        <w:t>₹</w:t>
      </w:r>
      <w:r>
        <w:rPr>
          <w:rFonts w:ascii="Times New Roman" w:eastAsia="Palatino Linotype" w:hAnsi="Times New Roman"/>
        </w:rPr>
        <w:t xml:space="preserve"> </w:t>
      </w:r>
      <w:r>
        <w:rPr>
          <w:rFonts w:ascii="Garamond" w:eastAsia="Palatino Linotype" w:hAnsi="Garamond" w:cs="Palatino Linotype"/>
        </w:rPr>
        <w:t>194</w:t>
      </w:r>
      <w:r w:rsidRPr="00891713">
        <w:rPr>
          <w:rFonts w:ascii="Garamond" w:eastAsia="Palatino Linotype" w:hAnsi="Garamond" w:cs="Palatino Linotype"/>
        </w:rPr>
        <w:t xml:space="preserve"> </w:t>
      </w:r>
      <w:r w:rsidR="000654C7">
        <w:rPr>
          <w:rFonts w:ascii="Garamond" w:eastAsia="Palatino Linotype" w:hAnsi="Garamond" w:cs="Palatino Linotype"/>
        </w:rPr>
        <w:t>crore</w:t>
      </w:r>
      <w:r w:rsidRPr="00891713">
        <w:rPr>
          <w:rFonts w:ascii="Garamond" w:eastAsia="Palatino Linotype" w:hAnsi="Garamond" w:cs="Palatino Linotype"/>
        </w:rPr>
        <w:t xml:space="preserve"> were closed under SEBI (Substantial Acquisition of Shares and Takeover) Regulations, 2011 as against </w:t>
      </w:r>
      <w:r w:rsidR="005D3A87">
        <w:rPr>
          <w:rFonts w:ascii="Garamond" w:eastAsia="Palatino Linotype" w:hAnsi="Garamond" w:cs="Palatino Linotype"/>
        </w:rPr>
        <w:t>seven</w:t>
      </w:r>
      <w:r w:rsidRPr="00B77199">
        <w:rPr>
          <w:rFonts w:ascii="Garamond" w:eastAsia="Palatino Linotype" w:hAnsi="Garamond" w:cs="Palatino Linotype"/>
        </w:rPr>
        <w:t xml:space="preserve"> open offers with offer value of </w:t>
      </w:r>
      <w:r w:rsidRPr="00B77199">
        <w:rPr>
          <w:rFonts w:ascii="Times New Roman" w:eastAsia="Palatino Linotype" w:hAnsi="Times New Roman"/>
        </w:rPr>
        <w:t>₹</w:t>
      </w:r>
      <w:r>
        <w:rPr>
          <w:rFonts w:ascii="Garamond" w:eastAsia="Palatino Linotype" w:hAnsi="Garamond" w:cs="Palatino Linotype"/>
        </w:rPr>
        <w:t>1988</w:t>
      </w:r>
      <w:r w:rsidRPr="00B77199">
        <w:rPr>
          <w:rFonts w:ascii="Garamond" w:eastAsia="Palatino Linotype" w:hAnsi="Garamond" w:cs="Palatino Linotype"/>
        </w:rPr>
        <w:t xml:space="preserve"> </w:t>
      </w:r>
      <w:r w:rsidR="000654C7">
        <w:rPr>
          <w:rFonts w:ascii="Garamond" w:eastAsia="Palatino Linotype" w:hAnsi="Garamond" w:cs="Palatino Linotype"/>
        </w:rPr>
        <w:t>crore</w:t>
      </w:r>
      <w:r w:rsidRPr="00B77199">
        <w:rPr>
          <w:rFonts w:ascii="Garamond" w:eastAsia="Palatino Linotype" w:hAnsi="Garamond" w:cs="Palatino Linotype"/>
        </w:rPr>
        <w:t xml:space="preserve"> </w:t>
      </w:r>
      <w:r w:rsidRPr="00891713">
        <w:rPr>
          <w:rFonts w:ascii="Garamond" w:eastAsia="Palatino Linotype" w:hAnsi="Garamond" w:cs="Palatino Linotype"/>
        </w:rPr>
        <w:t xml:space="preserve">closed in </w:t>
      </w:r>
      <w:r>
        <w:rPr>
          <w:rFonts w:ascii="Garamond" w:eastAsia="Palatino Linotype" w:hAnsi="Garamond" w:cs="Palatino Linotype"/>
        </w:rPr>
        <w:t>January 2022</w:t>
      </w:r>
      <w:r w:rsidRPr="00891713">
        <w:rPr>
          <w:rFonts w:ascii="Garamond" w:eastAsia="Palatino Linotype" w:hAnsi="Garamond" w:cs="Palatino Linotype"/>
        </w:rPr>
        <w:t xml:space="preserve">. </w:t>
      </w:r>
    </w:p>
    <w:p w:rsidR="00567A3B" w:rsidRDefault="00567A3B" w:rsidP="00567A3B">
      <w:pPr>
        <w:jc w:val="center"/>
        <w:rPr>
          <w:rFonts w:ascii="Garamond" w:eastAsia="Palatino Linotype" w:hAnsi="Garamond" w:cs="Palatino Linotype"/>
          <w:b/>
          <w:color w:val="222A35"/>
        </w:rPr>
      </w:pPr>
    </w:p>
    <w:p w:rsidR="00567A3B" w:rsidRDefault="00567A3B" w:rsidP="00567A3B">
      <w:pPr>
        <w:jc w:val="center"/>
        <w:rPr>
          <w:rFonts w:ascii="Garamond" w:eastAsia="Palatino Linotype" w:hAnsi="Garamond" w:cs="Palatino Linotype"/>
          <w:b/>
          <w:color w:val="222A35"/>
        </w:rPr>
      </w:pPr>
      <w:r w:rsidRPr="00891713">
        <w:rPr>
          <w:rFonts w:ascii="Garamond" w:eastAsia="Palatino Linotype" w:hAnsi="Garamond" w:cs="Palatino Linotype"/>
          <w:b/>
          <w:color w:val="222A35"/>
        </w:rPr>
        <w:t>Figure 13: Details of Open Offers Closed under the SEBI (SAST) Regulations</w:t>
      </w:r>
    </w:p>
    <w:p w:rsidR="00567A3B" w:rsidRDefault="00567A3B" w:rsidP="00567A3B">
      <w:pPr>
        <w:jc w:val="center"/>
        <w:rPr>
          <w:rFonts w:ascii="Garamond" w:eastAsia="Palatino Linotype" w:hAnsi="Garamond" w:cs="Palatino Linotype"/>
          <w:b/>
          <w:color w:val="222A35"/>
        </w:rPr>
      </w:pPr>
    </w:p>
    <w:p w:rsidR="00567A3B" w:rsidRDefault="00567A3B" w:rsidP="00567A3B">
      <w:pPr>
        <w:rPr>
          <w:rFonts w:ascii="Garamond" w:eastAsia="Palatino Linotype" w:hAnsi="Garamond" w:cs="Palatino Linotype"/>
          <w:b/>
          <w:color w:val="222A35"/>
        </w:rPr>
      </w:pPr>
      <w:r>
        <w:rPr>
          <w:noProof/>
          <w:lang w:val="en-US" w:bidi="hi-IN"/>
        </w:rPr>
        <w:drawing>
          <wp:inline distT="0" distB="0" distL="0" distR="0" wp14:anchorId="74883595" wp14:editId="287C939C">
            <wp:extent cx="5657850" cy="2676526"/>
            <wp:effectExtent l="0" t="0" r="0" b="9525"/>
            <wp:docPr id="25" name="Chart 2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67A3B" w:rsidRPr="00482AEA" w:rsidRDefault="00567A3B" w:rsidP="00567A3B">
      <w:pPr>
        <w:spacing w:line="276" w:lineRule="auto"/>
        <w:jc w:val="center"/>
        <w:rPr>
          <w:rFonts w:ascii="Garamond" w:eastAsia="Palatino Linotype" w:hAnsi="Garamond" w:cs="Palatino Linotype"/>
          <w:b/>
          <w:color w:val="222A35"/>
        </w:rPr>
      </w:pPr>
    </w:p>
    <w:p w:rsidR="00567A3B" w:rsidRPr="00482AEA" w:rsidRDefault="00567A3B" w:rsidP="00567A3B">
      <w:pPr>
        <w:widowControl w:val="0"/>
        <w:ind w:left="-284"/>
        <w:jc w:val="both"/>
        <w:rPr>
          <w:rFonts w:ascii="Garamond" w:eastAsia="Times New Roman" w:hAnsi="Garamond"/>
          <w:b/>
          <w:color w:val="0F0684"/>
        </w:rPr>
      </w:pPr>
      <w:r w:rsidRPr="00482AEA">
        <w:rPr>
          <w:rFonts w:ascii="Garamond" w:eastAsia="Calibri" w:hAnsi="Garamond"/>
          <w:b/>
          <w:color w:val="0F0684"/>
        </w:rPr>
        <w:t>IX.     Commodity Derivatives Markets</w:t>
      </w:r>
    </w:p>
    <w:p w:rsidR="00567A3B" w:rsidRPr="00482AEA" w:rsidRDefault="00567A3B" w:rsidP="00567A3B">
      <w:pPr>
        <w:ind w:left="720"/>
        <w:contextualSpacing/>
        <w:jc w:val="both"/>
        <w:rPr>
          <w:rFonts w:ascii="Garamond" w:eastAsia="Times New Roman" w:hAnsi="Garamond"/>
          <w:b/>
          <w:color w:val="000000"/>
          <w:lang w:val="en-US"/>
        </w:rPr>
      </w:pPr>
    </w:p>
    <w:p w:rsidR="00567A3B" w:rsidRPr="00482AEA" w:rsidRDefault="00567A3B" w:rsidP="00567A3B">
      <w:pPr>
        <w:numPr>
          <w:ilvl w:val="0"/>
          <w:numId w:val="5"/>
        </w:numPr>
        <w:tabs>
          <w:tab w:val="left" w:pos="567"/>
        </w:tabs>
        <w:ind w:left="0" w:firstLine="0"/>
        <w:contextualSpacing/>
        <w:jc w:val="both"/>
        <w:rPr>
          <w:rFonts w:ascii="Garamond" w:eastAsia="Times New Roman" w:hAnsi="Garamond"/>
          <w:b/>
          <w:color w:val="000000"/>
          <w:lang w:val="en-US"/>
        </w:rPr>
      </w:pPr>
      <w:r w:rsidRPr="00482AEA">
        <w:rPr>
          <w:rFonts w:ascii="Garamond" w:eastAsia="Times New Roman" w:hAnsi="Garamond"/>
          <w:b/>
          <w:color w:val="000000"/>
          <w:lang w:val="en-US"/>
        </w:rPr>
        <w:t>Market Trends</w:t>
      </w:r>
    </w:p>
    <w:p w:rsidR="00567A3B" w:rsidRPr="00BD22C5" w:rsidRDefault="00567A3B" w:rsidP="00567A3B">
      <w:pPr>
        <w:ind w:left="567"/>
        <w:contextualSpacing/>
        <w:jc w:val="both"/>
        <w:rPr>
          <w:rFonts w:ascii="Garamond" w:eastAsia="Calibri" w:hAnsi="Garamond"/>
          <w:strike/>
          <w:lang w:val="en-US"/>
        </w:rPr>
      </w:pPr>
    </w:p>
    <w:p w:rsidR="00567A3B" w:rsidRPr="00E73EBA" w:rsidRDefault="00567A3B" w:rsidP="005D3A87">
      <w:pPr>
        <w:numPr>
          <w:ilvl w:val="0"/>
          <w:numId w:val="7"/>
        </w:numPr>
        <w:pBdr>
          <w:between w:val="nil"/>
        </w:pBdr>
        <w:ind w:left="851" w:hanging="284"/>
        <w:contextualSpacing/>
        <w:jc w:val="both"/>
        <w:rPr>
          <w:rFonts w:ascii="Garamond" w:eastAsia="Palatino Linotype" w:hAnsi="Garamond"/>
          <w:lang w:val="en-US"/>
        </w:rPr>
      </w:pPr>
      <w:r w:rsidRPr="00E73EBA">
        <w:rPr>
          <w:rFonts w:ascii="Garamond" w:eastAsia="Palatino Linotype" w:hAnsi="Garamond"/>
          <w:lang w:val="en-US"/>
        </w:rPr>
        <w:t xml:space="preserve">At the end of February 2022, MCX iCOMDEX composite index increased by 6.1 per cent (M-o-M).  This increase was mainly driven by upward trend in most of the underlying commodities except natural gas and cotton. </w:t>
      </w:r>
    </w:p>
    <w:p w:rsidR="00567A3B" w:rsidRPr="00E73EBA" w:rsidRDefault="00567A3B" w:rsidP="005D3A87">
      <w:pPr>
        <w:numPr>
          <w:ilvl w:val="0"/>
          <w:numId w:val="7"/>
        </w:numPr>
        <w:pBdr>
          <w:between w:val="nil"/>
        </w:pBdr>
        <w:ind w:left="851" w:hanging="284"/>
        <w:contextualSpacing/>
        <w:jc w:val="both"/>
        <w:rPr>
          <w:rFonts w:ascii="Garamond" w:eastAsia="Palatino Linotype" w:hAnsi="Garamond"/>
          <w:lang w:val="en-US"/>
        </w:rPr>
      </w:pPr>
      <w:r w:rsidRPr="00E73EBA">
        <w:rPr>
          <w:rFonts w:ascii="Garamond" w:eastAsia="Palatino Linotype" w:hAnsi="Garamond"/>
          <w:lang w:val="en-US"/>
        </w:rPr>
        <w:t>Amongst sectorial indices, MCX iCOMDEX Bullion index increased by 6.6 per cent, followed by MCX iCOMDEX Base Metal (6.2%) and Energy Index (5.1%)</w:t>
      </w:r>
    </w:p>
    <w:p w:rsidR="00567A3B" w:rsidRPr="00E73EBA" w:rsidRDefault="00567A3B" w:rsidP="005D3A87">
      <w:pPr>
        <w:numPr>
          <w:ilvl w:val="0"/>
          <w:numId w:val="7"/>
        </w:numPr>
        <w:pBdr>
          <w:between w:val="nil"/>
        </w:pBdr>
        <w:ind w:left="851" w:hanging="284"/>
        <w:contextualSpacing/>
        <w:jc w:val="both"/>
        <w:rPr>
          <w:rFonts w:ascii="Garamond" w:eastAsia="Palatino Linotype" w:hAnsi="Garamond"/>
          <w:lang w:val="en-US"/>
        </w:rPr>
      </w:pPr>
      <w:r w:rsidRPr="00E73EBA">
        <w:rPr>
          <w:rFonts w:ascii="Garamond" w:eastAsia="Palatino Linotype" w:hAnsi="Garamond"/>
          <w:lang w:val="en-US"/>
        </w:rPr>
        <w:t xml:space="preserve">NKrishi index though decreased by 1.3 per cent. A mixed price trend was observed among its constituent commodities.  A downtrend was led guar seed (7.5%) and Cotton Seed Oil Cake (3.7%), while an uptrend was led by castor seed (8.9%), Jeera (8.7%) and turmeric (6.7%). </w:t>
      </w:r>
    </w:p>
    <w:p w:rsidR="00567A3B" w:rsidRPr="00E73EBA" w:rsidRDefault="00567A3B" w:rsidP="005D3A87">
      <w:pPr>
        <w:numPr>
          <w:ilvl w:val="0"/>
          <w:numId w:val="7"/>
        </w:numPr>
        <w:pBdr>
          <w:between w:val="nil"/>
        </w:pBdr>
        <w:ind w:left="851" w:hanging="284"/>
        <w:contextualSpacing/>
        <w:jc w:val="both"/>
        <w:rPr>
          <w:rFonts w:ascii="Garamond" w:eastAsia="Palatino Linotype" w:hAnsi="Garamond"/>
          <w:lang w:val="en-US"/>
        </w:rPr>
      </w:pPr>
      <w:r w:rsidRPr="00E73EBA">
        <w:rPr>
          <w:rFonts w:ascii="Garamond" w:eastAsia="Palatino Linotype" w:hAnsi="Garamond"/>
          <w:lang w:val="en-US"/>
        </w:rPr>
        <w:t xml:space="preserve">Movement in MCX iCOMDEX composite Index and NKrishi Index during February 2022 is given in Figure 14 and the monthly data of these indices is provided in Table 64. </w:t>
      </w:r>
    </w:p>
    <w:p w:rsidR="005D3A87" w:rsidRDefault="005D3A87" w:rsidP="00567A3B">
      <w:pPr>
        <w:contextualSpacing/>
        <w:rPr>
          <w:rFonts w:ascii="Garamond" w:eastAsia="Times New Roman" w:hAnsi="Garamond"/>
          <w:b/>
          <w:lang w:val="en-US"/>
        </w:rPr>
      </w:pPr>
    </w:p>
    <w:p w:rsidR="005D3A87" w:rsidRDefault="005D3A87" w:rsidP="00567A3B">
      <w:pPr>
        <w:contextualSpacing/>
        <w:rPr>
          <w:rFonts w:ascii="Garamond" w:eastAsia="Times New Roman" w:hAnsi="Garamond"/>
          <w:b/>
          <w:lang w:val="en-US"/>
        </w:rPr>
      </w:pPr>
    </w:p>
    <w:p w:rsidR="005D3A87" w:rsidRDefault="005D3A87" w:rsidP="00567A3B">
      <w:pPr>
        <w:contextualSpacing/>
        <w:rPr>
          <w:rFonts w:ascii="Garamond" w:eastAsia="Times New Roman" w:hAnsi="Garamond"/>
          <w:b/>
          <w:lang w:val="en-US"/>
        </w:rPr>
      </w:pPr>
    </w:p>
    <w:p w:rsidR="00555598" w:rsidRDefault="00555598" w:rsidP="00567A3B">
      <w:pPr>
        <w:contextualSpacing/>
        <w:rPr>
          <w:rFonts w:ascii="Garamond" w:eastAsia="Times New Roman" w:hAnsi="Garamond"/>
          <w:b/>
          <w:lang w:val="en-US"/>
        </w:rPr>
      </w:pPr>
    </w:p>
    <w:p w:rsidR="00567A3B" w:rsidRDefault="00567A3B" w:rsidP="00567A3B">
      <w:pPr>
        <w:contextualSpacing/>
        <w:rPr>
          <w:rFonts w:ascii="Garamond" w:eastAsia="Times New Roman" w:hAnsi="Garamond"/>
          <w:b/>
          <w:lang w:val="en-US"/>
        </w:rPr>
      </w:pPr>
      <w:r w:rsidRPr="00891713">
        <w:rPr>
          <w:rFonts w:ascii="Garamond" w:eastAsia="Times New Roman" w:hAnsi="Garamond"/>
          <w:b/>
          <w:lang w:val="en-US"/>
        </w:rPr>
        <w:lastRenderedPageBreak/>
        <w:t xml:space="preserve">Figure 14: Movement of Commodity Derivatives Market Indices during </w:t>
      </w:r>
      <w:r>
        <w:rPr>
          <w:rFonts w:ascii="Garamond" w:eastAsia="Times New Roman" w:hAnsi="Garamond"/>
          <w:b/>
          <w:lang w:val="en-US"/>
        </w:rPr>
        <w:t>February 2022</w:t>
      </w:r>
    </w:p>
    <w:p w:rsidR="00567A3B" w:rsidRDefault="00567A3B" w:rsidP="00567A3B">
      <w:pPr>
        <w:contextualSpacing/>
        <w:jc w:val="center"/>
        <w:rPr>
          <w:rFonts w:ascii="Garamond" w:eastAsia="Times New Roman" w:hAnsi="Garamond"/>
          <w:b/>
          <w:lang w:val="en-US"/>
        </w:rPr>
      </w:pPr>
      <w:r w:rsidRPr="00475965">
        <w:rPr>
          <w:noProof/>
          <w:lang w:val="en-US" w:bidi="hi-IN"/>
        </w:rPr>
        <w:drawing>
          <wp:inline distT="0" distB="0" distL="0" distR="0" wp14:anchorId="4E379E10" wp14:editId="46B7B636">
            <wp:extent cx="5343525" cy="2943225"/>
            <wp:effectExtent l="0" t="0" r="9525" b="9525"/>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67A3B" w:rsidRPr="00891713" w:rsidRDefault="00567A3B" w:rsidP="00567A3B">
      <w:pPr>
        <w:spacing w:line="480" w:lineRule="auto"/>
        <w:ind w:left="720"/>
        <w:contextualSpacing/>
        <w:rPr>
          <w:rFonts w:ascii="Garamond" w:eastAsia="Calibri" w:hAnsi="Garamond" w:cs="Arial"/>
          <w:szCs w:val="22"/>
          <w:lang w:val="en-US"/>
        </w:rPr>
      </w:pPr>
      <w:r w:rsidRPr="00891713">
        <w:rPr>
          <w:rFonts w:ascii="Garamond" w:eastAsia="Calibri" w:hAnsi="Garamond" w:cs="Arial"/>
          <w:b/>
          <w:bCs/>
          <w:szCs w:val="22"/>
          <w:lang w:val="en-US"/>
        </w:rPr>
        <w:t xml:space="preserve">Source: </w:t>
      </w:r>
      <w:r w:rsidRPr="00891713">
        <w:rPr>
          <w:rFonts w:ascii="Garamond" w:eastAsia="Calibri" w:hAnsi="Garamond" w:cs="Arial"/>
          <w:szCs w:val="22"/>
          <w:lang w:val="en-US"/>
        </w:rPr>
        <w:t>MCX and NCDEX</w:t>
      </w:r>
    </w:p>
    <w:p w:rsidR="00567A3B" w:rsidRDefault="00567A3B" w:rsidP="00567A3B">
      <w:pPr>
        <w:jc w:val="both"/>
        <w:rPr>
          <w:rFonts w:ascii="Garamond" w:eastAsia="Calibri" w:hAnsi="Garamond" w:cs="Arial"/>
          <w:b/>
          <w:bCs/>
        </w:rPr>
      </w:pPr>
      <w:r w:rsidRPr="00891713">
        <w:rPr>
          <w:rFonts w:ascii="Garamond" w:eastAsia="Calibri" w:hAnsi="Garamond" w:cs="Arial"/>
          <w:b/>
          <w:bCs/>
        </w:rPr>
        <w:t xml:space="preserve">             Table 4: Snapshot of Indian Commodity Derivatives Markets</w:t>
      </w:r>
    </w:p>
    <w:tbl>
      <w:tblPr>
        <w:tblW w:w="4974" w:type="pct"/>
        <w:tblLook w:val="04A0" w:firstRow="1" w:lastRow="0" w:firstColumn="1" w:lastColumn="0" w:noHBand="0" w:noVBand="1"/>
      </w:tblPr>
      <w:tblGrid>
        <w:gridCol w:w="2287"/>
        <w:gridCol w:w="2827"/>
        <w:gridCol w:w="3126"/>
        <w:gridCol w:w="1577"/>
      </w:tblGrid>
      <w:tr w:rsidR="00567A3B" w:rsidRPr="00946045" w:rsidTr="0026016F">
        <w:trPr>
          <w:trHeight w:val="398"/>
        </w:trPr>
        <w:tc>
          <w:tcPr>
            <w:tcW w:w="116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jc w:val="cente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Items</w:t>
            </w:r>
          </w:p>
        </w:tc>
        <w:tc>
          <w:tcPr>
            <w:tcW w:w="1440" w:type="pct"/>
            <w:tcBorders>
              <w:top w:val="single" w:sz="8" w:space="0" w:color="auto"/>
              <w:left w:val="nil"/>
              <w:bottom w:val="single" w:sz="8" w:space="0" w:color="auto"/>
              <w:right w:val="single" w:sz="8" w:space="0" w:color="auto"/>
            </w:tcBorders>
            <w:shd w:val="clear" w:color="auto" w:fill="auto"/>
            <w:noWrap/>
            <w:vAlign w:val="center"/>
            <w:hideMark/>
          </w:tcPr>
          <w:p w:rsidR="00567A3B" w:rsidRPr="00946045" w:rsidRDefault="00567A3B" w:rsidP="0026016F">
            <w:pPr>
              <w:jc w:val="center"/>
              <w:rPr>
                <w:rFonts w:ascii="Palatino Linotype" w:eastAsia="Calibri" w:hAnsi="Palatino Linotype" w:cs="Calibri"/>
                <w:b/>
                <w:bCs/>
                <w:color w:val="000000"/>
                <w:szCs w:val="22"/>
                <w:lang w:eastAsia="en-IN"/>
              </w:rPr>
            </w:pPr>
            <w:r w:rsidRPr="00946045">
              <w:rPr>
                <w:rFonts w:ascii="Palatino Linotype" w:eastAsia="Calibri" w:hAnsi="Palatino Linotype" w:cs="Calibri"/>
                <w:b/>
                <w:bCs/>
                <w:color w:val="000000"/>
                <w:szCs w:val="22"/>
                <w:lang w:val="en-US"/>
              </w:rPr>
              <w:t>Jan-22</w:t>
            </w:r>
          </w:p>
        </w:tc>
        <w:tc>
          <w:tcPr>
            <w:tcW w:w="1592" w:type="pct"/>
            <w:tcBorders>
              <w:top w:val="single" w:sz="8" w:space="0" w:color="auto"/>
              <w:left w:val="nil"/>
              <w:bottom w:val="single" w:sz="8" w:space="0" w:color="auto"/>
              <w:right w:val="single" w:sz="8" w:space="0" w:color="auto"/>
            </w:tcBorders>
            <w:shd w:val="clear" w:color="auto" w:fill="auto"/>
            <w:noWrap/>
            <w:vAlign w:val="center"/>
            <w:hideMark/>
          </w:tcPr>
          <w:p w:rsidR="00567A3B" w:rsidRPr="00946045" w:rsidRDefault="00567A3B" w:rsidP="0026016F">
            <w:pPr>
              <w:jc w:val="center"/>
              <w:rPr>
                <w:rFonts w:ascii="Palatino Linotype" w:eastAsia="Calibri" w:hAnsi="Palatino Linotype" w:cs="Calibri"/>
                <w:b/>
                <w:bCs/>
                <w:color w:val="000000"/>
                <w:szCs w:val="22"/>
                <w:lang w:val="en-US"/>
              </w:rPr>
            </w:pPr>
            <w:r w:rsidRPr="00946045">
              <w:rPr>
                <w:rFonts w:ascii="Palatino Linotype" w:eastAsia="Calibri" w:hAnsi="Palatino Linotype" w:cs="Calibri"/>
                <w:b/>
                <w:bCs/>
                <w:color w:val="000000"/>
                <w:szCs w:val="22"/>
                <w:lang w:val="en-US"/>
              </w:rPr>
              <w:t>Feb-22</w:t>
            </w:r>
          </w:p>
        </w:tc>
        <w:tc>
          <w:tcPr>
            <w:tcW w:w="803" w:type="pct"/>
            <w:tcBorders>
              <w:top w:val="single" w:sz="8" w:space="0" w:color="auto"/>
              <w:left w:val="nil"/>
              <w:bottom w:val="nil"/>
              <w:right w:val="single" w:sz="8" w:space="0" w:color="auto"/>
            </w:tcBorders>
            <w:shd w:val="clear" w:color="auto" w:fill="auto"/>
            <w:vAlign w:val="center"/>
            <w:hideMark/>
          </w:tcPr>
          <w:p w:rsidR="00567A3B" w:rsidRPr="00946045" w:rsidRDefault="00567A3B" w:rsidP="0026016F">
            <w:pPr>
              <w:jc w:val="cente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Percentage variation    M-O-M</w:t>
            </w:r>
          </w:p>
        </w:tc>
      </w:tr>
      <w:tr w:rsidR="00567A3B" w:rsidRPr="00946045" w:rsidTr="0026016F">
        <w:trPr>
          <w:trHeight w:val="203"/>
        </w:trPr>
        <w:tc>
          <w:tcPr>
            <w:tcW w:w="1165" w:type="pct"/>
            <w:tcBorders>
              <w:top w:val="nil"/>
              <w:left w:val="single" w:sz="8" w:space="0" w:color="auto"/>
              <w:bottom w:val="single" w:sz="8" w:space="0" w:color="auto"/>
              <w:right w:val="nil"/>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A. Indices</w:t>
            </w:r>
          </w:p>
        </w:tc>
        <w:tc>
          <w:tcPr>
            <w:tcW w:w="1440" w:type="pct"/>
            <w:tcBorders>
              <w:top w:val="nil"/>
              <w:left w:val="nil"/>
              <w:bottom w:val="single" w:sz="8" w:space="0" w:color="auto"/>
              <w:right w:val="nil"/>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 </w:t>
            </w:r>
          </w:p>
        </w:tc>
        <w:tc>
          <w:tcPr>
            <w:tcW w:w="1592" w:type="pct"/>
            <w:tcBorders>
              <w:top w:val="nil"/>
              <w:left w:val="nil"/>
              <w:bottom w:val="single" w:sz="8" w:space="0" w:color="auto"/>
              <w:right w:val="nil"/>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 </w:t>
            </w:r>
          </w:p>
        </w:tc>
        <w:tc>
          <w:tcPr>
            <w:tcW w:w="803" w:type="pct"/>
            <w:tcBorders>
              <w:top w:val="single" w:sz="8" w:space="0" w:color="auto"/>
              <w:left w:val="nil"/>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 </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sidRPr="00946045">
              <w:rPr>
                <w:rFonts w:ascii="Palatino Linotype" w:eastAsia="Times New Roman" w:hAnsi="Palatino Linotype" w:cs="Calibri"/>
                <w:color w:val="000000"/>
                <w:szCs w:val="22"/>
                <w:lang w:eastAsia="en-IN"/>
              </w:rPr>
              <w:t>Nkrishi</w:t>
            </w:r>
          </w:p>
        </w:tc>
        <w:tc>
          <w:tcPr>
            <w:tcW w:w="1440" w:type="pct"/>
            <w:tcBorders>
              <w:top w:val="nil"/>
              <w:left w:val="nil"/>
              <w:bottom w:val="single" w:sz="8" w:space="0" w:color="auto"/>
              <w:right w:val="single" w:sz="8" w:space="0" w:color="auto"/>
            </w:tcBorders>
            <w:shd w:val="clear" w:color="auto" w:fill="auto"/>
            <w:noWrap/>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5,982 </w:t>
            </w:r>
          </w:p>
        </w:tc>
        <w:tc>
          <w:tcPr>
            <w:tcW w:w="1592" w:type="pct"/>
            <w:tcBorders>
              <w:top w:val="nil"/>
              <w:left w:val="nil"/>
              <w:bottom w:val="single" w:sz="8" w:space="0" w:color="auto"/>
              <w:right w:val="single" w:sz="8" w:space="0" w:color="auto"/>
            </w:tcBorders>
            <w:shd w:val="clear" w:color="auto" w:fill="auto"/>
            <w:noWrap/>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5,902 </w:t>
            </w:r>
          </w:p>
        </w:tc>
        <w:tc>
          <w:tcPr>
            <w:tcW w:w="803" w:type="pct"/>
            <w:tcBorders>
              <w:top w:val="nil"/>
              <w:left w:val="nil"/>
              <w:bottom w:val="single" w:sz="8" w:space="0" w:color="auto"/>
              <w:right w:val="single" w:sz="8" w:space="0" w:color="auto"/>
            </w:tcBorders>
            <w:shd w:val="clear" w:color="auto" w:fill="auto"/>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-1.3</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sidRPr="00946045">
              <w:rPr>
                <w:rFonts w:ascii="Palatino Linotype" w:eastAsia="Times New Roman" w:hAnsi="Palatino Linotype" w:cs="Calibri"/>
                <w:color w:val="000000"/>
                <w:szCs w:val="22"/>
                <w:lang w:eastAsia="en-IN"/>
              </w:rPr>
              <w:t>MCX iCOMDEX</w:t>
            </w:r>
          </w:p>
        </w:tc>
        <w:tc>
          <w:tcPr>
            <w:tcW w:w="1440" w:type="pct"/>
            <w:tcBorders>
              <w:top w:val="nil"/>
              <w:left w:val="nil"/>
              <w:bottom w:val="single" w:sz="8" w:space="0" w:color="auto"/>
              <w:right w:val="single" w:sz="8" w:space="0" w:color="auto"/>
            </w:tcBorders>
            <w:shd w:val="clear" w:color="auto" w:fill="auto"/>
            <w:noWrap/>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12,485 </w:t>
            </w:r>
          </w:p>
        </w:tc>
        <w:tc>
          <w:tcPr>
            <w:tcW w:w="1592" w:type="pct"/>
            <w:tcBorders>
              <w:top w:val="nil"/>
              <w:left w:val="nil"/>
              <w:bottom w:val="single" w:sz="8" w:space="0" w:color="auto"/>
              <w:right w:val="single" w:sz="8" w:space="0" w:color="auto"/>
            </w:tcBorders>
            <w:shd w:val="clear" w:color="auto" w:fill="auto"/>
            <w:noWrap/>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13,245 </w:t>
            </w:r>
          </w:p>
        </w:tc>
        <w:tc>
          <w:tcPr>
            <w:tcW w:w="803" w:type="pct"/>
            <w:tcBorders>
              <w:top w:val="nil"/>
              <w:left w:val="nil"/>
              <w:bottom w:val="single" w:sz="8" w:space="0" w:color="auto"/>
              <w:right w:val="single" w:sz="8" w:space="0" w:color="auto"/>
            </w:tcBorders>
            <w:shd w:val="clear" w:color="auto" w:fill="auto"/>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6.1</w:t>
            </w:r>
          </w:p>
        </w:tc>
      </w:tr>
      <w:tr w:rsidR="00567A3B" w:rsidRPr="00946045" w:rsidTr="0026016F">
        <w:trPr>
          <w:trHeight w:val="371"/>
        </w:trPr>
        <w:tc>
          <w:tcPr>
            <w:tcW w:w="5000" w:type="pct"/>
            <w:gridSpan w:val="4"/>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B. Turnover Exchange Wise (</w:t>
            </w:r>
            <w:r w:rsidRPr="00946045">
              <w:rPr>
                <w:rFonts w:ascii="Times New Roman" w:eastAsia="Times New Roman" w:hAnsi="Times New Roman"/>
                <w:b/>
                <w:bCs/>
                <w:color w:val="000000"/>
                <w:szCs w:val="22"/>
                <w:lang w:eastAsia="en-IN"/>
              </w:rPr>
              <w:t>₹</w:t>
            </w:r>
            <w:r w:rsidR="000654C7">
              <w:rPr>
                <w:rFonts w:ascii="Palatino Linotype" w:eastAsia="Times New Roman" w:hAnsi="Palatino Linotype" w:cs="Calibri"/>
                <w:b/>
                <w:bCs/>
                <w:color w:val="000000"/>
                <w:szCs w:val="22"/>
                <w:lang w:eastAsia="en-IN"/>
              </w:rPr>
              <w:t>crore</w:t>
            </w:r>
            <w:r w:rsidRPr="00946045">
              <w:rPr>
                <w:rFonts w:ascii="Palatino Linotype" w:eastAsia="Times New Roman" w:hAnsi="Palatino Linotype" w:cs="Calibri"/>
                <w:b/>
                <w:bCs/>
                <w:color w:val="000000"/>
                <w:szCs w:val="22"/>
                <w:lang w:eastAsia="en-IN"/>
              </w:rPr>
              <w:t>)</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All-India</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7,13,440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8,50,946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19.3</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Pr>
                <w:rFonts w:ascii="Palatino Linotype" w:eastAsia="Times New Roman" w:hAnsi="Palatino Linotype" w:cs="Calibri"/>
                <w:b/>
                <w:bCs/>
                <w:color w:val="000000"/>
                <w:szCs w:val="22"/>
                <w:lang w:eastAsia="en-IN"/>
              </w:rPr>
              <w:t xml:space="preserve">   </w:t>
            </w:r>
            <w:r w:rsidRPr="00946045">
              <w:rPr>
                <w:rFonts w:ascii="Palatino Linotype" w:eastAsia="Times New Roman" w:hAnsi="Palatino Linotype" w:cs="Calibri"/>
                <w:b/>
                <w:bCs/>
                <w:color w:val="000000"/>
                <w:szCs w:val="22"/>
                <w:lang w:eastAsia="en-IN"/>
              </w:rPr>
              <w:t>Agri</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34,082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30,308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-11.1</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Pr>
                <w:rFonts w:ascii="Palatino Linotype" w:eastAsia="Times New Roman" w:hAnsi="Palatino Linotype" w:cs="Calibri"/>
                <w:b/>
                <w:bCs/>
                <w:color w:val="000000"/>
                <w:szCs w:val="22"/>
                <w:lang w:eastAsia="en-IN"/>
              </w:rPr>
              <w:t xml:space="preserve">    </w:t>
            </w:r>
            <w:r w:rsidRPr="00946045">
              <w:rPr>
                <w:rFonts w:ascii="Palatino Linotype" w:eastAsia="Times New Roman" w:hAnsi="Palatino Linotype" w:cs="Calibri"/>
                <w:b/>
                <w:bCs/>
                <w:color w:val="000000"/>
                <w:szCs w:val="22"/>
                <w:lang w:eastAsia="en-IN"/>
              </w:rPr>
              <w:t>Non-agri</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6,79,358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8,20,638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20.8</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MCX, of which</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6,64,444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8,21,995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23.7</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Futures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4,55,592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5,14,089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12.8</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Options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2,08,851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3,07,906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47.4</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BSE, of which</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21,056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2,265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-89.2</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Futures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412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291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-29.2</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Options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20,644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1,974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-90.4</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NCDEX, of which</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26,472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24,983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-5.6</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Futures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26,472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24,860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-6.1</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Options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0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123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E73EBA">
              <w:rPr>
                <w:rFonts w:ascii="Palatino Linotype" w:eastAsia="Times New Roman" w:hAnsi="Palatino Linotype" w:cs="Calibri"/>
                <w:i/>
                <w:iCs/>
                <w:color w:val="000000"/>
                <w:szCs w:val="22"/>
                <w:lang w:eastAsia="en-IN"/>
              </w:rPr>
              <w:t>-</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NSE, of which</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1,469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1,703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15.9</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Futures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2.9</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color w:val="000000"/>
                <w:szCs w:val="22"/>
                <w:lang w:eastAsia="en-IN"/>
              </w:rPr>
            </w:pPr>
            <w:r>
              <w:rPr>
                <w:rFonts w:ascii="Palatino Linotype" w:eastAsia="Times New Roman" w:hAnsi="Palatino Linotype" w:cs="Calibri"/>
                <w:color w:val="000000"/>
                <w:szCs w:val="22"/>
                <w:lang w:eastAsia="en-IN"/>
              </w:rPr>
              <w:t xml:space="preserve">       </w:t>
            </w:r>
            <w:r w:rsidRPr="00946045">
              <w:rPr>
                <w:rFonts w:ascii="Palatino Linotype" w:eastAsia="Times New Roman" w:hAnsi="Palatino Linotype" w:cs="Calibri"/>
                <w:color w:val="000000"/>
                <w:szCs w:val="22"/>
                <w:lang w:eastAsia="en-IN"/>
              </w:rPr>
              <w:t>Options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1,468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color w:val="000000"/>
                <w:sz w:val="20"/>
                <w:lang w:eastAsia="en-IN"/>
              </w:rPr>
            </w:pPr>
            <w:r w:rsidRPr="00946045">
              <w:rPr>
                <w:rFonts w:ascii="Palatino Linotype" w:eastAsia="Times New Roman" w:hAnsi="Palatino Linotype" w:cs="Calibri"/>
                <w:color w:val="000000"/>
                <w:sz w:val="20"/>
                <w:lang w:eastAsia="en-IN"/>
              </w:rPr>
              <w:t xml:space="preserve">                                        1,702 </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15.9</w:t>
            </w:r>
          </w:p>
        </w:tc>
      </w:tr>
      <w:tr w:rsidR="00567A3B" w:rsidRPr="00946045" w:rsidTr="0026016F">
        <w:trPr>
          <w:trHeight w:val="203"/>
        </w:trPr>
        <w:tc>
          <w:tcPr>
            <w:tcW w:w="1165" w:type="pct"/>
            <w:tcBorders>
              <w:top w:val="nil"/>
              <w:left w:val="single" w:sz="8" w:space="0" w:color="auto"/>
              <w:bottom w:val="single" w:sz="8" w:space="0" w:color="auto"/>
              <w:right w:val="single" w:sz="8" w:space="0" w:color="auto"/>
            </w:tcBorders>
            <w:shd w:val="clear" w:color="auto" w:fill="auto"/>
            <w:vAlign w:val="center"/>
            <w:hideMark/>
          </w:tcPr>
          <w:p w:rsidR="00567A3B" w:rsidRPr="00946045" w:rsidRDefault="00567A3B" w:rsidP="0026016F">
            <w:pPr>
              <w:rPr>
                <w:rFonts w:ascii="Palatino Linotype" w:eastAsia="Times New Roman" w:hAnsi="Palatino Linotype" w:cs="Calibri"/>
                <w:b/>
                <w:bCs/>
                <w:color w:val="000000"/>
                <w:szCs w:val="22"/>
                <w:lang w:eastAsia="en-IN"/>
              </w:rPr>
            </w:pPr>
            <w:r w:rsidRPr="00946045">
              <w:rPr>
                <w:rFonts w:ascii="Palatino Linotype" w:eastAsia="Times New Roman" w:hAnsi="Palatino Linotype" w:cs="Calibri"/>
                <w:b/>
                <w:bCs/>
                <w:color w:val="000000"/>
                <w:szCs w:val="22"/>
                <w:lang w:eastAsia="en-IN"/>
              </w:rPr>
              <w:t>ICEX (Futures)</w:t>
            </w:r>
          </w:p>
        </w:tc>
        <w:tc>
          <w:tcPr>
            <w:tcW w:w="1440"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 xml:space="preserve">                                             0  </w:t>
            </w:r>
          </w:p>
        </w:tc>
        <w:tc>
          <w:tcPr>
            <w:tcW w:w="1592" w:type="pct"/>
            <w:tcBorders>
              <w:top w:val="nil"/>
              <w:left w:val="nil"/>
              <w:bottom w:val="single" w:sz="8" w:space="0" w:color="auto"/>
              <w:right w:val="single" w:sz="8" w:space="0" w:color="auto"/>
            </w:tcBorders>
            <w:shd w:val="clear" w:color="auto" w:fill="auto"/>
            <w:noWrap/>
            <w:vAlign w:val="center"/>
            <w:hideMark/>
          </w:tcPr>
          <w:p w:rsidR="00567A3B" w:rsidRPr="00946045" w:rsidRDefault="00567A3B" w:rsidP="0026016F">
            <w:pPr>
              <w:jc w:val="right"/>
              <w:rPr>
                <w:rFonts w:ascii="Palatino Linotype" w:eastAsia="Times New Roman" w:hAnsi="Palatino Linotype" w:cs="Calibri"/>
                <w:b/>
                <w:bCs/>
                <w:color w:val="000000"/>
                <w:sz w:val="20"/>
                <w:lang w:eastAsia="en-IN"/>
              </w:rPr>
            </w:pPr>
            <w:r w:rsidRPr="00946045">
              <w:rPr>
                <w:rFonts w:ascii="Palatino Linotype" w:eastAsia="Times New Roman" w:hAnsi="Palatino Linotype" w:cs="Calibri"/>
                <w:b/>
                <w:bCs/>
                <w:color w:val="000000"/>
                <w:sz w:val="20"/>
                <w:lang w:eastAsia="en-IN"/>
              </w:rPr>
              <w:t>0</w:t>
            </w:r>
          </w:p>
        </w:tc>
        <w:tc>
          <w:tcPr>
            <w:tcW w:w="803" w:type="pct"/>
            <w:tcBorders>
              <w:top w:val="nil"/>
              <w:left w:val="nil"/>
              <w:bottom w:val="single" w:sz="8" w:space="0" w:color="auto"/>
              <w:right w:val="single" w:sz="8" w:space="0" w:color="auto"/>
            </w:tcBorders>
            <w:shd w:val="clear" w:color="auto" w:fill="auto"/>
            <w:vAlign w:val="center"/>
            <w:hideMark/>
          </w:tcPr>
          <w:p w:rsidR="00567A3B" w:rsidRPr="00946045" w:rsidRDefault="00567A3B" w:rsidP="0026016F">
            <w:pPr>
              <w:jc w:val="right"/>
              <w:rPr>
                <w:rFonts w:ascii="Palatino Linotype" w:eastAsia="Times New Roman" w:hAnsi="Palatino Linotype" w:cs="Calibri"/>
                <w:i/>
                <w:iCs/>
                <w:color w:val="000000"/>
                <w:szCs w:val="22"/>
                <w:lang w:eastAsia="en-IN"/>
              </w:rPr>
            </w:pPr>
            <w:r w:rsidRPr="00946045">
              <w:rPr>
                <w:rFonts w:ascii="Palatino Linotype" w:eastAsia="Times New Roman" w:hAnsi="Palatino Linotype" w:cs="Calibri"/>
                <w:i/>
                <w:iCs/>
                <w:color w:val="000000"/>
                <w:szCs w:val="22"/>
                <w:lang w:eastAsia="en-IN"/>
              </w:rPr>
              <w:t>0</w:t>
            </w:r>
          </w:p>
        </w:tc>
      </w:tr>
    </w:tbl>
    <w:p w:rsidR="00567A3B" w:rsidRPr="00555598" w:rsidRDefault="00567A3B" w:rsidP="00567A3B">
      <w:pPr>
        <w:jc w:val="both"/>
        <w:rPr>
          <w:rFonts w:ascii="Garamond" w:eastAsia="Calibri" w:hAnsi="Garamond" w:cs="Arial"/>
          <w:szCs w:val="22"/>
        </w:rPr>
      </w:pPr>
      <w:r>
        <w:rPr>
          <w:rFonts w:ascii="Garamond" w:eastAsia="Calibri" w:hAnsi="Garamond" w:cs="Arial"/>
          <w:b/>
          <w:bCs/>
        </w:rPr>
        <w:t>S</w:t>
      </w:r>
      <w:r w:rsidRPr="00891713">
        <w:rPr>
          <w:rFonts w:ascii="Garamond" w:eastAsia="Calibri" w:hAnsi="Garamond" w:cs="Arial"/>
          <w:b/>
          <w:bCs/>
          <w:szCs w:val="22"/>
        </w:rPr>
        <w:t xml:space="preserve">ource: </w:t>
      </w:r>
      <w:r w:rsidRPr="00891713">
        <w:rPr>
          <w:rFonts w:ascii="Garamond" w:eastAsia="Calibri" w:hAnsi="Garamond" w:cs="Arial"/>
          <w:szCs w:val="22"/>
        </w:rPr>
        <w:t>MCX, BSE, NCDEX, NSE, ICEX</w:t>
      </w:r>
      <w:r w:rsidR="00555598">
        <w:rPr>
          <w:rFonts w:ascii="Garamond" w:eastAsia="Calibri" w:hAnsi="Garamond" w:cs="Arial"/>
          <w:szCs w:val="22"/>
        </w:rPr>
        <w:t xml:space="preserve"> </w:t>
      </w:r>
      <w:r w:rsidRPr="00BB65BC">
        <w:rPr>
          <w:rFonts w:ascii="Garamond" w:eastAsia="Calibri" w:hAnsi="Garamond" w:cs="Arial"/>
          <w:i/>
          <w:iCs/>
          <w:szCs w:val="22"/>
          <w:lang w:val="en-US"/>
        </w:rPr>
        <w:t>Note: The values have been rounded to nearest integer in a spreadsheet software. Due to rounding, per cent change for small values may appear very large or incorrect.</w:t>
      </w:r>
    </w:p>
    <w:p w:rsidR="00567A3B" w:rsidRPr="00891713" w:rsidRDefault="00567A3B" w:rsidP="00567A3B">
      <w:pPr>
        <w:numPr>
          <w:ilvl w:val="0"/>
          <w:numId w:val="5"/>
        </w:numPr>
        <w:tabs>
          <w:tab w:val="left" w:pos="567"/>
        </w:tabs>
        <w:ind w:left="0" w:firstLine="0"/>
        <w:contextualSpacing/>
        <w:jc w:val="both"/>
        <w:rPr>
          <w:rFonts w:ascii="Garamond" w:eastAsia="Times New Roman" w:hAnsi="Garamond"/>
          <w:b/>
          <w:color w:val="000000"/>
          <w:lang w:val="en-US"/>
        </w:rPr>
      </w:pPr>
      <w:r w:rsidRPr="00891713">
        <w:rPr>
          <w:rFonts w:ascii="Garamond" w:eastAsia="Times New Roman" w:hAnsi="Garamond"/>
          <w:b/>
          <w:color w:val="000000"/>
          <w:lang w:val="en-US"/>
        </w:rPr>
        <w:lastRenderedPageBreak/>
        <w:t>Commodity Derivatives Turnover</w:t>
      </w:r>
    </w:p>
    <w:p w:rsidR="00567A3B" w:rsidRDefault="00567A3B" w:rsidP="00567A3B">
      <w:pPr>
        <w:tabs>
          <w:tab w:val="left" w:pos="567"/>
        </w:tabs>
        <w:contextualSpacing/>
        <w:jc w:val="both"/>
        <w:rPr>
          <w:rFonts w:ascii="Garamond" w:eastAsia="Times New Roman" w:hAnsi="Garamond"/>
          <w:b/>
          <w:color w:val="000000"/>
          <w:lang w:val="en-US"/>
        </w:rPr>
      </w:pPr>
    </w:p>
    <w:p w:rsidR="00567A3B" w:rsidRPr="00E73EBA" w:rsidRDefault="00567A3B" w:rsidP="00567A3B">
      <w:pPr>
        <w:numPr>
          <w:ilvl w:val="0"/>
          <w:numId w:val="6"/>
        </w:numPr>
        <w:spacing w:after="160" w:line="259" w:lineRule="auto"/>
        <w:jc w:val="both"/>
        <w:rPr>
          <w:rFonts w:ascii="Garamond" w:eastAsia="Times New Roman" w:hAnsi="Garamond"/>
          <w:color w:val="000000"/>
          <w:lang w:val="en-US"/>
        </w:rPr>
      </w:pPr>
      <w:r w:rsidRPr="00E73EBA">
        <w:rPr>
          <w:rFonts w:ascii="Garamond" w:eastAsia="Times New Roman" w:hAnsi="Garamond"/>
          <w:color w:val="000000"/>
          <w:lang w:val="en-US"/>
        </w:rPr>
        <w:t xml:space="preserve">During February 2022, pan- India turnover of commodity derivatives increased by 19.3 per cent to </w:t>
      </w:r>
      <w:r w:rsidRPr="00E73EBA">
        <w:rPr>
          <w:rFonts w:ascii="Times New Roman" w:eastAsia="Times New Roman" w:hAnsi="Times New Roman"/>
          <w:bCs/>
          <w:color w:val="000000"/>
        </w:rPr>
        <w:t>₹</w:t>
      </w:r>
      <w:r w:rsidRPr="00E73EBA">
        <w:rPr>
          <w:rFonts w:ascii="Garamond" w:eastAsia="Times New Roman" w:hAnsi="Garamond"/>
          <w:color w:val="000000"/>
          <w:lang w:val="en-US"/>
        </w:rPr>
        <w:t xml:space="preserve">8.5 </w:t>
      </w:r>
      <w:r>
        <w:rPr>
          <w:rFonts w:ascii="Garamond" w:eastAsia="Times New Roman" w:hAnsi="Garamond"/>
          <w:color w:val="000000"/>
          <w:lang w:val="en-US"/>
        </w:rPr>
        <w:t>lakh</w:t>
      </w:r>
      <w:r w:rsidRPr="00E73EBA">
        <w:rPr>
          <w:rFonts w:ascii="Garamond" w:eastAsia="Times New Roman" w:hAnsi="Garamond"/>
          <w:color w:val="000000"/>
          <w:lang w:val="en-US"/>
        </w:rPr>
        <w:t xml:space="preserve"> </w:t>
      </w:r>
      <w:r w:rsidR="000654C7">
        <w:rPr>
          <w:rFonts w:ascii="Garamond" w:eastAsia="Times New Roman" w:hAnsi="Garamond"/>
          <w:color w:val="000000"/>
          <w:lang w:val="en-US"/>
        </w:rPr>
        <w:t>crore</w:t>
      </w:r>
      <w:r w:rsidRPr="00E73EBA">
        <w:rPr>
          <w:rFonts w:ascii="Garamond" w:eastAsia="Times New Roman" w:hAnsi="Garamond"/>
          <w:color w:val="000000"/>
          <w:lang w:val="en-US"/>
        </w:rPr>
        <w:t xml:space="preserve"> over the previous month.</w:t>
      </w:r>
    </w:p>
    <w:p w:rsidR="00567A3B" w:rsidRPr="00E73EBA" w:rsidRDefault="00567A3B" w:rsidP="00567A3B">
      <w:pPr>
        <w:numPr>
          <w:ilvl w:val="0"/>
          <w:numId w:val="6"/>
        </w:numPr>
        <w:spacing w:after="160" w:line="259" w:lineRule="auto"/>
        <w:jc w:val="both"/>
        <w:rPr>
          <w:rFonts w:ascii="Garamond" w:eastAsia="Times New Roman" w:hAnsi="Garamond"/>
          <w:color w:val="000000"/>
          <w:lang w:val="en-US"/>
        </w:rPr>
      </w:pPr>
      <w:r w:rsidRPr="00E73EBA">
        <w:rPr>
          <w:rFonts w:ascii="Garamond" w:eastAsia="Times New Roman" w:hAnsi="Garamond"/>
          <w:color w:val="000000"/>
          <w:lang w:val="en-US"/>
        </w:rPr>
        <w:t xml:space="preserve">The percentage share of agri and non-agri segments in overall turnover accounted for 3.6 per cent and 96.4 per cent, respectively. The turnover of agri. segment decreased by 11.1 per cent while that of non-agri segment increased by 20.8 per cent. </w:t>
      </w:r>
    </w:p>
    <w:p w:rsidR="00567A3B" w:rsidRPr="00E73EBA" w:rsidRDefault="00567A3B" w:rsidP="00567A3B">
      <w:pPr>
        <w:numPr>
          <w:ilvl w:val="0"/>
          <w:numId w:val="6"/>
        </w:numPr>
        <w:spacing w:after="160" w:line="259" w:lineRule="auto"/>
        <w:jc w:val="both"/>
        <w:rPr>
          <w:rFonts w:ascii="Garamond" w:eastAsia="Times New Roman" w:hAnsi="Garamond"/>
          <w:color w:val="000000"/>
          <w:lang w:val="en-US"/>
        </w:rPr>
      </w:pPr>
      <w:r w:rsidRPr="00E73EBA">
        <w:rPr>
          <w:rFonts w:ascii="Garamond" w:eastAsia="Times New Roman" w:hAnsi="Garamond"/>
          <w:color w:val="000000"/>
          <w:lang w:val="en-US"/>
        </w:rPr>
        <w:t>The percentage share of futures and options contracts in overall turnover stood at 63.4 per cent and 36.6 per cent, respectively. The turnover of futures contracts increased by 11.8 percent while that of options contract increased by 35.0 per cent over the previous month.</w:t>
      </w:r>
    </w:p>
    <w:p w:rsidR="00567A3B" w:rsidRPr="00E73EBA" w:rsidRDefault="00567A3B" w:rsidP="00567A3B">
      <w:pPr>
        <w:numPr>
          <w:ilvl w:val="0"/>
          <w:numId w:val="6"/>
        </w:numPr>
        <w:spacing w:after="160" w:line="259" w:lineRule="auto"/>
        <w:jc w:val="both"/>
        <w:rPr>
          <w:rFonts w:ascii="Garamond" w:eastAsia="Times New Roman" w:hAnsi="Garamond"/>
          <w:color w:val="000000"/>
          <w:lang w:val="en-US"/>
        </w:rPr>
      </w:pPr>
      <w:r w:rsidRPr="00E73EBA">
        <w:rPr>
          <w:rFonts w:ascii="Garamond" w:eastAsia="Times New Roman" w:hAnsi="Garamond"/>
          <w:color w:val="000000"/>
          <w:lang w:val="en-US"/>
        </w:rPr>
        <w:t>At exchange level, the turnover increased at MCX (23.7%) and NSE (15.9%), while it declined at BSE (89.2%) and NCDEX (5.6%).  ICEX recorded nil turnover during the month.</w:t>
      </w:r>
    </w:p>
    <w:p w:rsidR="00567A3B" w:rsidRPr="00E73EBA" w:rsidRDefault="00567A3B" w:rsidP="00567A3B">
      <w:pPr>
        <w:numPr>
          <w:ilvl w:val="0"/>
          <w:numId w:val="6"/>
        </w:numPr>
        <w:spacing w:after="160" w:line="259" w:lineRule="auto"/>
        <w:jc w:val="both"/>
        <w:rPr>
          <w:rFonts w:ascii="Garamond" w:eastAsia="Times New Roman" w:hAnsi="Garamond"/>
          <w:color w:val="000000"/>
          <w:lang w:val="en-US"/>
        </w:rPr>
      </w:pPr>
      <w:r w:rsidRPr="00E73EBA">
        <w:rPr>
          <w:rFonts w:ascii="Garamond" w:eastAsia="Times New Roman" w:hAnsi="Garamond"/>
          <w:color w:val="000000"/>
          <w:lang w:val="en-US"/>
        </w:rPr>
        <w:t>In terms of percentage share of commodity derivatives turnover among exchanges, the MCX has the highest market share of 96.6 per cent, followed NCDEX (2.9 per cent), BSE (0.3 per cent), NSE (0.2 per cent).</w:t>
      </w:r>
    </w:p>
    <w:p w:rsidR="00567A3B" w:rsidRPr="00E73EBA" w:rsidRDefault="00567A3B" w:rsidP="00567A3B">
      <w:pPr>
        <w:numPr>
          <w:ilvl w:val="0"/>
          <w:numId w:val="6"/>
        </w:numPr>
        <w:spacing w:after="160" w:line="259" w:lineRule="auto"/>
        <w:jc w:val="both"/>
        <w:rPr>
          <w:rFonts w:ascii="Garamond" w:eastAsia="Times New Roman" w:hAnsi="Garamond"/>
          <w:color w:val="000000"/>
          <w:lang w:val="en-US"/>
        </w:rPr>
      </w:pPr>
      <w:r w:rsidRPr="00E73EBA">
        <w:rPr>
          <w:rFonts w:ascii="Garamond" w:eastAsia="Times New Roman" w:hAnsi="Garamond"/>
          <w:color w:val="000000"/>
          <w:lang w:val="en-US"/>
        </w:rPr>
        <w:t xml:space="preserve">At MCX, the turnover of agri. segment decreased by 28.7 per cent while non-agri (futures and options) segment turnover increased by 24.3 per cent.  </w:t>
      </w:r>
    </w:p>
    <w:p w:rsidR="00567A3B" w:rsidRPr="00E73EBA" w:rsidRDefault="00567A3B" w:rsidP="00567A3B">
      <w:pPr>
        <w:numPr>
          <w:ilvl w:val="0"/>
          <w:numId w:val="6"/>
        </w:numPr>
        <w:spacing w:after="160" w:line="259" w:lineRule="auto"/>
        <w:jc w:val="both"/>
        <w:rPr>
          <w:rFonts w:ascii="Garamond" w:eastAsia="Times New Roman" w:hAnsi="Garamond"/>
          <w:bCs/>
          <w:color w:val="000000"/>
          <w:lang w:val="en-US"/>
        </w:rPr>
      </w:pPr>
      <w:r w:rsidRPr="00E73EBA">
        <w:rPr>
          <w:rFonts w:ascii="Garamond" w:eastAsia="Times New Roman" w:hAnsi="Garamond"/>
          <w:bCs/>
          <w:color w:val="000000"/>
          <w:lang w:val="en-US"/>
        </w:rPr>
        <w:t xml:space="preserve">Turnover at BSE decreased by 89.2 per cent to </w:t>
      </w:r>
      <w:r w:rsidRPr="00E73EBA">
        <w:rPr>
          <w:rFonts w:ascii="Times New Roman" w:eastAsia="Times New Roman" w:hAnsi="Times New Roman"/>
          <w:bCs/>
          <w:color w:val="000000"/>
          <w:lang w:val="en-US"/>
        </w:rPr>
        <w:t>₹</w:t>
      </w:r>
      <w:r w:rsidRPr="00E73EBA">
        <w:rPr>
          <w:rFonts w:ascii="Garamond" w:eastAsia="Times New Roman" w:hAnsi="Garamond"/>
          <w:bCs/>
          <w:color w:val="000000"/>
          <w:lang w:val="en-US"/>
        </w:rPr>
        <w:t xml:space="preserve">2,265 </w:t>
      </w:r>
      <w:r w:rsidR="000654C7">
        <w:rPr>
          <w:rFonts w:ascii="Garamond" w:eastAsia="Times New Roman" w:hAnsi="Garamond"/>
          <w:bCs/>
          <w:color w:val="000000"/>
          <w:lang w:val="en-US"/>
        </w:rPr>
        <w:t>crore</w:t>
      </w:r>
      <w:r w:rsidRPr="00E73EBA">
        <w:rPr>
          <w:rFonts w:ascii="Garamond" w:eastAsia="Times New Roman" w:hAnsi="Garamond"/>
          <w:bCs/>
          <w:color w:val="000000"/>
          <w:lang w:val="en-US"/>
        </w:rPr>
        <w:t xml:space="preserve"> mainly due to decrease in turnover of options contracts.   The options contracts at BSE recorded turnover of </w:t>
      </w:r>
      <w:r w:rsidRPr="00E73EBA">
        <w:rPr>
          <w:rFonts w:ascii="Times New Roman" w:eastAsia="Times New Roman" w:hAnsi="Times New Roman"/>
          <w:bCs/>
          <w:color w:val="000000"/>
          <w:lang w:val="en-US"/>
        </w:rPr>
        <w:t>₹</w:t>
      </w:r>
      <w:r w:rsidRPr="00E73EBA">
        <w:rPr>
          <w:rFonts w:ascii="Garamond" w:eastAsia="Times New Roman" w:hAnsi="Garamond"/>
          <w:bCs/>
          <w:color w:val="000000"/>
          <w:lang w:val="en-US"/>
        </w:rPr>
        <w:t xml:space="preserve">1,974 </w:t>
      </w:r>
      <w:r w:rsidR="000654C7">
        <w:rPr>
          <w:rFonts w:ascii="Garamond" w:eastAsia="Times New Roman" w:hAnsi="Garamond"/>
          <w:color w:val="000000"/>
          <w:lang w:val="en-US"/>
        </w:rPr>
        <w:t>crore</w:t>
      </w:r>
      <w:r w:rsidRPr="00E73EBA">
        <w:rPr>
          <w:rFonts w:ascii="Garamond" w:eastAsia="Times New Roman" w:hAnsi="Garamond"/>
          <w:color w:val="000000"/>
          <w:lang w:val="en-US"/>
        </w:rPr>
        <w:t xml:space="preserve"> as compared to </w:t>
      </w:r>
      <w:r w:rsidRPr="00E73EBA">
        <w:rPr>
          <w:rFonts w:ascii="Times New Roman" w:eastAsia="Times New Roman" w:hAnsi="Times New Roman"/>
          <w:bCs/>
          <w:color w:val="000000"/>
          <w:lang w:val="en-US"/>
        </w:rPr>
        <w:t>₹</w:t>
      </w:r>
      <w:r w:rsidRPr="00E73EBA">
        <w:rPr>
          <w:rFonts w:ascii="Garamond" w:eastAsia="Times New Roman" w:hAnsi="Garamond"/>
          <w:bCs/>
          <w:color w:val="000000"/>
          <w:lang w:val="en-US"/>
        </w:rPr>
        <w:t xml:space="preserve">20,644 </w:t>
      </w:r>
      <w:r w:rsidR="000654C7">
        <w:rPr>
          <w:rFonts w:ascii="Garamond" w:eastAsia="Times New Roman" w:hAnsi="Garamond"/>
          <w:bCs/>
          <w:color w:val="000000"/>
          <w:lang w:val="en-US"/>
        </w:rPr>
        <w:t>crore</w:t>
      </w:r>
      <w:r w:rsidRPr="00E73EBA">
        <w:rPr>
          <w:rFonts w:ascii="Garamond" w:eastAsia="Times New Roman" w:hAnsi="Garamond"/>
          <w:bCs/>
          <w:color w:val="000000"/>
          <w:lang w:val="en-US"/>
        </w:rPr>
        <w:t xml:space="preserve"> during previous month.  The scheme of marking making at BSE which closed during the </w:t>
      </w:r>
      <w:r w:rsidRPr="00E73EBA">
        <w:rPr>
          <w:rFonts w:ascii="Garamond" w:eastAsia="Times New Roman" w:hAnsi="Garamond"/>
          <w:color w:val="000000"/>
          <w:lang w:val="en-US"/>
        </w:rPr>
        <w:t>month</w:t>
      </w:r>
      <w:r w:rsidRPr="00E73EBA">
        <w:rPr>
          <w:rFonts w:ascii="Garamond" w:eastAsia="Times New Roman" w:hAnsi="Garamond"/>
          <w:bCs/>
          <w:color w:val="000000"/>
          <w:lang w:val="en-US"/>
        </w:rPr>
        <w:t xml:space="preserve"> was driving the turnover in commodity derivatives segment at BSE.</w:t>
      </w:r>
    </w:p>
    <w:p w:rsidR="00567A3B" w:rsidRPr="00E73EBA" w:rsidRDefault="00567A3B" w:rsidP="00567A3B">
      <w:pPr>
        <w:numPr>
          <w:ilvl w:val="0"/>
          <w:numId w:val="6"/>
        </w:numPr>
        <w:spacing w:after="160" w:line="259" w:lineRule="auto"/>
        <w:jc w:val="both"/>
        <w:rPr>
          <w:rFonts w:ascii="Garamond" w:eastAsia="Times New Roman" w:hAnsi="Garamond"/>
          <w:bCs/>
          <w:color w:val="000000"/>
          <w:lang w:val="en-US"/>
        </w:rPr>
      </w:pPr>
      <w:r w:rsidRPr="00E73EBA">
        <w:rPr>
          <w:rFonts w:ascii="Garamond" w:eastAsia="Times New Roman" w:hAnsi="Garamond"/>
          <w:color w:val="000000"/>
          <w:lang w:val="en-US"/>
        </w:rPr>
        <w:t xml:space="preserve">At NCDEX, during February 2022, the overall turnover decreased by 12.5 per cent to </w:t>
      </w:r>
      <w:r w:rsidRPr="00E73EBA">
        <w:rPr>
          <w:rFonts w:ascii="Times New Roman" w:eastAsia="Times New Roman" w:hAnsi="Times New Roman"/>
          <w:bCs/>
          <w:color w:val="000000"/>
        </w:rPr>
        <w:t>₹</w:t>
      </w:r>
      <w:r w:rsidRPr="00E73EBA">
        <w:rPr>
          <w:rFonts w:ascii="Garamond" w:eastAsia="Times New Roman" w:hAnsi="Garamond"/>
          <w:color w:val="000000"/>
          <w:lang w:val="en-US"/>
        </w:rPr>
        <w:t xml:space="preserve">24,983 </w:t>
      </w:r>
      <w:r w:rsidR="000654C7">
        <w:rPr>
          <w:rFonts w:ascii="Garamond" w:eastAsia="Times New Roman" w:hAnsi="Garamond"/>
          <w:color w:val="000000"/>
          <w:lang w:val="en-US"/>
        </w:rPr>
        <w:t>crore</w:t>
      </w:r>
      <w:r w:rsidRPr="00E73EBA">
        <w:rPr>
          <w:rFonts w:ascii="Garamond" w:eastAsia="Times New Roman" w:hAnsi="Garamond"/>
          <w:color w:val="000000"/>
          <w:lang w:val="en-US"/>
        </w:rPr>
        <w:t xml:space="preserve"> over the previous month.  The turnover in agricultural index GUAREX increased to </w:t>
      </w:r>
      <w:r w:rsidRPr="00E73EBA">
        <w:rPr>
          <w:rFonts w:ascii="Times New Roman" w:eastAsia="Times New Roman" w:hAnsi="Times New Roman"/>
          <w:color w:val="000000"/>
          <w:lang w:val="en-US"/>
        </w:rPr>
        <w:t>₹</w:t>
      </w:r>
      <w:r w:rsidRPr="00E73EBA">
        <w:rPr>
          <w:rFonts w:ascii="Garamond" w:eastAsia="Times New Roman" w:hAnsi="Garamond"/>
          <w:color w:val="000000"/>
          <w:lang w:val="en-US"/>
        </w:rPr>
        <w:t xml:space="preserve">144.5 </w:t>
      </w:r>
      <w:r w:rsidR="000654C7">
        <w:rPr>
          <w:rFonts w:ascii="Garamond" w:eastAsia="Times New Roman" w:hAnsi="Garamond"/>
          <w:color w:val="000000"/>
          <w:lang w:val="en-US"/>
        </w:rPr>
        <w:t>crore</w:t>
      </w:r>
      <w:r w:rsidRPr="00E73EBA">
        <w:rPr>
          <w:rFonts w:ascii="Garamond" w:eastAsia="Times New Roman" w:hAnsi="Garamond"/>
          <w:color w:val="000000"/>
          <w:lang w:val="en-US"/>
        </w:rPr>
        <w:t xml:space="preserve"> from </w:t>
      </w:r>
      <w:r w:rsidRPr="00E73EBA">
        <w:rPr>
          <w:rFonts w:ascii="Times New Roman" w:eastAsia="Times New Roman" w:hAnsi="Times New Roman"/>
          <w:color w:val="000000"/>
          <w:lang w:val="en-US"/>
        </w:rPr>
        <w:t>₹</w:t>
      </w:r>
      <w:r w:rsidRPr="00E73EBA">
        <w:rPr>
          <w:rFonts w:ascii="Garamond" w:eastAsia="Times New Roman" w:hAnsi="Garamond"/>
          <w:color w:val="000000"/>
          <w:lang w:val="en-US"/>
        </w:rPr>
        <w:t xml:space="preserve">76.1 </w:t>
      </w:r>
      <w:r w:rsidR="000654C7">
        <w:rPr>
          <w:rFonts w:ascii="Garamond" w:eastAsia="Times New Roman" w:hAnsi="Garamond"/>
          <w:color w:val="000000"/>
          <w:lang w:val="en-US"/>
        </w:rPr>
        <w:t>crore</w:t>
      </w:r>
      <w:r w:rsidRPr="00E73EBA">
        <w:rPr>
          <w:rFonts w:ascii="Garamond" w:eastAsia="Times New Roman" w:hAnsi="Garamond"/>
          <w:color w:val="000000"/>
          <w:lang w:val="en-US"/>
        </w:rPr>
        <w:t xml:space="preserve">.  The steel long, the only non-agri. commodity traded at NCDEX, recorded turnover of </w:t>
      </w:r>
      <w:r w:rsidRPr="00E73EBA">
        <w:rPr>
          <w:rFonts w:ascii="Times New Roman" w:eastAsia="Times New Roman" w:hAnsi="Times New Roman"/>
          <w:bCs/>
          <w:color w:val="000000"/>
          <w:lang w:val="en-US"/>
        </w:rPr>
        <w:t>₹</w:t>
      </w:r>
      <w:r w:rsidRPr="00E73EBA">
        <w:rPr>
          <w:rFonts w:ascii="Garamond" w:eastAsia="Times New Roman" w:hAnsi="Garamond"/>
          <w:color w:val="000000"/>
          <w:lang w:val="en-US"/>
        </w:rPr>
        <w:t xml:space="preserve">3.0 </w:t>
      </w:r>
      <w:r w:rsidR="000654C7">
        <w:rPr>
          <w:rFonts w:ascii="Garamond" w:eastAsia="Times New Roman" w:hAnsi="Garamond"/>
          <w:color w:val="000000"/>
          <w:lang w:val="en-US"/>
        </w:rPr>
        <w:t>crore</w:t>
      </w:r>
      <w:r w:rsidRPr="00E73EBA">
        <w:rPr>
          <w:rFonts w:ascii="Garamond" w:eastAsia="Times New Roman" w:hAnsi="Garamond"/>
          <w:color w:val="000000"/>
          <w:lang w:val="en-US"/>
        </w:rPr>
        <w:t xml:space="preserve"> during the month.</w:t>
      </w:r>
      <w:r w:rsidRPr="00E73EBA">
        <w:rPr>
          <w:rFonts w:ascii="Garamond" w:eastAsia="Times New Roman" w:hAnsi="Garamond"/>
          <w:bCs/>
          <w:color w:val="000000"/>
          <w:lang w:val="en-US"/>
        </w:rPr>
        <w:t xml:space="preserve"> </w:t>
      </w:r>
    </w:p>
    <w:p w:rsidR="00567A3B" w:rsidRPr="00E73EBA" w:rsidRDefault="00567A3B" w:rsidP="00567A3B">
      <w:pPr>
        <w:numPr>
          <w:ilvl w:val="0"/>
          <w:numId w:val="6"/>
        </w:numPr>
        <w:spacing w:after="160" w:line="259" w:lineRule="auto"/>
        <w:jc w:val="both"/>
        <w:rPr>
          <w:rFonts w:ascii="Garamond" w:eastAsia="Times New Roman" w:hAnsi="Garamond"/>
          <w:bCs/>
          <w:color w:val="000000"/>
          <w:lang w:val="en-US"/>
        </w:rPr>
      </w:pPr>
      <w:r w:rsidRPr="00E73EBA">
        <w:rPr>
          <w:rFonts w:ascii="Garamond" w:eastAsia="Times New Roman" w:hAnsi="Garamond"/>
          <w:bCs/>
          <w:color w:val="000000"/>
          <w:lang w:val="en-US"/>
        </w:rPr>
        <w:t xml:space="preserve">The </w:t>
      </w:r>
      <w:r w:rsidRPr="00E73EBA">
        <w:rPr>
          <w:rFonts w:ascii="Garamond" w:eastAsia="Times New Roman" w:hAnsi="Garamond"/>
          <w:color w:val="000000"/>
          <w:lang w:val="en-US"/>
        </w:rPr>
        <w:t>total</w:t>
      </w:r>
      <w:r w:rsidRPr="00E73EBA">
        <w:rPr>
          <w:rFonts w:ascii="Garamond" w:eastAsia="Times New Roman" w:hAnsi="Garamond"/>
          <w:bCs/>
          <w:color w:val="000000"/>
          <w:lang w:val="en-US"/>
        </w:rPr>
        <w:t xml:space="preserve"> </w:t>
      </w:r>
      <w:r w:rsidRPr="00E73EBA">
        <w:rPr>
          <w:rFonts w:ascii="Garamond" w:eastAsia="Times New Roman" w:hAnsi="Garamond"/>
          <w:color w:val="000000"/>
          <w:lang w:val="en-US"/>
        </w:rPr>
        <w:t>turnover</w:t>
      </w:r>
      <w:r w:rsidRPr="00E73EBA">
        <w:rPr>
          <w:rFonts w:ascii="Garamond" w:eastAsia="Times New Roman" w:hAnsi="Garamond"/>
          <w:bCs/>
          <w:color w:val="000000"/>
          <w:lang w:val="en-US"/>
        </w:rPr>
        <w:t xml:space="preserve"> at NSE increased by 15.9 per cent to </w:t>
      </w:r>
      <w:r w:rsidRPr="00E73EBA">
        <w:rPr>
          <w:rFonts w:ascii="Times New Roman" w:eastAsia="Times New Roman" w:hAnsi="Times New Roman"/>
          <w:bCs/>
          <w:color w:val="000000"/>
          <w:lang w:val="en-US"/>
        </w:rPr>
        <w:t>₹</w:t>
      </w:r>
      <w:r w:rsidRPr="00E73EBA">
        <w:rPr>
          <w:rFonts w:ascii="Garamond" w:eastAsia="Times New Roman" w:hAnsi="Garamond"/>
          <w:bCs/>
          <w:color w:val="000000"/>
          <w:lang w:val="en-US"/>
        </w:rPr>
        <w:t xml:space="preserve">1,703 </w:t>
      </w:r>
      <w:r w:rsidR="000654C7">
        <w:rPr>
          <w:rFonts w:ascii="Garamond" w:eastAsia="Times New Roman" w:hAnsi="Garamond"/>
          <w:bCs/>
          <w:color w:val="000000"/>
          <w:lang w:val="en-US"/>
        </w:rPr>
        <w:t>crore</w:t>
      </w:r>
      <w:r w:rsidRPr="00E73EBA">
        <w:rPr>
          <w:rFonts w:ascii="Garamond" w:eastAsia="Times New Roman" w:hAnsi="Garamond"/>
          <w:bCs/>
          <w:color w:val="000000"/>
          <w:lang w:val="en-US"/>
        </w:rPr>
        <w:t xml:space="preserve"> during February 2022.  At NSE, the options contract of gold mini alone contributed 99.9 per cent to the total turnover. </w:t>
      </w:r>
    </w:p>
    <w:p w:rsidR="00567A3B" w:rsidRPr="00E73EBA" w:rsidRDefault="00567A3B" w:rsidP="00567A3B">
      <w:pPr>
        <w:numPr>
          <w:ilvl w:val="0"/>
          <w:numId w:val="6"/>
        </w:numPr>
        <w:spacing w:after="160" w:line="259" w:lineRule="auto"/>
        <w:jc w:val="both"/>
        <w:rPr>
          <w:rFonts w:ascii="Garamond" w:eastAsia="Times New Roman" w:hAnsi="Garamond"/>
          <w:bCs/>
          <w:color w:val="000000"/>
          <w:lang w:val="en-US"/>
        </w:rPr>
      </w:pPr>
      <w:r w:rsidRPr="00E73EBA">
        <w:rPr>
          <w:rFonts w:ascii="Garamond" w:eastAsia="Times New Roman" w:hAnsi="Garamond"/>
          <w:bCs/>
          <w:color w:val="000000"/>
          <w:lang w:val="en-US"/>
        </w:rPr>
        <w:t xml:space="preserve">The ICEX recorded nil turnover consecutively for second month.  </w:t>
      </w:r>
    </w:p>
    <w:p w:rsidR="00567A3B" w:rsidRPr="00E73EBA" w:rsidRDefault="00567A3B" w:rsidP="00567A3B">
      <w:pPr>
        <w:numPr>
          <w:ilvl w:val="0"/>
          <w:numId w:val="6"/>
        </w:numPr>
        <w:spacing w:after="160" w:line="259" w:lineRule="auto"/>
        <w:jc w:val="both"/>
        <w:rPr>
          <w:rFonts w:ascii="Garamond" w:eastAsia="Times New Roman" w:hAnsi="Garamond"/>
          <w:bCs/>
          <w:color w:val="000000"/>
          <w:lang w:val="en-US"/>
        </w:rPr>
      </w:pPr>
      <w:r w:rsidRPr="00E73EBA">
        <w:rPr>
          <w:rFonts w:ascii="Garamond" w:eastAsia="Times New Roman" w:hAnsi="Garamond"/>
          <w:bCs/>
          <w:color w:val="000000"/>
          <w:lang w:val="en-US"/>
        </w:rPr>
        <w:t xml:space="preserve">The trends in turnover of commodity derivatives at exchanges are shown in Figures 15, 16 and 17 and the details are given in </w:t>
      </w:r>
      <w:r w:rsidRPr="00E73EBA">
        <w:rPr>
          <w:rFonts w:ascii="Garamond" w:eastAsia="Times New Roman" w:hAnsi="Garamond"/>
          <w:color w:val="000000"/>
          <w:lang w:val="en-US"/>
        </w:rPr>
        <w:t>Tables</w:t>
      </w:r>
      <w:r w:rsidRPr="00E73EBA">
        <w:rPr>
          <w:rFonts w:ascii="Garamond" w:eastAsia="Times New Roman" w:hAnsi="Garamond"/>
          <w:bCs/>
          <w:color w:val="000000"/>
          <w:lang w:val="en-US"/>
        </w:rPr>
        <w:t xml:space="preserve"> 65 to 69.</w:t>
      </w:r>
    </w:p>
    <w:p w:rsidR="00567A3B" w:rsidRDefault="00567A3B" w:rsidP="00567A3B">
      <w:pPr>
        <w:jc w:val="both"/>
        <w:rPr>
          <w:rFonts w:ascii="Palatino Linotype" w:eastAsia="Times New Roman" w:hAnsi="Palatino Linotype"/>
          <w:bCs/>
          <w:color w:val="000000"/>
          <w:szCs w:val="22"/>
          <w:lang w:val="en-US"/>
        </w:rPr>
      </w:pPr>
    </w:p>
    <w:p w:rsidR="00567A3B" w:rsidRDefault="00567A3B" w:rsidP="00567A3B">
      <w:pPr>
        <w:jc w:val="both"/>
        <w:rPr>
          <w:rFonts w:ascii="Palatino Linotype" w:eastAsia="Times New Roman" w:hAnsi="Palatino Linotype"/>
          <w:bCs/>
          <w:color w:val="000000"/>
          <w:szCs w:val="22"/>
          <w:lang w:val="en-US"/>
        </w:rPr>
      </w:pPr>
    </w:p>
    <w:p w:rsidR="00567A3B" w:rsidRDefault="00567A3B" w:rsidP="00567A3B">
      <w:pPr>
        <w:jc w:val="both"/>
        <w:rPr>
          <w:rFonts w:ascii="Palatino Linotype" w:eastAsia="Times New Roman" w:hAnsi="Palatino Linotype"/>
          <w:bCs/>
          <w:color w:val="000000"/>
          <w:szCs w:val="22"/>
          <w:lang w:val="en-US"/>
        </w:rPr>
      </w:pPr>
    </w:p>
    <w:p w:rsidR="00567A3B" w:rsidRPr="00E73EBA" w:rsidRDefault="00567A3B" w:rsidP="00567A3B">
      <w:pPr>
        <w:jc w:val="both"/>
        <w:rPr>
          <w:rFonts w:ascii="Palatino Linotype" w:eastAsia="Times New Roman" w:hAnsi="Palatino Linotype"/>
          <w:bCs/>
          <w:color w:val="000000"/>
          <w:szCs w:val="22"/>
          <w:lang w:val="en-US"/>
        </w:rPr>
      </w:pPr>
    </w:p>
    <w:p w:rsidR="00555598" w:rsidRDefault="00555598" w:rsidP="00567A3B">
      <w:pPr>
        <w:rPr>
          <w:rFonts w:ascii="Garamond" w:hAnsi="Garamond"/>
          <w:b/>
          <w:bCs/>
          <w:noProof/>
          <w:lang w:val="en-US" w:eastAsia="en-IN"/>
        </w:rPr>
      </w:pPr>
    </w:p>
    <w:p w:rsidR="00555598" w:rsidRDefault="00555598" w:rsidP="00567A3B">
      <w:pPr>
        <w:rPr>
          <w:rFonts w:ascii="Garamond" w:hAnsi="Garamond"/>
          <w:b/>
          <w:bCs/>
          <w:noProof/>
          <w:lang w:val="en-US" w:eastAsia="en-IN"/>
        </w:rPr>
      </w:pPr>
    </w:p>
    <w:p w:rsidR="00555598" w:rsidRDefault="00555598" w:rsidP="00567A3B">
      <w:pPr>
        <w:rPr>
          <w:rFonts w:ascii="Garamond" w:hAnsi="Garamond"/>
          <w:b/>
          <w:bCs/>
          <w:noProof/>
          <w:lang w:val="en-US" w:eastAsia="en-IN"/>
        </w:rPr>
      </w:pPr>
    </w:p>
    <w:p w:rsidR="00555598" w:rsidRDefault="00555598" w:rsidP="00567A3B">
      <w:pPr>
        <w:rPr>
          <w:rFonts w:ascii="Garamond" w:hAnsi="Garamond"/>
          <w:b/>
          <w:bCs/>
          <w:noProof/>
          <w:lang w:val="en-US" w:eastAsia="en-IN"/>
        </w:rPr>
      </w:pPr>
    </w:p>
    <w:p w:rsidR="00555598" w:rsidRDefault="00555598" w:rsidP="00567A3B">
      <w:pPr>
        <w:rPr>
          <w:rFonts w:ascii="Garamond" w:hAnsi="Garamond"/>
          <w:b/>
          <w:bCs/>
          <w:noProof/>
          <w:lang w:val="en-US" w:eastAsia="en-IN"/>
        </w:rPr>
      </w:pPr>
    </w:p>
    <w:p w:rsidR="00555598" w:rsidRDefault="00555598" w:rsidP="00567A3B">
      <w:pPr>
        <w:rPr>
          <w:rFonts w:ascii="Garamond" w:hAnsi="Garamond"/>
          <w:b/>
          <w:bCs/>
          <w:noProof/>
          <w:lang w:val="en-US" w:eastAsia="en-IN"/>
        </w:rPr>
      </w:pPr>
    </w:p>
    <w:p w:rsidR="00555598" w:rsidRDefault="00555598" w:rsidP="00567A3B">
      <w:pPr>
        <w:rPr>
          <w:rFonts w:ascii="Garamond" w:hAnsi="Garamond"/>
          <w:b/>
          <w:bCs/>
          <w:noProof/>
          <w:lang w:val="en-US" w:eastAsia="en-IN"/>
        </w:rPr>
      </w:pPr>
    </w:p>
    <w:p w:rsidR="00567A3B" w:rsidRDefault="00567A3B" w:rsidP="00567A3B">
      <w:pPr>
        <w:rPr>
          <w:rFonts w:ascii="Garamond" w:hAnsi="Garamond"/>
          <w:b/>
          <w:bCs/>
          <w:noProof/>
          <w:lang w:val="en-US" w:eastAsia="en-IN"/>
        </w:rPr>
      </w:pPr>
      <w:r w:rsidRPr="00EB083F">
        <w:rPr>
          <w:rFonts w:ascii="Garamond" w:hAnsi="Garamond"/>
          <w:b/>
          <w:bCs/>
          <w:noProof/>
          <w:lang w:val="en-US" w:eastAsia="en-IN"/>
        </w:rPr>
        <w:lastRenderedPageBreak/>
        <w:t>Figure 15: Trends in Turnover of Agricultural Commodity Derivatives</w:t>
      </w:r>
    </w:p>
    <w:p w:rsidR="00567A3B" w:rsidRPr="00EB083F" w:rsidRDefault="00567A3B" w:rsidP="00567A3B">
      <w:pPr>
        <w:rPr>
          <w:rFonts w:ascii="Garamond" w:hAnsi="Garamond"/>
          <w:b/>
          <w:bCs/>
          <w:noProof/>
          <w:lang w:val="en-US" w:eastAsia="en-IN"/>
        </w:rPr>
      </w:pPr>
      <w:r w:rsidRPr="00036C37">
        <w:rPr>
          <w:noProof/>
          <w:lang w:val="en-US" w:bidi="hi-IN"/>
        </w:rPr>
        <w:drawing>
          <wp:inline distT="0" distB="0" distL="0" distR="0" wp14:anchorId="10D60CC3" wp14:editId="7EB451D4">
            <wp:extent cx="5667375" cy="2124075"/>
            <wp:effectExtent l="0" t="0" r="9525" b="9525"/>
            <wp:docPr id="1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67A3B" w:rsidRPr="00EB083F" w:rsidRDefault="00567A3B" w:rsidP="00567A3B">
      <w:pPr>
        <w:rPr>
          <w:rFonts w:ascii="Garamond" w:hAnsi="Garamond"/>
          <w:b/>
          <w:bCs/>
          <w:noProof/>
          <w:lang w:val="en-US" w:eastAsia="en-IN"/>
        </w:rPr>
      </w:pPr>
      <w:r w:rsidRPr="00EB083F">
        <w:rPr>
          <w:rFonts w:ascii="Garamond" w:hAnsi="Garamond"/>
          <w:bCs/>
          <w:i/>
          <w:iCs/>
          <w:noProof/>
          <w:szCs w:val="22"/>
          <w:lang w:val="en-US" w:eastAsia="en-IN"/>
        </w:rPr>
        <w:t>Source: MCX, NCDEX, NSE, BSE &amp; ICEX</w:t>
      </w:r>
    </w:p>
    <w:p w:rsidR="00567A3B" w:rsidRPr="00EB083F" w:rsidRDefault="00567A3B" w:rsidP="00567A3B">
      <w:pPr>
        <w:rPr>
          <w:rFonts w:ascii="Garamond" w:hAnsi="Garamond"/>
          <w:b/>
          <w:noProof/>
          <w:lang w:val="en-US" w:eastAsia="en-IN"/>
        </w:rPr>
      </w:pPr>
      <w:r w:rsidRPr="00EB083F">
        <w:rPr>
          <w:rFonts w:ascii="Garamond" w:hAnsi="Garamond"/>
          <w:b/>
          <w:noProof/>
          <w:lang w:eastAsia="en-IN"/>
        </w:rPr>
        <w:t>Figure 16: Trends in Turnover of Non-Agricultural Futures contracts</w:t>
      </w:r>
    </w:p>
    <w:p w:rsidR="00567A3B" w:rsidRPr="00EB083F" w:rsidRDefault="00567A3B" w:rsidP="00567A3B">
      <w:pPr>
        <w:rPr>
          <w:rFonts w:ascii="Garamond" w:hAnsi="Garamond"/>
          <w:b/>
          <w:noProof/>
          <w:lang w:val="en-US" w:eastAsia="en-IN"/>
        </w:rPr>
      </w:pPr>
      <w:r w:rsidRPr="00EB083F">
        <w:rPr>
          <w:rFonts w:ascii="Garamond" w:hAnsi="Garamond"/>
          <w:b/>
          <w:noProof/>
          <w:lang w:val="en-US" w:eastAsia="en-IN"/>
        </w:rPr>
        <w:t xml:space="preserve"> </w:t>
      </w:r>
      <w:r w:rsidRPr="00036C37">
        <w:rPr>
          <w:noProof/>
          <w:lang w:val="en-US" w:bidi="hi-IN"/>
        </w:rPr>
        <w:drawing>
          <wp:inline distT="0" distB="0" distL="0" distR="0" wp14:anchorId="66B42CAC" wp14:editId="2922A9AA">
            <wp:extent cx="5514975" cy="2562225"/>
            <wp:effectExtent l="0" t="0" r="9525" b="9525"/>
            <wp:docPr id="1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67A3B" w:rsidRPr="00EB083F" w:rsidRDefault="00567A3B" w:rsidP="00567A3B">
      <w:pPr>
        <w:rPr>
          <w:rFonts w:ascii="Garamond" w:hAnsi="Garamond"/>
          <w:bCs/>
          <w:noProof/>
          <w:lang w:val="en-US" w:eastAsia="en-IN"/>
        </w:rPr>
      </w:pPr>
      <w:r w:rsidRPr="00EB083F">
        <w:rPr>
          <w:rFonts w:ascii="Garamond" w:hAnsi="Garamond"/>
          <w:bCs/>
          <w:i/>
          <w:iCs/>
          <w:noProof/>
          <w:lang w:val="en-US" w:eastAsia="en-IN"/>
        </w:rPr>
        <w:t>Source: MCX, NCDEX, NSE, BSE &amp; ICEX</w:t>
      </w:r>
      <w:r w:rsidRPr="00EB083F">
        <w:rPr>
          <w:rFonts w:ascii="Garamond" w:hAnsi="Garamond"/>
          <w:b/>
          <w:noProof/>
          <w:lang w:val="en-US" w:eastAsia="en-IN"/>
        </w:rPr>
        <w:t>.</w:t>
      </w:r>
      <w:r w:rsidRPr="00EB083F">
        <w:rPr>
          <w:rFonts w:ascii="Garamond" w:hAnsi="Garamond"/>
          <w:bCs/>
          <w:noProof/>
          <w:lang w:val="en-US" w:eastAsia="en-IN"/>
        </w:rPr>
        <w:t xml:space="preserve"> </w:t>
      </w:r>
    </w:p>
    <w:p w:rsidR="00567A3B" w:rsidRPr="00EB083F" w:rsidRDefault="00567A3B" w:rsidP="00567A3B">
      <w:pPr>
        <w:rPr>
          <w:rFonts w:ascii="Garamond" w:hAnsi="Garamond"/>
          <w:b/>
          <w:noProof/>
          <w:lang w:val="en-US" w:eastAsia="en-IN"/>
        </w:rPr>
      </w:pPr>
      <w:r w:rsidRPr="00EB083F">
        <w:rPr>
          <w:rFonts w:ascii="Garamond" w:hAnsi="Garamond"/>
          <w:b/>
          <w:noProof/>
          <w:lang w:val="en-US" w:eastAsia="en-IN"/>
        </w:rPr>
        <w:t>Figure 17: Trends in Turnover of Non-Agricultural Options contracts</w:t>
      </w:r>
    </w:p>
    <w:p w:rsidR="00567A3B" w:rsidRPr="00EB083F" w:rsidRDefault="00567A3B" w:rsidP="00567A3B">
      <w:pPr>
        <w:rPr>
          <w:rFonts w:ascii="Garamond" w:hAnsi="Garamond"/>
          <w:b/>
          <w:noProof/>
          <w:lang w:val="en-US" w:eastAsia="en-IN"/>
        </w:rPr>
      </w:pPr>
      <w:r w:rsidRPr="00EB083F">
        <w:rPr>
          <w:rFonts w:ascii="Garamond" w:hAnsi="Garamond"/>
          <w:noProof/>
          <w:lang w:eastAsia="en-IN"/>
        </w:rPr>
        <w:t xml:space="preserve"> </w:t>
      </w:r>
      <w:r w:rsidRPr="00036C37">
        <w:rPr>
          <w:noProof/>
          <w:lang w:val="en-US" w:bidi="hi-IN"/>
        </w:rPr>
        <w:drawing>
          <wp:inline distT="0" distB="0" distL="0" distR="0" wp14:anchorId="31D396CE" wp14:editId="1D4D3195">
            <wp:extent cx="5619750" cy="2571750"/>
            <wp:effectExtent l="0" t="0" r="0" b="0"/>
            <wp:docPr id="2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67A3B" w:rsidRPr="00921CF6" w:rsidRDefault="00567A3B" w:rsidP="00567A3B">
      <w:pPr>
        <w:rPr>
          <w:bCs/>
          <w:lang w:val="en-US"/>
        </w:rPr>
      </w:pPr>
      <w:r w:rsidRPr="00EB083F">
        <w:rPr>
          <w:rFonts w:ascii="Garamond" w:hAnsi="Garamond"/>
          <w:b/>
          <w:noProof/>
          <w:lang w:val="en-US" w:eastAsia="en-IN"/>
        </w:rPr>
        <w:t>Source: MCX, BSE &amp; NSE.</w:t>
      </w:r>
      <w:r w:rsidRPr="00EB083F">
        <w:rPr>
          <w:rFonts w:ascii="Garamond" w:hAnsi="Garamond"/>
          <w:bCs/>
          <w:noProof/>
          <w:lang w:val="en-US" w:eastAsia="en-IN"/>
        </w:rPr>
        <w:t xml:space="preserve">   </w:t>
      </w:r>
      <w:r w:rsidRPr="00B51261">
        <w:rPr>
          <w:rFonts w:ascii="Garamond" w:hAnsi="Garamond"/>
          <w:bCs/>
          <w:lang w:val="en-US"/>
        </w:rPr>
        <w:t xml:space="preserve">   </w:t>
      </w:r>
    </w:p>
    <w:p w:rsidR="006A6CB3" w:rsidRPr="006A6CB3" w:rsidRDefault="006A6CB3" w:rsidP="006A6CB3">
      <w:pPr>
        <w:rPr>
          <w:rFonts w:ascii="Garamond" w:hAnsi="Garamond"/>
        </w:rPr>
      </w:pPr>
    </w:p>
    <w:p w:rsidR="00E5493C" w:rsidRPr="006A6CB3" w:rsidRDefault="00E344DD" w:rsidP="00E344DD">
      <w:pPr>
        <w:spacing w:line="259" w:lineRule="auto"/>
        <w:rPr>
          <w:rFonts w:ascii="Garamond" w:hAnsi="Garamond" w:cs="Arial"/>
          <w:bCs/>
        </w:rPr>
      </w:pPr>
      <w:r w:rsidRPr="006A6CB3">
        <w:rPr>
          <w:rFonts w:ascii="Garamond" w:hAnsi="Garamond" w:cs="Arial"/>
          <w:bCs/>
        </w:rPr>
        <w:t xml:space="preserve">                                   </w:t>
      </w:r>
    </w:p>
    <w:p w:rsidR="00E5493C" w:rsidRPr="006A6CB3" w:rsidRDefault="00E5493C">
      <w:pPr>
        <w:rPr>
          <w:rFonts w:ascii="Garamond" w:hAnsi="Garamond" w:cs="Arial"/>
          <w:bCs/>
        </w:rPr>
      </w:pPr>
      <w:r w:rsidRPr="006A6CB3">
        <w:rPr>
          <w:rFonts w:ascii="Garamond" w:hAnsi="Garamond" w:cs="Arial"/>
          <w:bCs/>
        </w:rPr>
        <w:br w:type="page"/>
      </w:r>
    </w:p>
    <w:p w:rsidR="00363C1F" w:rsidRPr="000577B9" w:rsidRDefault="00363C1F" w:rsidP="00363C1F">
      <w:pPr>
        <w:keepNext/>
        <w:keepLines/>
        <w:spacing w:before="240" w:after="40"/>
        <w:contextualSpacing/>
        <w:jc w:val="center"/>
        <w:outlineLvl w:val="3"/>
        <w:rPr>
          <w:rFonts w:ascii="Garamond" w:eastAsia="Times New Roman" w:hAnsi="Garamond"/>
          <w:b/>
          <w:color w:val="1F4E79" w:themeColor="accent1" w:themeShade="80"/>
          <w:sz w:val="26"/>
          <w:szCs w:val="26"/>
          <w:lang w:val="en-IN" w:eastAsia="en-IN"/>
        </w:rPr>
      </w:pPr>
      <w:r w:rsidRPr="000577B9">
        <w:rPr>
          <w:rFonts w:ascii="Garamond" w:eastAsia="Times New Roman" w:hAnsi="Garamond"/>
          <w:b/>
          <w:color w:val="1F4E79" w:themeColor="accent1" w:themeShade="80"/>
          <w:sz w:val="26"/>
          <w:szCs w:val="26"/>
          <w:lang w:val="en-IN" w:eastAsia="en-IN"/>
        </w:rPr>
        <w:lastRenderedPageBreak/>
        <w:t>OVERVIEW OF THE GLOBAL FINANCIAL MARKETS</w:t>
      </w:r>
    </w:p>
    <w:p w:rsidR="003C2485" w:rsidRPr="000577B9" w:rsidRDefault="003C2485">
      <w:pPr>
        <w:rPr>
          <w:rFonts w:ascii="Palatino Linotype" w:hAnsi="Palatino Linotype" w:cs="Arial"/>
          <w:bCs/>
          <w:color w:val="1F4E79" w:themeColor="accent1" w:themeShade="80"/>
        </w:rPr>
      </w:pPr>
    </w:p>
    <w:p w:rsidR="003C2485" w:rsidRDefault="003C2485">
      <w:pPr>
        <w:rPr>
          <w:rFonts w:ascii="Palatino Linotype" w:hAnsi="Palatino Linotype" w:cs="Arial"/>
          <w:bCs/>
        </w:rPr>
      </w:pPr>
    </w:p>
    <w:p w:rsidR="0018293F" w:rsidRPr="000577B9" w:rsidRDefault="0018293F" w:rsidP="00223C98">
      <w:pPr>
        <w:numPr>
          <w:ilvl w:val="0"/>
          <w:numId w:val="8"/>
        </w:numPr>
        <w:spacing w:before="100" w:beforeAutospacing="1" w:line="276" w:lineRule="auto"/>
        <w:ind w:right="107"/>
        <w:contextualSpacing/>
        <w:jc w:val="both"/>
        <w:rPr>
          <w:rFonts w:ascii="Garamond" w:eastAsia="Times New Roman" w:hAnsi="Garamond"/>
          <w:b/>
          <w:bCs/>
          <w:lang w:val="en-US"/>
        </w:rPr>
      </w:pPr>
      <w:r w:rsidRPr="000577B9">
        <w:rPr>
          <w:rFonts w:ascii="Garamond" w:eastAsia="Times New Roman" w:hAnsi="Garamond"/>
          <w:b/>
          <w:bCs/>
          <w:lang w:val="en-US"/>
        </w:rPr>
        <w:t>State of Economy</w:t>
      </w:r>
    </w:p>
    <w:p w:rsidR="0018293F" w:rsidRPr="000577B9" w:rsidRDefault="0018293F" w:rsidP="0018293F">
      <w:pPr>
        <w:spacing w:before="100" w:beforeAutospacing="1" w:line="276" w:lineRule="auto"/>
        <w:ind w:left="360" w:right="107"/>
        <w:contextualSpacing/>
        <w:jc w:val="both"/>
        <w:rPr>
          <w:rFonts w:ascii="Garamond" w:eastAsia="Times New Roman" w:hAnsi="Garamond"/>
          <w:lang w:val="en-US"/>
        </w:rPr>
      </w:pPr>
    </w:p>
    <w:p w:rsidR="00567A3B" w:rsidRPr="004D4612" w:rsidRDefault="004D4612" w:rsidP="004D4612">
      <w:pPr>
        <w:spacing w:before="100" w:beforeAutospacing="1" w:line="276" w:lineRule="auto"/>
        <w:ind w:left="360" w:right="107"/>
        <w:contextualSpacing/>
        <w:jc w:val="both"/>
        <w:rPr>
          <w:rFonts w:ascii="Palatino Linotype" w:eastAsia="Times New Roman" w:hAnsi="Palatino Linotype"/>
          <w:b/>
          <w:bCs/>
          <w:sz w:val="22"/>
          <w:szCs w:val="22"/>
          <w:lang w:val="en-US"/>
        </w:rPr>
      </w:pPr>
      <w:r>
        <w:rPr>
          <w:rFonts w:ascii="Palatino Linotype" w:eastAsia="Times New Roman" w:hAnsi="Palatino Linotype"/>
          <w:b/>
          <w:bCs/>
          <w:sz w:val="22"/>
          <w:szCs w:val="22"/>
          <w:lang w:val="en-US"/>
        </w:rPr>
        <w:t>Global</w:t>
      </w:r>
    </w:p>
    <w:p w:rsidR="00567A3B" w:rsidRDefault="00567A3B" w:rsidP="00223C98">
      <w:pPr>
        <w:numPr>
          <w:ilvl w:val="0"/>
          <w:numId w:val="9"/>
        </w:numPr>
        <w:ind w:left="357" w:hanging="357"/>
        <w:jc w:val="both"/>
        <w:rPr>
          <w:rFonts w:ascii="Palatino Linotype" w:eastAsia="Times New Roman" w:hAnsi="Palatino Linotype"/>
          <w:sz w:val="22"/>
          <w:szCs w:val="22"/>
          <w:lang w:val="en-US"/>
        </w:rPr>
      </w:pPr>
      <w:r>
        <w:rPr>
          <w:rFonts w:ascii="Palatino Linotype" w:eastAsia="Times New Roman" w:hAnsi="Palatino Linotype"/>
          <w:sz w:val="22"/>
          <w:szCs w:val="22"/>
          <w:lang w:val="en-US"/>
        </w:rPr>
        <w:t>As per the IMF staff statement dated March 05, 2022,</w:t>
      </w:r>
      <w:r w:rsidRPr="00034FB9">
        <w:rPr>
          <w:rFonts w:ascii="Palatino Linotype" w:eastAsia="Times New Roman" w:hAnsi="Palatino Linotype"/>
          <w:sz w:val="22"/>
          <w:szCs w:val="22"/>
          <w:lang w:val="en-US"/>
        </w:rPr>
        <w:t xml:space="preserve"> the war in Ukraine has created an adverse shock to both inflation and activity, amid already elevated price pressures in many countries. Energy and commodity prices—including wheat and other grains—have surged, adding to inflationary pressures from supply chain disruptions and the rebound from the Covid</w:t>
      </w:r>
      <w:r w:rsidRPr="00034FB9">
        <w:rPr>
          <w:rFonts w:ascii="Palatino Linotype" w:eastAsia="Times New Roman" w:hAnsi="Palatino Linotype"/>
          <w:sz w:val="22"/>
          <w:szCs w:val="22"/>
          <w:lang w:val="en-US"/>
        </w:rPr>
        <w:noBreakHyphen/>
        <w:t>19 pandemic. Countries that have very close economic links with Ukraine and Russia are at particular risk of scarcity and supply disruptions. </w:t>
      </w:r>
    </w:p>
    <w:p w:rsidR="00567A3B" w:rsidRPr="00034FB9" w:rsidRDefault="00567A3B" w:rsidP="00223C98">
      <w:pPr>
        <w:numPr>
          <w:ilvl w:val="0"/>
          <w:numId w:val="9"/>
        </w:numPr>
        <w:ind w:left="357" w:hanging="357"/>
        <w:jc w:val="both"/>
        <w:rPr>
          <w:rFonts w:ascii="Palatino Linotype" w:eastAsia="Times New Roman" w:hAnsi="Palatino Linotype"/>
          <w:sz w:val="22"/>
          <w:szCs w:val="22"/>
          <w:lang w:val="en-US"/>
        </w:rPr>
      </w:pPr>
      <w:r w:rsidRPr="00034FB9">
        <w:rPr>
          <w:rFonts w:ascii="Palatino Linotype" w:eastAsia="Times New Roman" w:hAnsi="Palatino Linotype"/>
          <w:sz w:val="22"/>
          <w:szCs w:val="22"/>
          <w:lang w:val="en-US"/>
        </w:rPr>
        <w:t>As per OECD, war in Ukraine has created a new negative supply shock for the world economy, just when some of the supply-chain challenges seen since the beginning of the pandemic appeared to be starting to fade</w:t>
      </w:r>
      <w:r w:rsidRPr="00980A7D">
        <w:rPr>
          <w:rFonts w:ascii="Palatino Linotype" w:eastAsia="Times New Roman" w:hAnsi="Palatino Linotype"/>
          <w:sz w:val="22"/>
          <w:szCs w:val="22"/>
          <w:lang w:val="en-US"/>
        </w:rPr>
        <w:t xml:space="preserve"> The moves in commodity prices and financial markets seen since the outbreak of the war could, if sustained, reduce global GDP growth by over 1 percentage point in the first year, with a deep recession in Russia, and push up global consumer price inflation by approximately 2½ percentage points.</w:t>
      </w:r>
    </w:p>
    <w:p w:rsidR="00567A3B" w:rsidRPr="00550AFB" w:rsidRDefault="00567A3B" w:rsidP="00223C98">
      <w:pPr>
        <w:numPr>
          <w:ilvl w:val="0"/>
          <w:numId w:val="9"/>
        </w:numPr>
        <w:spacing w:line="276" w:lineRule="auto"/>
        <w:jc w:val="both"/>
        <w:rPr>
          <w:rFonts w:ascii="Palatino Linotype" w:eastAsia="Times New Roman" w:hAnsi="Palatino Linotype"/>
          <w:sz w:val="22"/>
          <w:szCs w:val="22"/>
          <w:lang w:val="en-US"/>
        </w:rPr>
      </w:pPr>
      <w:r w:rsidRPr="00980A7D">
        <w:rPr>
          <w:rFonts w:ascii="Palatino Linotype" w:eastAsia="Times New Roman" w:hAnsi="Palatino Linotype"/>
          <w:sz w:val="22"/>
          <w:szCs w:val="22"/>
          <w:lang w:val="en-US"/>
        </w:rPr>
        <w:t>The JPMorgan Global Composite Output Index, improved to 53.4  in February 2022 from a one-and-a-half year low of 51.4 in January 2022</w:t>
      </w:r>
      <w:r w:rsidRPr="00550AFB">
        <w:rPr>
          <w:rFonts w:ascii="Palatino Linotype" w:eastAsia="Times New Roman" w:hAnsi="Palatino Linotype"/>
          <w:sz w:val="22"/>
          <w:szCs w:val="22"/>
          <w:lang w:val="en-US"/>
        </w:rPr>
        <w:t>.</w:t>
      </w:r>
    </w:p>
    <w:p w:rsidR="00567A3B" w:rsidRPr="00EC115D" w:rsidRDefault="00567A3B" w:rsidP="00567A3B">
      <w:pPr>
        <w:spacing w:before="100" w:beforeAutospacing="1" w:line="276" w:lineRule="auto"/>
        <w:ind w:left="360" w:right="107"/>
        <w:contextualSpacing/>
        <w:jc w:val="both"/>
        <w:rPr>
          <w:rFonts w:ascii="Palatino Linotype" w:eastAsia="Times New Roman" w:hAnsi="Palatino Linotype"/>
          <w:sz w:val="22"/>
          <w:szCs w:val="22"/>
          <w:highlight w:val="yellow"/>
          <w:lang w:val="en-US"/>
        </w:rPr>
      </w:pPr>
    </w:p>
    <w:p w:rsidR="00567A3B" w:rsidRDefault="00567A3B" w:rsidP="00567A3B">
      <w:pPr>
        <w:spacing w:before="100" w:beforeAutospacing="1" w:line="276" w:lineRule="auto"/>
        <w:ind w:left="360" w:right="107"/>
        <w:contextualSpacing/>
        <w:jc w:val="both"/>
        <w:rPr>
          <w:rFonts w:ascii="Palatino Linotype" w:eastAsia="Times New Roman" w:hAnsi="Palatino Linotype"/>
          <w:b/>
          <w:bCs/>
          <w:sz w:val="22"/>
          <w:szCs w:val="22"/>
          <w:lang w:val="en-US"/>
        </w:rPr>
      </w:pPr>
      <w:r>
        <w:rPr>
          <w:rFonts w:ascii="Palatino Linotype" w:eastAsia="Times New Roman" w:hAnsi="Palatino Linotype"/>
          <w:b/>
          <w:bCs/>
          <w:sz w:val="22"/>
          <w:szCs w:val="22"/>
          <w:lang w:val="en-US"/>
        </w:rPr>
        <w:t>United States</w:t>
      </w:r>
    </w:p>
    <w:p w:rsidR="00567A3B" w:rsidRPr="005D3A87" w:rsidRDefault="00567A3B" w:rsidP="00223C98">
      <w:pPr>
        <w:numPr>
          <w:ilvl w:val="0"/>
          <w:numId w:val="9"/>
        </w:numPr>
        <w:ind w:left="357" w:hanging="357"/>
        <w:jc w:val="both"/>
        <w:rPr>
          <w:rFonts w:ascii="Palatino Linotype" w:eastAsia="Times New Roman" w:hAnsi="Palatino Linotype"/>
          <w:sz w:val="22"/>
          <w:szCs w:val="22"/>
          <w:lang w:val="en-US"/>
        </w:rPr>
      </w:pPr>
      <w:r>
        <w:rPr>
          <w:rFonts w:ascii="Palatino Linotype" w:eastAsia="Times New Roman" w:hAnsi="Palatino Linotype"/>
          <w:sz w:val="22"/>
          <w:szCs w:val="22"/>
          <w:lang w:val="en-US"/>
        </w:rPr>
        <w:t>Advance</w:t>
      </w:r>
      <w:r w:rsidRPr="00DB7C82">
        <w:rPr>
          <w:rFonts w:ascii="Palatino Linotype" w:eastAsia="Times New Roman" w:hAnsi="Palatino Linotype"/>
          <w:sz w:val="22"/>
          <w:szCs w:val="22"/>
          <w:lang w:val="en-US"/>
        </w:rPr>
        <w:t xml:space="preserve"> estimate of GDP released by Bureau of Economic Analysis, US Department of Commerce, on </w:t>
      </w:r>
      <w:r>
        <w:rPr>
          <w:rFonts w:ascii="Palatino Linotype" w:eastAsia="Times New Roman" w:hAnsi="Palatino Linotype"/>
          <w:sz w:val="22"/>
          <w:szCs w:val="22"/>
          <w:lang w:val="en-US"/>
        </w:rPr>
        <w:t>February</w:t>
      </w:r>
      <w:r w:rsidRPr="00DB7C82">
        <w:rPr>
          <w:rFonts w:ascii="Palatino Linotype" w:eastAsia="Times New Roman" w:hAnsi="Palatino Linotype"/>
          <w:sz w:val="22"/>
          <w:szCs w:val="22"/>
          <w:lang w:val="en-US"/>
        </w:rPr>
        <w:t xml:space="preserve"> 2</w:t>
      </w:r>
      <w:r>
        <w:rPr>
          <w:rFonts w:ascii="Palatino Linotype" w:eastAsia="Times New Roman" w:hAnsi="Palatino Linotype"/>
          <w:sz w:val="22"/>
          <w:szCs w:val="22"/>
          <w:lang w:val="en-US"/>
        </w:rPr>
        <w:t>4</w:t>
      </w:r>
      <w:r w:rsidRPr="00DB7C82">
        <w:rPr>
          <w:rFonts w:ascii="Palatino Linotype" w:eastAsia="Times New Roman" w:hAnsi="Palatino Linotype"/>
          <w:sz w:val="22"/>
          <w:szCs w:val="22"/>
          <w:lang w:val="en-US"/>
        </w:rPr>
        <w:t>, 202</w:t>
      </w:r>
      <w:r>
        <w:rPr>
          <w:rFonts w:ascii="Palatino Linotype" w:eastAsia="Times New Roman" w:hAnsi="Palatino Linotype"/>
          <w:sz w:val="22"/>
          <w:szCs w:val="22"/>
          <w:lang w:val="en-US"/>
        </w:rPr>
        <w:t>2</w:t>
      </w:r>
      <w:r w:rsidRPr="00DB7C82">
        <w:rPr>
          <w:rFonts w:ascii="Palatino Linotype" w:eastAsia="Times New Roman" w:hAnsi="Palatino Linotype"/>
          <w:sz w:val="22"/>
          <w:szCs w:val="22"/>
          <w:lang w:val="en-US"/>
        </w:rPr>
        <w:t xml:space="preserve">, shows that the real GDP in US increased at annual rate of </w:t>
      </w:r>
      <w:r>
        <w:rPr>
          <w:rFonts w:ascii="Palatino Linotype" w:eastAsia="Times New Roman" w:hAnsi="Palatino Linotype"/>
          <w:sz w:val="22"/>
          <w:szCs w:val="22"/>
          <w:lang w:val="en-US"/>
        </w:rPr>
        <w:t>7.0</w:t>
      </w:r>
      <w:r w:rsidRPr="00DB7C82">
        <w:rPr>
          <w:rFonts w:ascii="Palatino Linotype" w:eastAsia="Times New Roman" w:hAnsi="Palatino Linotype"/>
          <w:sz w:val="22"/>
          <w:szCs w:val="22"/>
          <w:lang w:val="en-US"/>
        </w:rPr>
        <w:t xml:space="preserve"> per cent (Q-o-Q) in Q</w:t>
      </w:r>
      <w:r>
        <w:rPr>
          <w:rFonts w:ascii="Palatino Linotype" w:eastAsia="Times New Roman" w:hAnsi="Palatino Linotype"/>
          <w:sz w:val="22"/>
          <w:szCs w:val="22"/>
          <w:lang w:val="en-US"/>
        </w:rPr>
        <w:t>4</w:t>
      </w:r>
      <w:r w:rsidRPr="00DB7C82">
        <w:rPr>
          <w:rFonts w:ascii="Palatino Linotype" w:eastAsia="Times New Roman" w:hAnsi="Palatino Linotype"/>
          <w:sz w:val="22"/>
          <w:szCs w:val="22"/>
          <w:lang w:val="en-US"/>
        </w:rPr>
        <w:t>, 2021</w:t>
      </w:r>
      <w:r>
        <w:rPr>
          <w:rFonts w:ascii="Palatino Linotype" w:eastAsia="Times New Roman" w:hAnsi="Palatino Linotype"/>
          <w:sz w:val="22"/>
          <w:szCs w:val="22"/>
          <w:lang w:val="en-US"/>
        </w:rPr>
        <w:t>,</w:t>
      </w:r>
      <w:r w:rsidRPr="00DB7C82">
        <w:rPr>
          <w:rFonts w:ascii="Palatino Linotype" w:eastAsia="Times New Roman" w:hAnsi="Palatino Linotype"/>
          <w:sz w:val="22"/>
          <w:szCs w:val="22"/>
          <w:lang w:val="en-US"/>
        </w:rPr>
        <w:t xml:space="preserve"> as compare</w:t>
      </w:r>
      <w:r>
        <w:rPr>
          <w:rFonts w:ascii="Palatino Linotype" w:eastAsia="Times New Roman" w:hAnsi="Palatino Linotype"/>
          <w:sz w:val="22"/>
          <w:szCs w:val="22"/>
          <w:lang w:val="en-US"/>
        </w:rPr>
        <w:t>d to 2.3 per cent in Q3, 2021.</w:t>
      </w:r>
    </w:p>
    <w:p w:rsidR="00567A3B" w:rsidRPr="00D82D82" w:rsidRDefault="00567A3B" w:rsidP="00223C98">
      <w:pPr>
        <w:numPr>
          <w:ilvl w:val="0"/>
          <w:numId w:val="9"/>
        </w:numPr>
        <w:ind w:left="357" w:hanging="357"/>
        <w:jc w:val="both"/>
        <w:rPr>
          <w:rFonts w:ascii="Palatino Linotype" w:eastAsia="Times New Roman" w:hAnsi="Palatino Linotype"/>
          <w:sz w:val="22"/>
          <w:szCs w:val="22"/>
          <w:lang w:val="en-US"/>
        </w:rPr>
      </w:pPr>
      <w:r w:rsidRPr="00D82D82">
        <w:rPr>
          <w:rFonts w:ascii="Palatino Linotype" w:eastAsia="Times New Roman" w:hAnsi="Palatino Linotype"/>
          <w:sz w:val="22"/>
          <w:szCs w:val="22"/>
          <w:lang w:val="en-US"/>
        </w:rPr>
        <w:t>Federal Reserve Board in its FOMC meeting hel</w:t>
      </w:r>
      <w:r>
        <w:rPr>
          <w:rFonts w:ascii="Palatino Linotype" w:eastAsia="Times New Roman" w:hAnsi="Palatino Linotype"/>
          <w:sz w:val="22"/>
          <w:szCs w:val="22"/>
          <w:lang w:val="en-US"/>
        </w:rPr>
        <w:t>d on</w:t>
      </w:r>
      <w:r w:rsidRPr="00D82D82">
        <w:rPr>
          <w:rFonts w:ascii="Palatino Linotype" w:eastAsia="Times New Roman" w:hAnsi="Palatino Linotype"/>
          <w:sz w:val="22"/>
          <w:szCs w:val="22"/>
          <w:lang w:val="en-US"/>
        </w:rPr>
        <w:t xml:space="preserve"> </w:t>
      </w:r>
      <w:r>
        <w:rPr>
          <w:rFonts w:ascii="Palatino Linotype" w:eastAsia="Times New Roman" w:hAnsi="Palatino Linotype"/>
          <w:sz w:val="22"/>
          <w:szCs w:val="22"/>
          <w:lang w:val="en-US"/>
        </w:rPr>
        <w:t>January 25-26</w:t>
      </w:r>
      <w:r w:rsidRPr="00D82D82">
        <w:rPr>
          <w:rFonts w:ascii="Palatino Linotype" w:eastAsia="Times New Roman" w:hAnsi="Palatino Linotype"/>
          <w:sz w:val="22"/>
          <w:szCs w:val="22"/>
          <w:lang w:val="en-US"/>
        </w:rPr>
        <w:t>, 202</w:t>
      </w:r>
      <w:r>
        <w:rPr>
          <w:rFonts w:ascii="Palatino Linotype" w:eastAsia="Times New Roman" w:hAnsi="Palatino Linotype"/>
          <w:sz w:val="22"/>
          <w:szCs w:val="22"/>
          <w:lang w:val="en-US"/>
        </w:rPr>
        <w:t>2</w:t>
      </w:r>
      <w:r w:rsidRPr="00D82D82">
        <w:rPr>
          <w:rFonts w:ascii="Palatino Linotype" w:eastAsia="Times New Roman" w:hAnsi="Palatino Linotype"/>
          <w:sz w:val="22"/>
          <w:szCs w:val="22"/>
          <w:lang w:val="en-US"/>
        </w:rPr>
        <w:t xml:space="preserve">, maintained an accommodative stance of monetary policy and kept the target range for the federal funds rate at 0 to 0.25 per cent. FOMC decided to </w:t>
      </w:r>
      <w:r w:rsidRPr="0007592D">
        <w:rPr>
          <w:rFonts w:ascii="Palatino Linotype" w:eastAsia="Times New Roman" w:hAnsi="Palatino Linotype"/>
          <w:sz w:val="22"/>
          <w:szCs w:val="22"/>
          <w:lang w:val="en-US"/>
        </w:rPr>
        <w:t>continue to reduce the monthly pace of its net asset purchases, bringin</w:t>
      </w:r>
      <w:r>
        <w:rPr>
          <w:rFonts w:ascii="Palatino Linotype" w:eastAsia="Times New Roman" w:hAnsi="Palatino Linotype"/>
          <w:sz w:val="22"/>
          <w:szCs w:val="22"/>
          <w:lang w:val="en-US"/>
        </w:rPr>
        <w:t>g them to an end in early March</w:t>
      </w:r>
      <w:r w:rsidRPr="00D82D82">
        <w:rPr>
          <w:rFonts w:ascii="Palatino Linotype" w:eastAsia="Times New Roman" w:hAnsi="Palatino Linotype"/>
          <w:sz w:val="22"/>
          <w:szCs w:val="22"/>
          <w:lang w:val="en-US"/>
        </w:rPr>
        <w:t xml:space="preserve">. </w:t>
      </w:r>
    </w:p>
    <w:p w:rsidR="00567A3B" w:rsidRDefault="00567A3B" w:rsidP="00223C98">
      <w:pPr>
        <w:numPr>
          <w:ilvl w:val="0"/>
          <w:numId w:val="9"/>
        </w:numPr>
        <w:ind w:left="357" w:hanging="357"/>
        <w:jc w:val="both"/>
        <w:rPr>
          <w:rFonts w:ascii="Palatino Linotype" w:eastAsia="Times New Roman" w:hAnsi="Palatino Linotype"/>
          <w:sz w:val="22"/>
          <w:szCs w:val="22"/>
          <w:lang w:val="en-US"/>
        </w:rPr>
      </w:pPr>
      <w:r w:rsidRPr="00B41CFA">
        <w:rPr>
          <w:rFonts w:ascii="Palatino Linotype" w:eastAsia="Times New Roman" w:hAnsi="Palatino Linotype"/>
          <w:sz w:val="22"/>
          <w:szCs w:val="22"/>
          <w:lang w:val="en-US"/>
        </w:rPr>
        <w:t xml:space="preserve">Seasonally adjusted CPI (All </w:t>
      </w:r>
      <w:r w:rsidRPr="00A33BB0">
        <w:rPr>
          <w:rFonts w:ascii="Palatino Linotype" w:eastAsia="Times New Roman" w:hAnsi="Palatino Linotype"/>
          <w:sz w:val="22"/>
          <w:szCs w:val="22"/>
          <w:lang w:val="en-US"/>
        </w:rPr>
        <w:t xml:space="preserve">Urban Consumers) increased 0.8 per cent (M-o-M) in February 2022, same as in previous month. Over past 12 months, the inflation index increased by 7.9 per cent in February 2022. The </w:t>
      </w:r>
      <w:r w:rsidRPr="00B41CFA">
        <w:rPr>
          <w:rFonts w:ascii="Palatino Linotype" w:eastAsia="Times New Roman" w:hAnsi="Palatino Linotype"/>
          <w:sz w:val="22"/>
          <w:szCs w:val="22"/>
          <w:lang w:val="en-US"/>
        </w:rPr>
        <w:t>Unemployment rate decreased to 3.8 per cent in February 2022, as compared to 4.0 per cent in previous month.</w:t>
      </w:r>
    </w:p>
    <w:p w:rsidR="00567A3B" w:rsidRPr="00B41CFA" w:rsidRDefault="00567A3B" w:rsidP="00223C98">
      <w:pPr>
        <w:numPr>
          <w:ilvl w:val="0"/>
          <w:numId w:val="9"/>
        </w:numPr>
        <w:ind w:left="357" w:hanging="357"/>
        <w:jc w:val="both"/>
        <w:rPr>
          <w:rFonts w:ascii="Palatino Linotype" w:eastAsia="Times New Roman" w:hAnsi="Palatino Linotype"/>
          <w:sz w:val="22"/>
          <w:szCs w:val="22"/>
          <w:lang w:val="en-US"/>
        </w:rPr>
      </w:pPr>
      <w:r w:rsidRPr="00B41CFA">
        <w:rPr>
          <w:rFonts w:ascii="Palatino Linotype" w:eastAsia="Times New Roman" w:hAnsi="Palatino Linotype"/>
          <w:sz w:val="22"/>
          <w:szCs w:val="22"/>
          <w:lang w:val="en-US"/>
        </w:rPr>
        <w:t>IHS Markit US Manufacturing</w:t>
      </w:r>
      <w:r>
        <w:rPr>
          <w:rFonts w:ascii="Palatino Linotype" w:eastAsia="Times New Roman" w:hAnsi="Palatino Linotype"/>
          <w:sz w:val="22"/>
          <w:szCs w:val="22"/>
          <w:lang w:val="en-US"/>
        </w:rPr>
        <w:t xml:space="preserve"> PMI increased to 57.3 in February 2022, from 55.5 in previous month, indicating strong improvement in manufacturing sector activities.</w:t>
      </w:r>
    </w:p>
    <w:p w:rsidR="00567A3B" w:rsidRPr="00EC115D" w:rsidRDefault="00567A3B" w:rsidP="00567A3B">
      <w:pPr>
        <w:spacing w:before="100" w:beforeAutospacing="1" w:line="276" w:lineRule="auto"/>
        <w:ind w:left="360" w:right="107"/>
        <w:contextualSpacing/>
        <w:jc w:val="both"/>
        <w:rPr>
          <w:rFonts w:ascii="Palatino Linotype" w:eastAsia="Times New Roman" w:hAnsi="Palatino Linotype"/>
          <w:sz w:val="22"/>
          <w:szCs w:val="22"/>
          <w:highlight w:val="yellow"/>
          <w:lang w:val="en-US"/>
        </w:rPr>
      </w:pPr>
    </w:p>
    <w:p w:rsidR="00567A3B" w:rsidRPr="00B878CF" w:rsidRDefault="00567A3B" w:rsidP="00567A3B">
      <w:pPr>
        <w:spacing w:before="100" w:beforeAutospacing="1" w:line="276" w:lineRule="auto"/>
        <w:ind w:left="360" w:right="107"/>
        <w:contextualSpacing/>
        <w:jc w:val="both"/>
        <w:rPr>
          <w:rFonts w:ascii="Palatino Linotype" w:eastAsia="Times New Roman" w:hAnsi="Palatino Linotype"/>
          <w:b/>
          <w:bCs/>
          <w:sz w:val="22"/>
          <w:szCs w:val="22"/>
          <w:lang w:val="en-US"/>
        </w:rPr>
      </w:pPr>
      <w:r w:rsidRPr="00B878CF">
        <w:rPr>
          <w:rFonts w:ascii="Palatino Linotype" w:eastAsia="Times New Roman" w:hAnsi="Palatino Linotype"/>
          <w:b/>
          <w:bCs/>
          <w:sz w:val="22"/>
          <w:szCs w:val="22"/>
          <w:lang w:val="en-US"/>
        </w:rPr>
        <w:t>United Kingdom</w:t>
      </w:r>
    </w:p>
    <w:p w:rsidR="00046CF8" w:rsidRPr="004D4612" w:rsidRDefault="00567A3B" w:rsidP="00223C98">
      <w:pPr>
        <w:numPr>
          <w:ilvl w:val="0"/>
          <w:numId w:val="9"/>
        </w:numPr>
        <w:ind w:left="357" w:hanging="357"/>
        <w:jc w:val="both"/>
        <w:rPr>
          <w:rFonts w:ascii="Palatino Linotype" w:eastAsia="Times New Roman" w:hAnsi="Palatino Linotype"/>
          <w:sz w:val="22"/>
          <w:szCs w:val="22"/>
          <w:lang w:val="en-US"/>
        </w:rPr>
      </w:pPr>
      <w:r w:rsidRPr="00064501">
        <w:rPr>
          <w:rFonts w:ascii="Palatino Linotype" w:eastAsia="Times New Roman" w:hAnsi="Palatino Linotype"/>
          <w:sz w:val="22"/>
          <w:szCs w:val="22"/>
          <w:lang w:val="en-US"/>
        </w:rPr>
        <w:t xml:space="preserve">The Bank of England Monetary Policy Committee voted on March </w:t>
      </w:r>
      <w:r w:rsidR="005D3A87">
        <w:rPr>
          <w:rFonts w:ascii="Palatino Linotype" w:eastAsia="Times New Roman" w:hAnsi="Palatino Linotype"/>
          <w:sz w:val="22"/>
          <w:szCs w:val="22"/>
          <w:lang w:val="en-US"/>
        </w:rPr>
        <w:t xml:space="preserve">17, </w:t>
      </w:r>
      <w:r w:rsidRPr="00064501">
        <w:rPr>
          <w:rFonts w:ascii="Palatino Linotype" w:eastAsia="Times New Roman" w:hAnsi="Palatino Linotype"/>
          <w:sz w:val="22"/>
          <w:szCs w:val="22"/>
          <w:lang w:val="en-US"/>
        </w:rPr>
        <w:t>2022 to increase the Bank of England base rate to 0.75% from 0.50%. Twelve-month CPI inflation had risen to 5.5% in January, marginally above the February Monetary Policy Report forecas</w:t>
      </w:r>
      <w:r w:rsidR="005D3A87">
        <w:rPr>
          <w:rFonts w:ascii="Palatino Linotype" w:eastAsia="Times New Roman" w:hAnsi="Palatino Linotype"/>
          <w:sz w:val="22"/>
          <w:szCs w:val="22"/>
          <w:lang w:val="en-US"/>
        </w:rPr>
        <w:t>t</w:t>
      </w:r>
    </w:p>
    <w:p w:rsidR="005D3A87" w:rsidRDefault="005D3A87" w:rsidP="00567A3B">
      <w:pPr>
        <w:spacing w:before="100" w:beforeAutospacing="1" w:line="276" w:lineRule="auto"/>
        <w:ind w:left="360" w:right="107"/>
        <w:contextualSpacing/>
        <w:jc w:val="both"/>
        <w:rPr>
          <w:rFonts w:ascii="Palatino Linotype" w:eastAsia="Times New Roman" w:hAnsi="Palatino Linotype"/>
          <w:b/>
          <w:bCs/>
          <w:sz w:val="22"/>
          <w:szCs w:val="22"/>
          <w:lang w:val="en-US"/>
        </w:rPr>
      </w:pPr>
    </w:p>
    <w:p w:rsidR="00567A3B" w:rsidRPr="005C4FD5" w:rsidRDefault="00567A3B" w:rsidP="00567A3B">
      <w:pPr>
        <w:spacing w:before="100" w:beforeAutospacing="1" w:line="276" w:lineRule="auto"/>
        <w:ind w:left="360" w:right="107"/>
        <w:contextualSpacing/>
        <w:jc w:val="both"/>
        <w:rPr>
          <w:rFonts w:ascii="Palatino Linotype" w:eastAsia="Times New Roman" w:hAnsi="Palatino Linotype"/>
          <w:b/>
          <w:bCs/>
          <w:sz w:val="22"/>
          <w:szCs w:val="22"/>
          <w:lang w:val="en-US"/>
        </w:rPr>
      </w:pPr>
      <w:r w:rsidRPr="005C4FD5">
        <w:rPr>
          <w:rFonts w:ascii="Palatino Linotype" w:eastAsia="Times New Roman" w:hAnsi="Palatino Linotype"/>
          <w:b/>
          <w:bCs/>
          <w:sz w:val="22"/>
          <w:szCs w:val="22"/>
          <w:lang w:val="en-US"/>
        </w:rPr>
        <w:t>Euro area</w:t>
      </w:r>
    </w:p>
    <w:p w:rsidR="00567A3B" w:rsidRPr="005C4FD5" w:rsidRDefault="00567A3B" w:rsidP="00223C98">
      <w:pPr>
        <w:numPr>
          <w:ilvl w:val="0"/>
          <w:numId w:val="9"/>
        </w:numPr>
        <w:ind w:left="357" w:hanging="357"/>
        <w:jc w:val="both"/>
        <w:rPr>
          <w:rFonts w:ascii="Palatino Linotype" w:eastAsia="Times New Roman" w:hAnsi="Palatino Linotype"/>
          <w:sz w:val="22"/>
          <w:szCs w:val="22"/>
          <w:lang w:val="en-US"/>
        </w:rPr>
      </w:pPr>
      <w:r w:rsidRPr="005C4FD5">
        <w:rPr>
          <w:rFonts w:ascii="Palatino Linotype" w:eastAsia="Times New Roman" w:hAnsi="Palatino Linotype"/>
          <w:sz w:val="22"/>
          <w:szCs w:val="22"/>
          <w:lang w:val="en-US"/>
        </w:rPr>
        <w:t>Euro area annual inflation is expected to be 5.8% in February 2022, up from 5.1% in January according to a flash estimate from Eurostat</w:t>
      </w:r>
    </w:p>
    <w:p w:rsidR="004D4612" w:rsidRDefault="004D4612" w:rsidP="004D4612">
      <w:pPr>
        <w:spacing w:before="100" w:beforeAutospacing="1" w:line="276" w:lineRule="auto"/>
        <w:ind w:right="107"/>
        <w:contextualSpacing/>
        <w:jc w:val="both"/>
        <w:rPr>
          <w:rFonts w:ascii="Palatino Linotype" w:eastAsia="Times New Roman" w:hAnsi="Palatino Linotype"/>
          <w:sz w:val="22"/>
          <w:szCs w:val="22"/>
          <w:lang w:val="en-US"/>
        </w:rPr>
      </w:pPr>
    </w:p>
    <w:p w:rsidR="005D3A87" w:rsidRDefault="005D3A87" w:rsidP="004D4612">
      <w:pPr>
        <w:spacing w:before="100" w:beforeAutospacing="1" w:line="276" w:lineRule="auto"/>
        <w:ind w:right="107"/>
        <w:contextualSpacing/>
        <w:jc w:val="both"/>
        <w:rPr>
          <w:rFonts w:ascii="Palatino Linotype" w:eastAsia="Times New Roman" w:hAnsi="Palatino Linotype"/>
          <w:b/>
          <w:bCs/>
          <w:sz w:val="22"/>
          <w:szCs w:val="22"/>
          <w:lang w:val="en-US"/>
        </w:rPr>
      </w:pPr>
    </w:p>
    <w:p w:rsidR="00567A3B" w:rsidRPr="004D4612" w:rsidRDefault="00567A3B" w:rsidP="004D4612">
      <w:pPr>
        <w:spacing w:before="100" w:beforeAutospacing="1" w:line="276" w:lineRule="auto"/>
        <w:ind w:right="107"/>
        <w:contextualSpacing/>
        <w:jc w:val="both"/>
        <w:rPr>
          <w:rFonts w:ascii="Palatino Linotype" w:eastAsia="Times New Roman" w:hAnsi="Palatino Linotype"/>
          <w:b/>
          <w:bCs/>
          <w:sz w:val="22"/>
          <w:szCs w:val="22"/>
          <w:lang w:val="en-US"/>
        </w:rPr>
      </w:pPr>
      <w:r w:rsidRPr="004D4612">
        <w:rPr>
          <w:rFonts w:ascii="Palatino Linotype" w:eastAsia="Times New Roman" w:hAnsi="Palatino Linotype"/>
          <w:b/>
          <w:bCs/>
          <w:sz w:val="22"/>
          <w:szCs w:val="22"/>
          <w:lang w:val="en-US"/>
        </w:rPr>
        <w:lastRenderedPageBreak/>
        <w:t>India</w:t>
      </w:r>
    </w:p>
    <w:p w:rsidR="00567A3B" w:rsidRPr="005D7059" w:rsidRDefault="00567A3B" w:rsidP="00223C98">
      <w:pPr>
        <w:numPr>
          <w:ilvl w:val="0"/>
          <w:numId w:val="9"/>
        </w:numPr>
        <w:ind w:left="357" w:hanging="357"/>
        <w:jc w:val="both"/>
        <w:rPr>
          <w:rFonts w:ascii="Palatino Linotype" w:eastAsia="Times New Roman" w:hAnsi="Palatino Linotype"/>
          <w:sz w:val="22"/>
          <w:szCs w:val="22"/>
          <w:lang w:val="en-US"/>
        </w:rPr>
      </w:pPr>
      <w:r w:rsidRPr="005D7059">
        <w:rPr>
          <w:rFonts w:ascii="Palatino Linotype" w:eastAsia="Times New Roman" w:hAnsi="Palatino Linotype"/>
          <w:sz w:val="22"/>
          <w:szCs w:val="22"/>
          <w:lang w:val="en-US"/>
        </w:rPr>
        <w:t xml:space="preserve">MOSPI has released the second advanced estimates of National Income for 2021-22 and quarterly estimates of GDP for Q3 of 2021-22 on Feb 28, 2022. Real GDP or Gross Domestic Product (GDP) at Constant (2011-12) Prices in the year 2021-22 is estimated to attain a level of </w:t>
      </w:r>
      <w:r w:rsidRPr="005D3A87">
        <w:rPr>
          <w:rFonts w:ascii="Times New Roman" w:eastAsia="Times New Roman" w:hAnsi="Times New Roman"/>
          <w:sz w:val="22"/>
          <w:szCs w:val="22"/>
          <w:lang w:val="en-US"/>
        </w:rPr>
        <w:t>₹</w:t>
      </w:r>
      <w:r w:rsidRPr="005D7059">
        <w:rPr>
          <w:rFonts w:ascii="Palatino Linotype" w:eastAsia="Times New Roman" w:hAnsi="Palatino Linotype"/>
          <w:sz w:val="22"/>
          <w:szCs w:val="22"/>
          <w:lang w:val="en-US"/>
        </w:rPr>
        <w:t xml:space="preserve"> 147.72 </w:t>
      </w:r>
      <w:r>
        <w:rPr>
          <w:rFonts w:ascii="Palatino Linotype" w:eastAsia="Times New Roman" w:hAnsi="Palatino Linotype"/>
          <w:sz w:val="22"/>
          <w:szCs w:val="22"/>
          <w:lang w:val="en-US"/>
        </w:rPr>
        <w:t>lakh</w:t>
      </w:r>
      <w:r w:rsidRPr="005D7059">
        <w:rPr>
          <w:rFonts w:ascii="Palatino Linotype" w:eastAsia="Times New Roman" w:hAnsi="Palatino Linotype"/>
          <w:sz w:val="22"/>
          <w:szCs w:val="22"/>
          <w:lang w:val="en-US"/>
        </w:rPr>
        <w:t xml:space="preserve"> </w:t>
      </w:r>
      <w:r w:rsidR="000654C7">
        <w:rPr>
          <w:rFonts w:ascii="Palatino Linotype" w:eastAsia="Times New Roman" w:hAnsi="Palatino Linotype"/>
          <w:sz w:val="22"/>
          <w:szCs w:val="22"/>
          <w:lang w:val="en-US"/>
        </w:rPr>
        <w:t>crore</w:t>
      </w:r>
      <w:r w:rsidRPr="005D7059">
        <w:rPr>
          <w:rFonts w:ascii="Palatino Linotype" w:eastAsia="Times New Roman" w:hAnsi="Palatino Linotype"/>
          <w:sz w:val="22"/>
          <w:szCs w:val="22"/>
          <w:lang w:val="en-US"/>
        </w:rPr>
        <w:t>, with growth in GDP during 2021-22 at 8.9 percent as compared to a contraction of 6.6 percent in 2020-21. GDP at Constant (2011-12) Prices in Q3 of 2021-22 showed a growth of 5.4 percent.</w:t>
      </w:r>
    </w:p>
    <w:p w:rsidR="00567A3B" w:rsidRPr="005D7059" w:rsidRDefault="00567A3B" w:rsidP="00223C98">
      <w:pPr>
        <w:numPr>
          <w:ilvl w:val="0"/>
          <w:numId w:val="9"/>
        </w:numPr>
        <w:ind w:left="357" w:hanging="357"/>
        <w:jc w:val="both"/>
        <w:rPr>
          <w:rFonts w:ascii="Palatino Linotype" w:eastAsia="Times New Roman" w:hAnsi="Palatino Linotype"/>
          <w:sz w:val="22"/>
          <w:szCs w:val="22"/>
          <w:lang w:val="en-US"/>
        </w:rPr>
      </w:pPr>
      <w:r w:rsidRPr="005D7059">
        <w:rPr>
          <w:rFonts w:ascii="Palatino Linotype" w:eastAsia="Times New Roman" w:hAnsi="Palatino Linotype"/>
          <w:sz w:val="22"/>
          <w:szCs w:val="22"/>
          <w:lang w:val="en-US"/>
        </w:rPr>
        <w:t>CPI inflation in February 2022 (provisional), increased to 6.07 per cent from 6.01 per cent in previous month.</w:t>
      </w:r>
    </w:p>
    <w:p w:rsidR="00567A3B" w:rsidRPr="005D7059" w:rsidRDefault="00567A3B" w:rsidP="00223C98">
      <w:pPr>
        <w:numPr>
          <w:ilvl w:val="0"/>
          <w:numId w:val="9"/>
        </w:numPr>
        <w:ind w:left="357" w:hanging="357"/>
        <w:jc w:val="both"/>
        <w:rPr>
          <w:rFonts w:ascii="Palatino Linotype" w:eastAsia="Times New Roman" w:hAnsi="Palatino Linotype"/>
          <w:sz w:val="22"/>
          <w:szCs w:val="22"/>
          <w:lang w:val="en-US"/>
        </w:rPr>
      </w:pPr>
      <w:r w:rsidRPr="005D7059">
        <w:rPr>
          <w:rFonts w:ascii="Palatino Linotype" w:eastAsia="Times New Roman" w:hAnsi="Palatino Linotype"/>
          <w:sz w:val="22"/>
          <w:szCs w:val="22"/>
          <w:lang w:val="en-US"/>
        </w:rPr>
        <w:t>As per quick estimates released by MOSPI on March 11, 2022, IIP increased by 1.3 per cent (Y-o-Y) in January  2022 as compared to 0.9 per cent increase in previous month.</w:t>
      </w:r>
    </w:p>
    <w:p w:rsidR="00567A3B" w:rsidRPr="00A01675" w:rsidRDefault="00567A3B" w:rsidP="00567A3B">
      <w:pPr>
        <w:spacing w:before="100" w:beforeAutospacing="1" w:line="276" w:lineRule="auto"/>
        <w:ind w:right="107"/>
        <w:contextualSpacing/>
        <w:jc w:val="both"/>
        <w:rPr>
          <w:rFonts w:ascii="Palatino Linotype" w:eastAsia="Times New Roman" w:hAnsi="Palatino Linotype"/>
          <w:sz w:val="22"/>
          <w:szCs w:val="22"/>
          <w:lang w:val="en-US"/>
        </w:rPr>
      </w:pPr>
    </w:p>
    <w:p w:rsidR="00567A3B" w:rsidRPr="00A01675" w:rsidRDefault="00567A3B" w:rsidP="00223C98">
      <w:pPr>
        <w:numPr>
          <w:ilvl w:val="0"/>
          <w:numId w:val="12"/>
        </w:numPr>
        <w:spacing w:before="100" w:beforeAutospacing="1" w:line="276" w:lineRule="auto"/>
        <w:ind w:right="107"/>
        <w:contextualSpacing/>
        <w:jc w:val="both"/>
        <w:rPr>
          <w:rFonts w:ascii="Palatino Linotype" w:eastAsia="Times New Roman" w:hAnsi="Palatino Linotype"/>
          <w:b/>
          <w:sz w:val="22"/>
          <w:szCs w:val="22"/>
          <w:lang w:val="en-US" w:eastAsia="en-GB"/>
        </w:rPr>
      </w:pPr>
      <w:r w:rsidRPr="00A01675">
        <w:rPr>
          <w:rFonts w:ascii="Palatino Linotype" w:eastAsia="Times New Roman" w:hAnsi="Palatino Linotype"/>
          <w:b/>
          <w:bCs/>
          <w:lang w:val="en-US"/>
        </w:rPr>
        <w:t>Market</w:t>
      </w:r>
      <w:r w:rsidRPr="00A01675">
        <w:rPr>
          <w:rFonts w:ascii="Palatino Linotype" w:eastAsia="Times New Roman" w:hAnsi="Palatino Linotype"/>
          <w:b/>
          <w:sz w:val="22"/>
          <w:szCs w:val="22"/>
          <w:lang w:val="en-US" w:eastAsia="en-GB"/>
        </w:rPr>
        <w:t xml:space="preserve"> Trends – </w:t>
      </w:r>
    </w:p>
    <w:p w:rsidR="00567A3B" w:rsidRPr="00A01675" w:rsidRDefault="00567A3B" w:rsidP="00567A3B">
      <w:pPr>
        <w:spacing w:line="23" w:lineRule="atLeast"/>
        <w:ind w:left="180"/>
        <w:contextualSpacing/>
        <w:rPr>
          <w:rFonts w:ascii="Palatino Linotype" w:eastAsia="Times New Roman" w:hAnsi="Palatino Linotype"/>
          <w:b/>
          <w:sz w:val="22"/>
          <w:szCs w:val="22"/>
          <w:lang w:val="en-US" w:eastAsia="en-GB"/>
        </w:rPr>
      </w:pPr>
    </w:p>
    <w:p w:rsidR="00567A3B" w:rsidRPr="00A01675" w:rsidRDefault="00567A3B" w:rsidP="00567A3B">
      <w:pPr>
        <w:spacing w:line="360" w:lineRule="auto"/>
        <w:ind w:left="720"/>
        <w:contextualSpacing/>
        <w:rPr>
          <w:rFonts w:ascii="Palatino Linotype" w:eastAsia="Times New Roman" w:hAnsi="Palatino Linotype"/>
          <w:b/>
          <w:sz w:val="22"/>
          <w:szCs w:val="22"/>
          <w:lang w:val="en-US" w:eastAsia="en-GB"/>
        </w:rPr>
      </w:pPr>
      <w:r>
        <w:rPr>
          <w:rFonts w:ascii="Palatino Linotype" w:eastAsia="Times New Roman" w:hAnsi="Palatino Linotype"/>
          <w:b/>
          <w:sz w:val="22"/>
          <w:szCs w:val="22"/>
          <w:u w:val="single"/>
          <w:lang w:val="en-US" w:eastAsia="en-GB"/>
        </w:rPr>
        <w:t xml:space="preserve">Equity Markets </w:t>
      </w:r>
    </w:p>
    <w:p w:rsidR="00567A3B" w:rsidRPr="00EF3334" w:rsidRDefault="00567A3B" w:rsidP="00223C98">
      <w:pPr>
        <w:numPr>
          <w:ilvl w:val="0"/>
          <w:numId w:val="10"/>
        </w:numPr>
        <w:ind w:left="357" w:hanging="357"/>
        <w:jc w:val="both"/>
        <w:rPr>
          <w:rFonts w:ascii="Palatino Linotype" w:eastAsia="Times New Roman" w:hAnsi="Palatino Linotype"/>
          <w:bCs/>
          <w:sz w:val="22"/>
          <w:szCs w:val="22"/>
          <w:lang w:val="en-US" w:eastAsia="en-GB"/>
        </w:rPr>
      </w:pPr>
      <w:r w:rsidRPr="005048C2">
        <w:rPr>
          <w:rFonts w:ascii="Palatino Linotype" w:eastAsia="Times New Roman" w:hAnsi="Palatino Linotype"/>
          <w:bCs/>
          <w:sz w:val="22"/>
          <w:szCs w:val="22"/>
          <w:lang w:val="en-US" w:eastAsia="en-GB"/>
        </w:rPr>
        <w:t xml:space="preserve">During </w:t>
      </w:r>
      <w:r>
        <w:rPr>
          <w:rFonts w:ascii="Palatino Linotype" w:eastAsia="Times New Roman" w:hAnsi="Palatino Linotype"/>
          <w:bCs/>
          <w:sz w:val="22"/>
          <w:szCs w:val="22"/>
          <w:lang w:val="en-US" w:eastAsia="en-GB"/>
        </w:rPr>
        <w:t>February</w:t>
      </w:r>
      <w:r w:rsidRPr="005048C2">
        <w:rPr>
          <w:rFonts w:ascii="Palatino Linotype" w:eastAsia="Times New Roman" w:hAnsi="Palatino Linotype"/>
          <w:bCs/>
          <w:sz w:val="22"/>
          <w:szCs w:val="22"/>
          <w:lang w:val="en-US" w:eastAsia="en-GB"/>
        </w:rPr>
        <w:t xml:space="preserve"> 202</w:t>
      </w:r>
      <w:r>
        <w:rPr>
          <w:rFonts w:ascii="Palatino Linotype" w:eastAsia="Times New Roman" w:hAnsi="Palatino Linotype"/>
          <w:bCs/>
          <w:sz w:val="22"/>
          <w:szCs w:val="22"/>
          <w:lang w:val="en-US" w:eastAsia="en-GB"/>
        </w:rPr>
        <w:t>2</w:t>
      </w:r>
      <w:r w:rsidRPr="005048C2">
        <w:rPr>
          <w:rFonts w:ascii="Palatino Linotype" w:eastAsia="Times New Roman" w:hAnsi="Palatino Linotype"/>
          <w:bCs/>
          <w:sz w:val="22"/>
          <w:szCs w:val="22"/>
          <w:lang w:val="en-US" w:eastAsia="en-GB"/>
        </w:rPr>
        <w:t>, amongst the BRICS countries</w:t>
      </w:r>
      <w:r>
        <w:rPr>
          <w:rFonts w:ascii="Palatino Linotype" w:eastAsia="Times New Roman" w:hAnsi="Palatino Linotype"/>
          <w:bCs/>
          <w:sz w:val="22"/>
          <w:szCs w:val="22"/>
          <w:lang w:val="en-US" w:eastAsia="en-GB"/>
        </w:rPr>
        <w:t>,</w:t>
      </w:r>
      <w:r w:rsidRPr="005048C2">
        <w:rPr>
          <w:rFonts w:ascii="Palatino Linotype" w:eastAsia="Times New Roman" w:hAnsi="Palatino Linotype"/>
          <w:bCs/>
          <w:sz w:val="22"/>
          <w:szCs w:val="22"/>
          <w:lang w:val="en-US" w:eastAsia="en-GB"/>
        </w:rPr>
        <w:t xml:space="preserve"> highest annualized monthly volatility was observed in Russian Traded index (</w:t>
      </w:r>
      <w:r>
        <w:rPr>
          <w:rFonts w:ascii="Palatino Linotype" w:eastAsia="Times New Roman" w:hAnsi="Palatino Linotype"/>
          <w:bCs/>
          <w:sz w:val="22"/>
          <w:szCs w:val="22"/>
          <w:lang w:val="en-US" w:eastAsia="en-GB"/>
        </w:rPr>
        <w:t>222.4</w:t>
      </w:r>
      <w:r w:rsidRPr="005048C2">
        <w:rPr>
          <w:rFonts w:ascii="Palatino Linotype" w:eastAsia="Times New Roman" w:hAnsi="Palatino Linotype"/>
          <w:bCs/>
          <w:sz w:val="22"/>
          <w:szCs w:val="22"/>
          <w:lang w:val="en-US" w:eastAsia="en-GB"/>
        </w:rPr>
        <w:t xml:space="preserve"> per cent), while </w:t>
      </w:r>
      <w:r w:rsidRPr="00807E7B">
        <w:rPr>
          <w:rFonts w:ascii="Palatino Linotype" w:eastAsia="Times New Roman" w:hAnsi="Palatino Linotype"/>
          <w:bCs/>
          <w:sz w:val="22"/>
          <w:szCs w:val="22"/>
          <w:lang w:val="en-US" w:eastAsia="en-GB"/>
        </w:rPr>
        <w:t xml:space="preserve">BRAZIL IBOVESPA </w:t>
      </w:r>
      <w:r w:rsidRPr="005048C2">
        <w:rPr>
          <w:rFonts w:ascii="Palatino Linotype" w:eastAsia="Times New Roman" w:hAnsi="Palatino Linotype"/>
          <w:bCs/>
          <w:sz w:val="22"/>
          <w:szCs w:val="22"/>
          <w:lang w:val="en-US" w:eastAsia="en-GB"/>
        </w:rPr>
        <w:t>index</w:t>
      </w:r>
      <w:r w:rsidRPr="005F4E9B">
        <w:rPr>
          <w:rFonts w:ascii="Palatino Linotype" w:eastAsia="Times New Roman" w:hAnsi="Palatino Linotype"/>
          <w:bCs/>
          <w:sz w:val="22"/>
          <w:szCs w:val="22"/>
          <w:lang w:val="en-US" w:eastAsia="en-GB"/>
        </w:rPr>
        <w:t xml:space="preserve"> </w:t>
      </w:r>
      <w:r w:rsidRPr="005048C2">
        <w:rPr>
          <w:rFonts w:ascii="Palatino Linotype" w:eastAsia="Times New Roman" w:hAnsi="Palatino Linotype"/>
          <w:bCs/>
          <w:sz w:val="22"/>
          <w:szCs w:val="22"/>
          <w:lang w:val="en-US" w:eastAsia="en-GB"/>
        </w:rPr>
        <w:t xml:space="preserve">recorded the lowest volatility of </w:t>
      </w:r>
      <w:r>
        <w:rPr>
          <w:rFonts w:ascii="Palatino Linotype" w:eastAsia="Times New Roman" w:hAnsi="Palatino Linotype"/>
          <w:bCs/>
          <w:sz w:val="22"/>
          <w:szCs w:val="22"/>
          <w:lang w:val="en-US" w:eastAsia="en-GB"/>
        </w:rPr>
        <w:t>12.0</w:t>
      </w:r>
      <w:r w:rsidRPr="005048C2">
        <w:rPr>
          <w:rFonts w:ascii="Palatino Linotype" w:eastAsia="Times New Roman" w:hAnsi="Palatino Linotype"/>
          <w:bCs/>
          <w:sz w:val="22"/>
          <w:szCs w:val="22"/>
          <w:lang w:val="en-US" w:eastAsia="en-GB"/>
        </w:rPr>
        <w:t xml:space="preserve"> per </w:t>
      </w:r>
      <w:r>
        <w:rPr>
          <w:rFonts w:ascii="Palatino Linotype" w:eastAsia="Times New Roman" w:hAnsi="Palatino Linotype"/>
          <w:bCs/>
          <w:sz w:val="22"/>
          <w:szCs w:val="22"/>
          <w:lang w:val="en-US" w:eastAsia="en-GB"/>
        </w:rPr>
        <w:t>cent.</w:t>
      </w:r>
    </w:p>
    <w:p w:rsidR="00567A3B" w:rsidRPr="00EF3334" w:rsidRDefault="00567A3B" w:rsidP="00223C98">
      <w:pPr>
        <w:numPr>
          <w:ilvl w:val="0"/>
          <w:numId w:val="10"/>
        </w:numPr>
        <w:ind w:left="357" w:hanging="357"/>
        <w:jc w:val="both"/>
        <w:rPr>
          <w:rFonts w:ascii="Palatino Linotype" w:eastAsia="Times New Roman" w:hAnsi="Palatino Linotype"/>
          <w:bCs/>
          <w:sz w:val="22"/>
          <w:szCs w:val="22"/>
          <w:lang w:val="en-US" w:eastAsia="en-GB"/>
        </w:rPr>
      </w:pPr>
      <w:r w:rsidRPr="00EF3334">
        <w:rPr>
          <w:rFonts w:ascii="Palatino Linotype" w:eastAsia="Times New Roman" w:hAnsi="Palatino Linotype"/>
          <w:bCs/>
          <w:sz w:val="22"/>
          <w:szCs w:val="22"/>
          <w:lang w:val="en-US" w:eastAsia="en-GB"/>
        </w:rPr>
        <w:t xml:space="preserve">In terms of monthly movement in indices, </w:t>
      </w:r>
      <w:r w:rsidRPr="00A05487">
        <w:rPr>
          <w:rFonts w:ascii="Palatino Linotype" w:eastAsia="Times New Roman" w:hAnsi="Palatino Linotype"/>
          <w:bCs/>
          <w:sz w:val="22"/>
          <w:szCs w:val="22"/>
          <w:lang w:val="en-US" w:eastAsia="en-GB"/>
        </w:rPr>
        <w:t>SHANGHAI SE COMPOSITE</w:t>
      </w:r>
      <w:r>
        <w:rPr>
          <w:rFonts w:ascii="Palatino Linotype" w:eastAsia="Times New Roman" w:hAnsi="Palatino Linotype"/>
          <w:bCs/>
          <w:sz w:val="22"/>
          <w:szCs w:val="22"/>
          <w:lang w:val="en-US" w:eastAsia="en-GB"/>
        </w:rPr>
        <w:t xml:space="preserve"> </w:t>
      </w:r>
      <w:r w:rsidRPr="005048C2">
        <w:rPr>
          <w:rFonts w:ascii="Palatino Linotype" w:eastAsia="Times New Roman" w:hAnsi="Palatino Linotype"/>
          <w:bCs/>
          <w:sz w:val="22"/>
          <w:szCs w:val="22"/>
          <w:lang w:val="en-US" w:eastAsia="en-GB"/>
        </w:rPr>
        <w:t xml:space="preserve">index </w:t>
      </w:r>
      <w:r>
        <w:rPr>
          <w:rFonts w:ascii="Palatino Linotype" w:eastAsia="Times New Roman" w:hAnsi="Palatino Linotype"/>
          <w:bCs/>
          <w:sz w:val="22"/>
          <w:szCs w:val="22"/>
          <w:lang w:val="en-US" w:eastAsia="en-GB"/>
        </w:rPr>
        <w:t xml:space="preserve">(China) </w:t>
      </w:r>
      <w:r w:rsidRPr="00EF3334">
        <w:rPr>
          <w:rFonts w:ascii="Palatino Linotype" w:eastAsia="Times New Roman" w:hAnsi="Palatino Linotype"/>
          <w:bCs/>
          <w:sz w:val="22"/>
          <w:szCs w:val="22"/>
          <w:lang w:val="en-US" w:eastAsia="en-GB"/>
        </w:rPr>
        <w:t xml:space="preserve">recorded highest increase of </w:t>
      </w:r>
      <w:r>
        <w:rPr>
          <w:rFonts w:ascii="Palatino Linotype" w:eastAsia="Times New Roman" w:hAnsi="Palatino Linotype"/>
          <w:bCs/>
          <w:sz w:val="22"/>
          <w:szCs w:val="22"/>
          <w:lang w:val="en-US" w:eastAsia="en-GB"/>
        </w:rPr>
        <w:t>3.0</w:t>
      </w:r>
      <w:r w:rsidRPr="00EF3334">
        <w:rPr>
          <w:rFonts w:ascii="Palatino Linotype" w:eastAsia="Times New Roman" w:hAnsi="Palatino Linotype"/>
          <w:bCs/>
          <w:sz w:val="22"/>
          <w:szCs w:val="22"/>
          <w:lang w:val="en-US" w:eastAsia="en-GB"/>
        </w:rPr>
        <w:t xml:space="preserve"> per cent, while </w:t>
      </w:r>
      <w:r w:rsidRPr="005048C2">
        <w:rPr>
          <w:rFonts w:ascii="Palatino Linotype" w:eastAsia="Times New Roman" w:hAnsi="Palatino Linotype"/>
          <w:bCs/>
          <w:sz w:val="22"/>
          <w:szCs w:val="22"/>
          <w:lang w:val="en-US" w:eastAsia="en-GB"/>
        </w:rPr>
        <w:t xml:space="preserve">Russian Traded </w:t>
      </w:r>
      <w:r>
        <w:rPr>
          <w:rFonts w:ascii="Palatino Linotype" w:eastAsia="Times New Roman" w:hAnsi="Palatino Linotype"/>
          <w:bCs/>
          <w:sz w:val="22"/>
          <w:szCs w:val="22"/>
          <w:lang w:val="en-US" w:eastAsia="en-GB"/>
        </w:rPr>
        <w:t>index recoded highest decline of 49.1</w:t>
      </w:r>
      <w:r w:rsidRPr="00EF3334">
        <w:rPr>
          <w:rFonts w:ascii="Palatino Linotype" w:eastAsia="Times New Roman" w:hAnsi="Palatino Linotype"/>
          <w:bCs/>
          <w:sz w:val="22"/>
          <w:szCs w:val="22"/>
          <w:lang w:val="en-US" w:eastAsia="en-GB"/>
        </w:rPr>
        <w:t xml:space="preserve"> per cent</w:t>
      </w:r>
      <w:r>
        <w:rPr>
          <w:rFonts w:ascii="Palatino Linotype" w:eastAsia="Times New Roman" w:hAnsi="Palatino Linotype"/>
          <w:bCs/>
          <w:sz w:val="22"/>
          <w:szCs w:val="22"/>
          <w:lang w:val="en-US" w:eastAsia="en-GB"/>
        </w:rPr>
        <w:t xml:space="preserve"> during February</w:t>
      </w:r>
      <w:r w:rsidRPr="005048C2">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2022</w:t>
      </w:r>
      <w:r w:rsidRPr="00EF3334">
        <w:rPr>
          <w:rFonts w:ascii="Palatino Linotype" w:eastAsia="Times New Roman" w:hAnsi="Palatino Linotype"/>
          <w:bCs/>
          <w:sz w:val="22"/>
          <w:szCs w:val="22"/>
          <w:lang w:val="en-US" w:eastAsia="en-GB"/>
        </w:rPr>
        <w:t>.</w:t>
      </w:r>
    </w:p>
    <w:p w:rsidR="00567A3B" w:rsidRPr="00AA6004" w:rsidRDefault="00567A3B" w:rsidP="00223C98">
      <w:pPr>
        <w:numPr>
          <w:ilvl w:val="0"/>
          <w:numId w:val="10"/>
        </w:numPr>
        <w:ind w:left="357" w:hanging="357"/>
        <w:jc w:val="both"/>
        <w:rPr>
          <w:rFonts w:ascii="Palatino Linotype" w:eastAsia="Times New Roman" w:hAnsi="Palatino Linotype"/>
          <w:bCs/>
          <w:color w:val="FF0000"/>
          <w:sz w:val="22"/>
          <w:szCs w:val="22"/>
          <w:lang w:val="en-US" w:eastAsia="en-GB"/>
        </w:rPr>
      </w:pPr>
      <w:r w:rsidRPr="00A01675">
        <w:rPr>
          <w:rFonts w:ascii="Palatino Linotype" w:eastAsia="Times New Roman" w:hAnsi="Palatino Linotype"/>
          <w:bCs/>
          <w:sz w:val="22"/>
          <w:szCs w:val="22"/>
          <w:lang w:val="en-US" w:eastAsia="en-GB"/>
        </w:rPr>
        <w:t xml:space="preserve">Among </w:t>
      </w:r>
      <w:r>
        <w:rPr>
          <w:rFonts w:ascii="Palatino Linotype" w:eastAsia="Times New Roman" w:hAnsi="Palatino Linotype"/>
          <w:bCs/>
          <w:sz w:val="22"/>
          <w:szCs w:val="22"/>
          <w:lang w:val="en-US" w:eastAsia="en-GB"/>
        </w:rPr>
        <w:t>select</w:t>
      </w:r>
      <w:r w:rsidRPr="00A01675">
        <w:rPr>
          <w:rFonts w:ascii="Palatino Linotype" w:eastAsia="Times New Roman" w:hAnsi="Palatino Linotype"/>
          <w:bCs/>
          <w:sz w:val="22"/>
          <w:szCs w:val="22"/>
          <w:lang w:val="en-US" w:eastAsia="en-GB"/>
        </w:rPr>
        <w:t xml:space="preserve"> developed markets</w:t>
      </w:r>
      <w:r>
        <w:rPr>
          <w:rStyle w:val="FootnoteReference"/>
          <w:rFonts w:ascii="Palatino Linotype" w:hAnsi="Palatino Linotype"/>
          <w:bCs/>
          <w:sz w:val="22"/>
          <w:szCs w:val="22"/>
          <w:lang w:eastAsia="en-GB"/>
        </w:rPr>
        <w:footnoteReference w:id="3"/>
      </w:r>
      <w:r w:rsidRPr="00A01675">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Nasdaq Composite</w:t>
      </w:r>
      <w:r w:rsidRPr="00F05A5E">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index</w:t>
      </w:r>
      <w:r w:rsidRPr="00A01675">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of the US</w:t>
      </w:r>
      <w:r w:rsidRPr="006B015D">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 xml:space="preserve">was most volatile index </w:t>
      </w:r>
      <w:r w:rsidRPr="00A01675">
        <w:rPr>
          <w:rFonts w:ascii="Palatino Linotype" w:eastAsia="Times New Roman" w:hAnsi="Palatino Linotype"/>
          <w:bCs/>
          <w:sz w:val="22"/>
          <w:szCs w:val="22"/>
          <w:lang w:val="en-US" w:eastAsia="en-GB"/>
        </w:rPr>
        <w:t>(</w:t>
      </w:r>
      <w:r>
        <w:rPr>
          <w:rFonts w:ascii="Palatino Linotype" w:eastAsia="Times New Roman" w:hAnsi="Palatino Linotype"/>
          <w:bCs/>
          <w:sz w:val="22"/>
          <w:szCs w:val="22"/>
          <w:lang w:val="en-US" w:eastAsia="en-GB"/>
        </w:rPr>
        <w:t>30.6</w:t>
      </w:r>
      <w:r w:rsidRPr="00A01675">
        <w:rPr>
          <w:rFonts w:ascii="Palatino Linotype" w:eastAsia="Times New Roman" w:hAnsi="Palatino Linotype"/>
          <w:bCs/>
          <w:sz w:val="22"/>
          <w:szCs w:val="22"/>
          <w:lang w:val="en-US" w:eastAsia="en-GB"/>
        </w:rPr>
        <w:t xml:space="preserve"> per cent)</w:t>
      </w:r>
      <w:r>
        <w:rPr>
          <w:rFonts w:ascii="Palatino Linotype" w:eastAsia="Times New Roman" w:hAnsi="Palatino Linotype"/>
          <w:bCs/>
          <w:sz w:val="22"/>
          <w:szCs w:val="22"/>
          <w:lang w:val="en-US" w:eastAsia="en-GB"/>
        </w:rPr>
        <w:t xml:space="preserve"> during February</w:t>
      </w:r>
      <w:r w:rsidRPr="005048C2">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 xml:space="preserve">2022, while, </w:t>
      </w:r>
      <w:r w:rsidRPr="00B54A0E">
        <w:rPr>
          <w:rFonts w:ascii="Palatino Linotype" w:eastAsia="Times New Roman" w:hAnsi="Palatino Linotype"/>
          <w:bCs/>
          <w:sz w:val="22"/>
          <w:szCs w:val="22"/>
          <w:lang w:val="en-US" w:eastAsia="en-GB"/>
        </w:rPr>
        <w:t xml:space="preserve">Taiwan Taiex </w:t>
      </w:r>
      <w:r>
        <w:rPr>
          <w:rFonts w:ascii="Palatino Linotype" w:eastAsia="Times New Roman" w:hAnsi="Palatino Linotype"/>
          <w:bCs/>
          <w:sz w:val="22"/>
          <w:szCs w:val="22"/>
          <w:lang w:val="en-US" w:eastAsia="en-GB"/>
        </w:rPr>
        <w:t>index of Taiwan exhibited least volatility</w:t>
      </w:r>
      <w:r w:rsidRPr="00A01675">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15.2</w:t>
      </w:r>
      <w:r w:rsidRPr="00A01675">
        <w:rPr>
          <w:rFonts w:ascii="Palatino Linotype" w:eastAsia="Times New Roman" w:hAnsi="Palatino Linotype"/>
          <w:bCs/>
          <w:sz w:val="22"/>
          <w:szCs w:val="22"/>
          <w:lang w:val="en-US" w:eastAsia="en-GB"/>
        </w:rPr>
        <w:t xml:space="preserve"> per cent)</w:t>
      </w:r>
      <w:r>
        <w:rPr>
          <w:rFonts w:ascii="Palatino Linotype" w:eastAsia="Times New Roman" w:hAnsi="Palatino Linotype"/>
          <w:bCs/>
          <w:sz w:val="22"/>
          <w:szCs w:val="22"/>
          <w:lang w:val="en-US" w:eastAsia="en-GB"/>
        </w:rPr>
        <w:t xml:space="preserve"> during the month</w:t>
      </w:r>
      <w:r w:rsidRPr="00A01675">
        <w:rPr>
          <w:rFonts w:ascii="Palatino Linotype" w:eastAsia="Times New Roman" w:hAnsi="Palatino Linotype"/>
          <w:bCs/>
          <w:sz w:val="22"/>
          <w:szCs w:val="22"/>
          <w:lang w:val="en-US" w:eastAsia="en-GB"/>
        </w:rPr>
        <w:t xml:space="preserve">. </w:t>
      </w:r>
    </w:p>
    <w:p w:rsidR="00567A3B" w:rsidRPr="00EF3334" w:rsidRDefault="00567A3B" w:rsidP="00223C98">
      <w:pPr>
        <w:numPr>
          <w:ilvl w:val="0"/>
          <w:numId w:val="10"/>
        </w:numPr>
        <w:ind w:left="357" w:hanging="357"/>
        <w:jc w:val="both"/>
        <w:rPr>
          <w:rFonts w:ascii="Palatino Linotype" w:eastAsia="Times New Roman" w:hAnsi="Palatino Linotype"/>
          <w:bCs/>
          <w:color w:val="FF0000"/>
          <w:sz w:val="22"/>
          <w:szCs w:val="22"/>
          <w:lang w:val="en-US" w:eastAsia="en-GB"/>
        </w:rPr>
      </w:pPr>
      <w:r>
        <w:rPr>
          <w:rFonts w:ascii="Palatino Linotype" w:eastAsia="Times New Roman" w:hAnsi="Palatino Linotype"/>
          <w:bCs/>
          <w:sz w:val="22"/>
          <w:szCs w:val="22"/>
          <w:lang w:val="en-US" w:eastAsia="en-GB"/>
        </w:rPr>
        <w:t>During February</w:t>
      </w:r>
      <w:r w:rsidRPr="005048C2">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2022, Kospi index of S. Korea was top gainer with a return of 1.3 per cent, while Dax</w:t>
      </w:r>
      <w:r w:rsidRPr="006639E8">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index of Germany</w:t>
      </w:r>
      <w:r w:rsidRPr="006639E8">
        <w:rPr>
          <w:rFonts w:ascii="Palatino Linotype" w:eastAsia="Times New Roman" w:hAnsi="Palatino Linotype"/>
          <w:bCs/>
          <w:sz w:val="22"/>
          <w:szCs w:val="22"/>
          <w:lang w:val="en-US" w:eastAsia="en-GB"/>
        </w:rPr>
        <w:t xml:space="preserve"> </w:t>
      </w:r>
      <w:r>
        <w:rPr>
          <w:rFonts w:ascii="Palatino Linotype" w:eastAsia="Times New Roman" w:hAnsi="Palatino Linotype"/>
          <w:bCs/>
          <w:sz w:val="22"/>
          <w:szCs w:val="22"/>
          <w:lang w:val="en-US" w:eastAsia="en-GB"/>
        </w:rPr>
        <w:t xml:space="preserve">registered highest decline of 6.5 percent, among the select developed market indices. </w:t>
      </w:r>
    </w:p>
    <w:p w:rsidR="00567A3B" w:rsidRPr="00DF5CEF" w:rsidRDefault="00567A3B" w:rsidP="00223C98">
      <w:pPr>
        <w:numPr>
          <w:ilvl w:val="0"/>
          <w:numId w:val="10"/>
        </w:numPr>
        <w:ind w:left="357" w:hanging="357"/>
        <w:jc w:val="both"/>
        <w:rPr>
          <w:rFonts w:ascii="Palatino Linotype" w:eastAsia="Times New Roman" w:hAnsi="Palatino Linotype"/>
          <w:bCs/>
          <w:sz w:val="22"/>
          <w:szCs w:val="22"/>
          <w:lang w:val="en-US" w:eastAsia="en-GB"/>
        </w:rPr>
      </w:pPr>
      <w:r w:rsidRPr="003B5DCF">
        <w:rPr>
          <w:rFonts w:ascii="Palatino Linotype" w:eastAsia="Times New Roman" w:hAnsi="Palatino Linotype"/>
          <w:bCs/>
          <w:sz w:val="22"/>
          <w:szCs w:val="22"/>
          <w:lang w:val="en-US" w:eastAsia="en-GB"/>
        </w:rPr>
        <w:t>The MSCI World Index</w:t>
      </w:r>
      <w:r w:rsidRPr="00DF5CEF">
        <w:rPr>
          <w:rFonts w:ascii="Palatino Linotype" w:eastAsia="Times New Roman" w:hAnsi="Palatino Linotype"/>
          <w:bCs/>
          <w:sz w:val="22"/>
          <w:szCs w:val="22"/>
          <w:lang w:val="en-US" w:eastAsia="en-GB"/>
        </w:rPr>
        <w:t xml:space="preserve">, which is a broad global equity index that represents large and mid-cap equity performance across 23 developed markets, decreased by 2.7 per cent in </w:t>
      </w:r>
      <w:r>
        <w:rPr>
          <w:rFonts w:ascii="Palatino Linotype" w:eastAsia="Times New Roman" w:hAnsi="Palatino Linotype"/>
          <w:bCs/>
          <w:sz w:val="22"/>
          <w:szCs w:val="22"/>
          <w:lang w:val="en-US" w:eastAsia="en-GB"/>
        </w:rPr>
        <w:t>February</w:t>
      </w:r>
      <w:r w:rsidRPr="005048C2">
        <w:rPr>
          <w:rFonts w:ascii="Palatino Linotype" w:eastAsia="Times New Roman" w:hAnsi="Palatino Linotype"/>
          <w:bCs/>
          <w:sz w:val="22"/>
          <w:szCs w:val="22"/>
          <w:lang w:val="en-US" w:eastAsia="en-GB"/>
        </w:rPr>
        <w:t xml:space="preserve"> </w:t>
      </w:r>
      <w:r w:rsidRPr="00DF5CEF">
        <w:rPr>
          <w:rFonts w:ascii="Palatino Linotype" w:eastAsia="Times New Roman" w:hAnsi="Palatino Linotype"/>
          <w:bCs/>
          <w:sz w:val="22"/>
          <w:szCs w:val="22"/>
          <w:lang w:val="en-US" w:eastAsia="en-GB"/>
        </w:rPr>
        <w:t>2022.</w:t>
      </w:r>
    </w:p>
    <w:p w:rsidR="00567A3B" w:rsidRPr="003B5DCF" w:rsidRDefault="00567A3B" w:rsidP="00223C98">
      <w:pPr>
        <w:numPr>
          <w:ilvl w:val="0"/>
          <w:numId w:val="10"/>
        </w:numPr>
        <w:ind w:left="357" w:hanging="357"/>
        <w:jc w:val="both"/>
        <w:rPr>
          <w:rFonts w:ascii="Palatino Linotype" w:eastAsia="Times New Roman" w:hAnsi="Palatino Linotype"/>
          <w:bCs/>
          <w:sz w:val="22"/>
          <w:szCs w:val="22"/>
          <w:lang w:val="en-US" w:eastAsia="en-GB"/>
        </w:rPr>
      </w:pPr>
      <w:r w:rsidRPr="00DF5CEF">
        <w:rPr>
          <w:rFonts w:ascii="Palatino Linotype" w:eastAsia="Times New Roman" w:hAnsi="Palatino Linotype"/>
          <w:bCs/>
          <w:sz w:val="22"/>
          <w:szCs w:val="22"/>
          <w:lang w:val="en-US" w:eastAsia="en-GB"/>
        </w:rPr>
        <w:t>MSCI All Country World Price Index (MSCI ACWI), which represent performance of set of large- and mid-cap stocks across 23 developed</w:t>
      </w:r>
      <w:r w:rsidRPr="003B5DCF">
        <w:rPr>
          <w:rFonts w:ascii="Palatino Linotype" w:eastAsia="Times New Roman" w:hAnsi="Palatino Linotype"/>
          <w:bCs/>
          <w:sz w:val="22"/>
          <w:szCs w:val="22"/>
          <w:lang w:val="en-US" w:eastAsia="en-GB"/>
        </w:rPr>
        <w:t xml:space="preserve"> and 27 emerging markets</w:t>
      </w:r>
      <w:r>
        <w:rPr>
          <w:rFonts w:ascii="Palatino Linotype" w:eastAsia="Times New Roman" w:hAnsi="Palatino Linotype"/>
          <w:bCs/>
          <w:sz w:val="22"/>
          <w:szCs w:val="22"/>
          <w:lang w:val="en-US" w:eastAsia="en-GB"/>
        </w:rPr>
        <w:t>, declined by 3.2 per cent during the month.</w:t>
      </w:r>
    </w:p>
    <w:p w:rsidR="00567A3B" w:rsidRDefault="00567A3B" w:rsidP="00567A3B">
      <w:pPr>
        <w:pStyle w:val="ListParagraph"/>
        <w:rPr>
          <w:rFonts w:ascii="Palatino Linotype" w:eastAsia="Times New Roman" w:hAnsi="Palatino Linotype"/>
          <w:bCs/>
          <w:strike/>
          <w:sz w:val="22"/>
          <w:szCs w:val="22"/>
          <w:lang w:eastAsia="en-GB"/>
        </w:rPr>
      </w:pPr>
    </w:p>
    <w:p w:rsidR="004D4612" w:rsidRDefault="004D4612" w:rsidP="00567A3B">
      <w:pPr>
        <w:pStyle w:val="ListParagraph"/>
        <w:rPr>
          <w:rFonts w:ascii="Palatino Linotype" w:eastAsia="Times New Roman" w:hAnsi="Palatino Linotype"/>
          <w:bCs/>
          <w:strike/>
          <w:sz w:val="22"/>
          <w:szCs w:val="22"/>
          <w:lang w:eastAsia="en-GB"/>
        </w:rPr>
      </w:pPr>
    </w:p>
    <w:p w:rsidR="004D4612" w:rsidRDefault="004D4612" w:rsidP="00567A3B">
      <w:pPr>
        <w:pStyle w:val="ListParagraph"/>
        <w:rPr>
          <w:rFonts w:ascii="Palatino Linotype" w:eastAsia="Times New Roman" w:hAnsi="Palatino Linotype"/>
          <w:bCs/>
          <w:strike/>
          <w:sz w:val="22"/>
          <w:szCs w:val="22"/>
          <w:lang w:eastAsia="en-GB"/>
        </w:rPr>
      </w:pPr>
    </w:p>
    <w:p w:rsidR="004D4612" w:rsidRDefault="004D4612" w:rsidP="00567A3B">
      <w:pPr>
        <w:pStyle w:val="ListParagraph"/>
        <w:rPr>
          <w:rFonts w:ascii="Palatino Linotype" w:eastAsia="Times New Roman" w:hAnsi="Palatino Linotype"/>
          <w:bCs/>
          <w:strike/>
          <w:sz w:val="22"/>
          <w:szCs w:val="22"/>
          <w:lang w:eastAsia="en-GB"/>
        </w:rPr>
      </w:pPr>
    </w:p>
    <w:p w:rsidR="004D4612" w:rsidRDefault="004D4612" w:rsidP="00567A3B">
      <w:pPr>
        <w:pStyle w:val="ListParagraph"/>
        <w:rPr>
          <w:rFonts w:ascii="Palatino Linotype" w:eastAsia="Times New Roman" w:hAnsi="Palatino Linotype"/>
          <w:bCs/>
          <w:strike/>
          <w:sz w:val="22"/>
          <w:szCs w:val="22"/>
          <w:lang w:eastAsia="en-GB"/>
        </w:rPr>
      </w:pPr>
    </w:p>
    <w:p w:rsidR="004D4612" w:rsidRDefault="004D4612" w:rsidP="00567A3B">
      <w:pPr>
        <w:pStyle w:val="ListParagraph"/>
        <w:rPr>
          <w:rFonts w:ascii="Palatino Linotype" w:eastAsia="Times New Roman" w:hAnsi="Palatino Linotype"/>
          <w:bCs/>
          <w:strike/>
          <w:sz w:val="22"/>
          <w:szCs w:val="22"/>
          <w:lang w:eastAsia="en-GB"/>
        </w:rPr>
      </w:pPr>
    </w:p>
    <w:p w:rsidR="005D3A87" w:rsidRDefault="005D3A87" w:rsidP="00567A3B">
      <w:pPr>
        <w:pStyle w:val="ListParagraph"/>
        <w:rPr>
          <w:rFonts w:ascii="Palatino Linotype" w:eastAsia="Times New Roman" w:hAnsi="Palatino Linotype"/>
          <w:bCs/>
          <w:strike/>
          <w:sz w:val="22"/>
          <w:szCs w:val="22"/>
          <w:lang w:eastAsia="en-GB"/>
        </w:rPr>
      </w:pPr>
    </w:p>
    <w:p w:rsidR="005D3A87" w:rsidRDefault="005D3A87" w:rsidP="00567A3B">
      <w:pPr>
        <w:pStyle w:val="ListParagraph"/>
        <w:rPr>
          <w:rFonts w:ascii="Palatino Linotype" w:eastAsia="Times New Roman" w:hAnsi="Palatino Linotype"/>
          <w:bCs/>
          <w:strike/>
          <w:sz w:val="22"/>
          <w:szCs w:val="22"/>
          <w:lang w:eastAsia="en-GB"/>
        </w:rPr>
      </w:pPr>
    </w:p>
    <w:p w:rsidR="005D3A87" w:rsidRDefault="005D3A87" w:rsidP="00567A3B">
      <w:pPr>
        <w:pStyle w:val="ListParagraph"/>
        <w:rPr>
          <w:rFonts w:ascii="Palatino Linotype" w:eastAsia="Times New Roman" w:hAnsi="Palatino Linotype"/>
          <w:bCs/>
          <w:strike/>
          <w:sz w:val="22"/>
          <w:szCs w:val="22"/>
          <w:lang w:eastAsia="en-GB"/>
        </w:rPr>
      </w:pPr>
    </w:p>
    <w:p w:rsidR="005D3A87" w:rsidRDefault="005D3A87" w:rsidP="00567A3B">
      <w:pPr>
        <w:pStyle w:val="ListParagraph"/>
        <w:rPr>
          <w:rFonts w:ascii="Palatino Linotype" w:eastAsia="Times New Roman" w:hAnsi="Palatino Linotype"/>
          <w:bCs/>
          <w:strike/>
          <w:sz w:val="22"/>
          <w:szCs w:val="22"/>
          <w:lang w:eastAsia="en-GB"/>
        </w:rPr>
      </w:pPr>
    </w:p>
    <w:p w:rsidR="004D4612" w:rsidRDefault="004D4612" w:rsidP="00567A3B">
      <w:pPr>
        <w:pStyle w:val="ListParagraph"/>
        <w:rPr>
          <w:rFonts w:ascii="Palatino Linotype" w:eastAsia="Times New Roman" w:hAnsi="Palatino Linotype"/>
          <w:bCs/>
          <w:strike/>
          <w:sz w:val="22"/>
          <w:szCs w:val="22"/>
          <w:lang w:eastAsia="en-GB"/>
        </w:rPr>
      </w:pPr>
    </w:p>
    <w:p w:rsidR="00567A3B" w:rsidRDefault="00567A3B" w:rsidP="00567A3B">
      <w:pPr>
        <w:rPr>
          <w:rFonts w:ascii="Palatino Linotype" w:hAnsi="Palatino Linotype"/>
          <w:b/>
          <w:bCs/>
          <w:szCs w:val="22"/>
        </w:rPr>
      </w:pPr>
      <w:r>
        <w:rPr>
          <w:rFonts w:ascii="Palatino Linotype" w:hAnsi="Palatino Linotype"/>
          <w:b/>
          <w:bCs/>
          <w:szCs w:val="22"/>
        </w:rPr>
        <w:lastRenderedPageBreak/>
        <w:t>Table 1: Performance of Stock Indices</w:t>
      </w:r>
    </w:p>
    <w:tbl>
      <w:tblPr>
        <w:tblW w:w="10622" w:type="dxa"/>
        <w:tblLook w:val="04A0" w:firstRow="1" w:lastRow="0" w:firstColumn="1" w:lastColumn="0" w:noHBand="0" w:noVBand="1"/>
      </w:tblPr>
      <w:tblGrid>
        <w:gridCol w:w="1398"/>
        <w:gridCol w:w="2112"/>
        <w:gridCol w:w="1276"/>
        <w:gridCol w:w="1134"/>
        <w:gridCol w:w="992"/>
        <w:gridCol w:w="1058"/>
        <w:gridCol w:w="783"/>
        <w:gridCol w:w="1176"/>
        <w:gridCol w:w="693"/>
      </w:tblGrid>
      <w:tr w:rsidR="00567A3B" w:rsidRPr="00395D65" w:rsidTr="0026016F">
        <w:trPr>
          <w:trHeight w:val="188"/>
        </w:trPr>
        <w:tc>
          <w:tcPr>
            <w:tcW w:w="1398" w:type="dxa"/>
            <w:vMerge w:val="restart"/>
            <w:tcBorders>
              <w:top w:val="single" w:sz="8" w:space="0" w:color="auto"/>
              <w:left w:val="single" w:sz="8" w:space="0" w:color="auto"/>
              <w:bottom w:val="single" w:sz="8" w:space="0" w:color="000000"/>
              <w:right w:val="single" w:sz="8" w:space="0" w:color="auto"/>
            </w:tcBorders>
            <w:shd w:val="clear" w:color="000000" w:fill="B4C6E7"/>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Country</w:t>
            </w:r>
          </w:p>
        </w:tc>
        <w:tc>
          <w:tcPr>
            <w:tcW w:w="2112" w:type="dxa"/>
            <w:vMerge w:val="restart"/>
            <w:tcBorders>
              <w:top w:val="single" w:sz="8" w:space="0" w:color="auto"/>
              <w:left w:val="single" w:sz="8" w:space="0" w:color="auto"/>
              <w:bottom w:val="single" w:sz="8" w:space="0" w:color="000000"/>
              <w:right w:val="single" w:sz="8" w:space="0" w:color="auto"/>
            </w:tcBorders>
            <w:shd w:val="clear" w:color="000000" w:fill="B4C6E7"/>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Index</w:t>
            </w:r>
          </w:p>
        </w:tc>
        <w:tc>
          <w:tcPr>
            <w:tcW w:w="1276" w:type="dxa"/>
            <w:tcBorders>
              <w:top w:val="single" w:sz="8" w:space="0" w:color="auto"/>
              <w:left w:val="nil"/>
              <w:bottom w:val="nil"/>
              <w:right w:val="single" w:sz="8" w:space="0" w:color="auto"/>
            </w:tcBorders>
            <w:shd w:val="clear" w:color="000000" w:fill="B4C6E7"/>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Closing Value as on</w:t>
            </w:r>
          </w:p>
        </w:tc>
        <w:tc>
          <w:tcPr>
            <w:tcW w:w="3967" w:type="dxa"/>
            <w:gridSpan w:val="4"/>
            <w:tcBorders>
              <w:top w:val="single" w:sz="8" w:space="0" w:color="auto"/>
              <w:left w:val="nil"/>
              <w:bottom w:val="single" w:sz="8" w:space="0" w:color="auto"/>
              <w:right w:val="single" w:sz="8" w:space="0" w:color="000000"/>
            </w:tcBorders>
            <w:shd w:val="clear" w:color="000000" w:fill="B4C6E7"/>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Pr>
                <w:rFonts w:ascii="Palatino Linotype" w:eastAsia="Times New Roman" w:hAnsi="Palatino Linotype" w:cs="Calibri"/>
                <w:b/>
                <w:bCs/>
                <w:color w:val="000000"/>
                <w:sz w:val="18"/>
                <w:szCs w:val="18"/>
                <w:lang w:val="en-IN" w:eastAsia="en-IN" w:bidi="hi-IN"/>
              </w:rPr>
              <w:t xml:space="preserve">Percentage </w:t>
            </w:r>
            <w:r w:rsidRPr="00395D65">
              <w:rPr>
                <w:rFonts w:ascii="Palatino Linotype" w:eastAsia="Times New Roman" w:hAnsi="Palatino Linotype" w:cs="Calibri"/>
                <w:b/>
                <w:bCs/>
                <w:color w:val="000000"/>
                <w:sz w:val="18"/>
                <w:szCs w:val="18"/>
                <w:lang w:val="en-IN" w:eastAsia="en-IN" w:bidi="hi-IN"/>
              </w:rPr>
              <w:t>Change in Closing Value over period</w:t>
            </w:r>
          </w:p>
        </w:tc>
        <w:tc>
          <w:tcPr>
            <w:tcW w:w="1176" w:type="dxa"/>
            <w:tcBorders>
              <w:top w:val="single" w:sz="8" w:space="0" w:color="auto"/>
              <w:left w:val="single" w:sz="8" w:space="0" w:color="auto"/>
              <w:right w:val="single" w:sz="8" w:space="0" w:color="auto"/>
            </w:tcBorders>
            <w:shd w:val="clear" w:color="auto" w:fill="BDD6EE"/>
            <w:vAlign w:val="center"/>
            <w:hideMark/>
          </w:tcPr>
          <w:p w:rsidR="00567A3B" w:rsidRDefault="00567A3B" w:rsidP="0026016F">
            <w:pPr>
              <w:jc w:val="center"/>
              <w:rPr>
                <w:rFonts w:ascii="Palatino Linotype" w:eastAsia="Times New Roman" w:hAnsi="Palatino Linotype" w:cs="Calibri"/>
                <w:b/>
                <w:bCs/>
                <w:color w:val="000000"/>
                <w:sz w:val="18"/>
                <w:szCs w:val="18"/>
                <w:lang w:val="en-IN" w:eastAsia="en-IN" w:bidi="hi-IN"/>
              </w:rPr>
            </w:pPr>
            <w:r>
              <w:rPr>
                <w:rFonts w:ascii="Palatino Linotype" w:eastAsia="Times New Roman" w:hAnsi="Palatino Linotype" w:cs="Calibri"/>
                <w:b/>
                <w:bCs/>
                <w:color w:val="000000"/>
                <w:sz w:val="18"/>
                <w:szCs w:val="18"/>
                <w:lang w:val="en-IN" w:eastAsia="en-IN" w:bidi="hi-IN"/>
              </w:rPr>
              <w:t>Annualised</w:t>
            </w:r>
          </w:p>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Volatility</w:t>
            </w:r>
            <w:r>
              <w:rPr>
                <w:rFonts w:ascii="Palatino Linotype" w:eastAsia="Times New Roman" w:hAnsi="Palatino Linotype" w:cs="Calibri"/>
                <w:b/>
                <w:bCs/>
                <w:color w:val="000000"/>
                <w:sz w:val="18"/>
                <w:szCs w:val="18"/>
                <w:lang w:val="en-IN" w:eastAsia="en-IN" w:bidi="hi-IN"/>
              </w:rPr>
              <w:t xml:space="preserve"> </w:t>
            </w:r>
          </w:p>
        </w:tc>
        <w:tc>
          <w:tcPr>
            <w:tcW w:w="693" w:type="dxa"/>
            <w:tcBorders>
              <w:top w:val="single" w:sz="8" w:space="0" w:color="auto"/>
              <w:left w:val="single" w:sz="8" w:space="0" w:color="auto"/>
              <w:right w:val="single" w:sz="8" w:space="0" w:color="auto"/>
            </w:tcBorders>
            <w:shd w:val="clear" w:color="auto" w:fill="BDD6EE"/>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P/E Ratio</w:t>
            </w:r>
          </w:p>
        </w:tc>
      </w:tr>
      <w:tr w:rsidR="00567A3B" w:rsidRPr="00395D65" w:rsidTr="0026016F">
        <w:trPr>
          <w:trHeight w:val="288"/>
        </w:trPr>
        <w:tc>
          <w:tcPr>
            <w:tcW w:w="1398" w:type="dxa"/>
            <w:vMerge/>
            <w:tcBorders>
              <w:top w:val="single" w:sz="8" w:space="0" w:color="auto"/>
              <w:left w:val="single" w:sz="8" w:space="0" w:color="auto"/>
              <w:bottom w:val="single" w:sz="8" w:space="0" w:color="000000"/>
              <w:right w:val="single" w:sz="8" w:space="0" w:color="auto"/>
            </w:tcBorders>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p>
        </w:tc>
        <w:tc>
          <w:tcPr>
            <w:tcW w:w="2112" w:type="dxa"/>
            <w:vMerge/>
            <w:tcBorders>
              <w:top w:val="single" w:sz="8" w:space="0" w:color="auto"/>
              <w:left w:val="single" w:sz="8" w:space="0" w:color="auto"/>
              <w:bottom w:val="single" w:sz="8" w:space="0" w:color="000000"/>
              <w:right w:val="single" w:sz="8" w:space="0" w:color="auto"/>
            </w:tcBorders>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p>
        </w:tc>
        <w:tc>
          <w:tcPr>
            <w:tcW w:w="1276" w:type="dxa"/>
            <w:tcBorders>
              <w:top w:val="nil"/>
              <w:left w:val="nil"/>
              <w:bottom w:val="single" w:sz="8" w:space="0" w:color="auto"/>
              <w:right w:val="single" w:sz="8" w:space="0" w:color="auto"/>
            </w:tcBorders>
            <w:shd w:val="clear" w:color="000000" w:fill="B4C6E7"/>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Pr>
                <w:rFonts w:ascii="Palatino Linotype" w:eastAsia="Times New Roman" w:hAnsi="Palatino Linotype" w:cs="Calibri"/>
                <w:b/>
                <w:bCs/>
                <w:color w:val="000000"/>
                <w:sz w:val="18"/>
                <w:szCs w:val="18"/>
                <w:lang w:val="en-IN" w:eastAsia="en-IN" w:bidi="hi-IN"/>
              </w:rPr>
              <w:t>28-Feb</w:t>
            </w:r>
            <w:r w:rsidRPr="00395D65">
              <w:rPr>
                <w:rFonts w:ascii="Palatino Linotype" w:eastAsia="Times New Roman" w:hAnsi="Palatino Linotype" w:cs="Calibri"/>
                <w:b/>
                <w:bCs/>
                <w:color w:val="000000"/>
                <w:sz w:val="18"/>
                <w:szCs w:val="18"/>
                <w:lang w:val="en-IN" w:eastAsia="en-IN" w:bidi="hi-IN"/>
              </w:rPr>
              <w:t>-2</w:t>
            </w:r>
            <w:r>
              <w:rPr>
                <w:rFonts w:ascii="Palatino Linotype" w:eastAsia="Times New Roman" w:hAnsi="Palatino Linotype" w:cs="Calibri"/>
                <w:b/>
                <w:bCs/>
                <w:color w:val="000000"/>
                <w:sz w:val="18"/>
                <w:szCs w:val="18"/>
                <w:lang w:val="en-IN" w:eastAsia="en-IN" w:bidi="hi-IN"/>
              </w:rPr>
              <w:t>2</w:t>
            </w:r>
          </w:p>
        </w:tc>
        <w:tc>
          <w:tcPr>
            <w:tcW w:w="1134" w:type="dxa"/>
            <w:tcBorders>
              <w:top w:val="nil"/>
              <w:left w:val="nil"/>
              <w:bottom w:val="single" w:sz="8" w:space="0" w:color="auto"/>
              <w:right w:val="single" w:sz="8" w:space="0" w:color="auto"/>
            </w:tcBorders>
            <w:shd w:val="clear" w:color="000000" w:fill="B4C6E7"/>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1-Month</w:t>
            </w:r>
          </w:p>
        </w:tc>
        <w:tc>
          <w:tcPr>
            <w:tcW w:w="992" w:type="dxa"/>
            <w:tcBorders>
              <w:top w:val="nil"/>
              <w:left w:val="nil"/>
              <w:bottom w:val="single" w:sz="8" w:space="0" w:color="auto"/>
              <w:right w:val="single" w:sz="8" w:space="0" w:color="auto"/>
            </w:tcBorders>
            <w:shd w:val="clear" w:color="000000" w:fill="B4C6E7"/>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3-Month</w:t>
            </w:r>
          </w:p>
        </w:tc>
        <w:tc>
          <w:tcPr>
            <w:tcW w:w="1058" w:type="dxa"/>
            <w:tcBorders>
              <w:top w:val="nil"/>
              <w:left w:val="nil"/>
              <w:bottom w:val="single" w:sz="8" w:space="0" w:color="auto"/>
              <w:right w:val="single" w:sz="8" w:space="0" w:color="auto"/>
            </w:tcBorders>
            <w:shd w:val="clear" w:color="000000" w:fill="B4C6E7"/>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6-Month</w:t>
            </w:r>
          </w:p>
        </w:tc>
        <w:tc>
          <w:tcPr>
            <w:tcW w:w="783" w:type="dxa"/>
            <w:tcBorders>
              <w:top w:val="nil"/>
              <w:left w:val="nil"/>
              <w:bottom w:val="single" w:sz="8" w:space="0" w:color="auto"/>
              <w:right w:val="single" w:sz="8" w:space="0" w:color="auto"/>
            </w:tcBorders>
            <w:shd w:val="clear" w:color="000000" w:fill="B4C6E7"/>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1-Year</w:t>
            </w:r>
          </w:p>
        </w:tc>
        <w:tc>
          <w:tcPr>
            <w:tcW w:w="1176" w:type="dxa"/>
            <w:tcBorders>
              <w:left w:val="single" w:sz="8" w:space="0" w:color="auto"/>
              <w:bottom w:val="single" w:sz="8" w:space="0" w:color="000000"/>
              <w:right w:val="single" w:sz="8" w:space="0" w:color="auto"/>
            </w:tcBorders>
            <w:shd w:val="clear" w:color="auto" w:fill="BDD6EE"/>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Pr>
                <w:rFonts w:ascii="Palatino Linotype" w:eastAsia="Times New Roman" w:hAnsi="Palatino Linotype" w:cs="Calibri"/>
                <w:b/>
                <w:bCs/>
                <w:color w:val="000000"/>
                <w:sz w:val="18"/>
                <w:szCs w:val="18"/>
                <w:lang w:val="en-IN" w:eastAsia="en-IN" w:bidi="hi-IN"/>
              </w:rPr>
              <w:t>(%)</w:t>
            </w:r>
          </w:p>
        </w:tc>
        <w:tc>
          <w:tcPr>
            <w:tcW w:w="693" w:type="dxa"/>
            <w:tcBorders>
              <w:left w:val="single" w:sz="8" w:space="0" w:color="auto"/>
              <w:bottom w:val="single" w:sz="8" w:space="0" w:color="000000"/>
              <w:right w:val="single" w:sz="8" w:space="0" w:color="auto"/>
            </w:tcBorders>
            <w:shd w:val="clear" w:color="auto" w:fill="BDD6EE"/>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p>
        </w:tc>
      </w:tr>
      <w:tr w:rsidR="00567A3B" w:rsidRPr="00395D65" w:rsidTr="0026016F">
        <w:trPr>
          <w:trHeight w:val="384"/>
        </w:trPr>
        <w:tc>
          <w:tcPr>
            <w:tcW w:w="10622" w:type="dxa"/>
            <w:gridSpan w:val="9"/>
            <w:tcBorders>
              <w:top w:val="single" w:sz="8" w:space="0" w:color="auto"/>
              <w:left w:val="single" w:sz="8" w:space="0" w:color="auto"/>
              <w:bottom w:val="single" w:sz="8" w:space="0" w:color="auto"/>
              <w:right w:val="single" w:sz="8" w:space="0" w:color="000000"/>
            </w:tcBorders>
            <w:shd w:val="clear" w:color="000000" w:fill="D9E1F2"/>
            <w:noWrap/>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BRICS Nations</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Brazil</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BRAZIL IBOVESPA</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1,13,142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0.9</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11.0</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-4.7</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2.8</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12.0</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4.0</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Russia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RUSSIAN TRADED</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988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-49.1</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-54.8</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-55.0</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-46.2</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222.4</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3.9</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India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Nifty 50</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16,794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-3.1</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-1.1</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-2.0</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15.6</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27.8</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21.6</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India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S&amp;P BSE SENSEX</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56,247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-3.0</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-1.4</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-2.3</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14.6</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27.6</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24.7</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China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SHANGHAI COMPOSITE</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3,462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3.0</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-2.9</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-2.3</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-1.3</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12.5</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12.0</w:t>
            </w:r>
          </w:p>
        </w:tc>
      </w:tr>
      <w:tr w:rsidR="00567A3B" w:rsidRPr="00395D65" w:rsidTr="0026016F">
        <w:trPr>
          <w:trHeight w:val="188"/>
        </w:trPr>
        <w:tc>
          <w:tcPr>
            <w:tcW w:w="1398" w:type="dxa"/>
            <w:tcBorders>
              <w:top w:val="nil"/>
              <w:left w:val="single" w:sz="8" w:space="0" w:color="auto"/>
              <w:bottom w:val="single" w:sz="8" w:space="0" w:color="auto"/>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South Africa</w:t>
            </w:r>
          </w:p>
        </w:tc>
        <w:tc>
          <w:tcPr>
            <w:tcW w:w="2112" w:type="dxa"/>
            <w:tcBorders>
              <w:top w:val="nil"/>
              <w:left w:val="nil"/>
              <w:bottom w:val="single" w:sz="8" w:space="0" w:color="auto"/>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FTSE/JSE AFRICA</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76,091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2.4</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8.0</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12.8</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15.0</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14.0</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9.3</w:t>
            </w:r>
          </w:p>
        </w:tc>
      </w:tr>
      <w:tr w:rsidR="00567A3B" w:rsidRPr="00395D65" w:rsidTr="0026016F">
        <w:trPr>
          <w:trHeight w:val="384"/>
        </w:trPr>
        <w:tc>
          <w:tcPr>
            <w:tcW w:w="10622" w:type="dxa"/>
            <w:gridSpan w:val="9"/>
            <w:tcBorders>
              <w:top w:val="single" w:sz="8" w:space="0" w:color="auto"/>
              <w:left w:val="single" w:sz="8" w:space="0" w:color="auto"/>
              <w:bottom w:val="single" w:sz="8" w:space="0" w:color="auto"/>
              <w:right w:val="single" w:sz="8" w:space="0" w:color="000000"/>
            </w:tcBorders>
            <w:shd w:val="clear" w:color="000000" w:fill="D9E1F2"/>
            <w:vAlign w:val="center"/>
            <w:hideMark/>
          </w:tcPr>
          <w:p w:rsidR="00567A3B" w:rsidRPr="00395D65" w:rsidRDefault="00567A3B" w:rsidP="0026016F">
            <w:pPr>
              <w:jc w:val="center"/>
              <w:rPr>
                <w:rFonts w:ascii="Palatino Linotype" w:eastAsia="Times New Roman" w:hAnsi="Palatino Linotype" w:cs="Calibri"/>
                <w:b/>
                <w:bCs/>
                <w:color w:val="000000"/>
                <w:sz w:val="18"/>
                <w:szCs w:val="18"/>
                <w:lang w:val="en-IN" w:eastAsia="en-IN" w:bidi="hi-IN"/>
              </w:rPr>
            </w:pPr>
            <w:r w:rsidRPr="00395D65">
              <w:rPr>
                <w:rFonts w:ascii="Palatino Linotype" w:eastAsia="Times New Roman" w:hAnsi="Palatino Linotype" w:cs="Calibri"/>
                <w:b/>
                <w:bCs/>
                <w:color w:val="000000"/>
                <w:sz w:val="18"/>
                <w:szCs w:val="18"/>
                <w:lang w:val="en-IN" w:eastAsia="en-IN" w:bidi="hi-IN"/>
              </w:rPr>
              <w:t>Developed Markets</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USA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NASDAQ COMPOSITE</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13,751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-3.4</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-11.5</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-9.9</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4.2</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30.6</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NA</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USA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DOW JONES INDUS. AVG</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33,893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-3.5</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-1.7</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-4.2</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9.6</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17.6</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17.7</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France</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CAC 40</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6,659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-4.9</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-0.9</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-0.3</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16.8</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25.3</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15.4</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Germany</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DAX</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14,461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-6.5</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-4.2</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-8.7</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4.9</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25.7</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14.1</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UK</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FTSE 100</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7,458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-0.1</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5.6</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4.8</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15.0</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22.2</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13.7</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Hong Kong</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HANG SENG</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22,713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-4.6</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-3.2</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-12.2</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-21.6</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23.1</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11.1</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South Korea</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KOSPI</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2,699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1.3</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-4.9</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-15.6</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-10.4</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17.8</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NA</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Japan</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NIKKEI 225</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26,527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-1.8</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-4.7</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-5.6</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-8.4</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18.9</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14.5</w:t>
            </w:r>
          </w:p>
        </w:tc>
      </w:tr>
      <w:tr w:rsidR="00567A3B" w:rsidRPr="00395D65" w:rsidTr="0026016F">
        <w:trPr>
          <w:trHeight w:val="179"/>
        </w:trPr>
        <w:tc>
          <w:tcPr>
            <w:tcW w:w="1398" w:type="dxa"/>
            <w:tcBorders>
              <w:top w:val="nil"/>
              <w:left w:val="single" w:sz="8" w:space="0" w:color="auto"/>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Singapore</w:t>
            </w:r>
          </w:p>
        </w:tc>
        <w:tc>
          <w:tcPr>
            <w:tcW w:w="2112" w:type="dxa"/>
            <w:tcBorders>
              <w:top w:val="nil"/>
              <w:left w:val="nil"/>
              <w:bottom w:val="nil"/>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STRAITS TIMES  STI</w:t>
            </w:r>
          </w:p>
        </w:tc>
        <w:tc>
          <w:tcPr>
            <w:tcW w:w="1276" w:type="dxa"/>
            <w:tcBorders>
              <w:top w:val="nil"/>
              <w:left w:val="nil"/>
              <w:bottom w:val="nil"/>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3,242 </w:t>
            </w:r>
          </w:p>
        </w:tc>
        <w:tc>
          <w:tcPr>
            <w:tcW w:w="1134"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-0.2</w:t>
            </w:r>
          </w:p>
        </w:tc>
        <w:tc>
          <w:tcPr>
            <w:tcW w:w="992"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6.6</w:t>
            </w:r>
          </w:p>
        </w:tc>
        <w:tc>
          <w:tcPr>
            <w:tcW w:w="1058"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6.1</w:t>
            </w:r>
          </w:p>
        </w:tc>
        <w:tc>
          <w:tcPr>
            <w:tcW w:w="78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9.9</w:t>
            </w:r>
          </w:p>
        </w:tc>
        <w:tc>
          <w:tcPr>
            <w:tcW w:w="1176"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17.3</w:t>
            </w:r>
          </w:p>
        </w:tc>
        <w:tc>
          <w:tcPr>
            <w:tcW w:w="693" w:type="dxa"/>
            <w:tcBorders>
              <w:top w:val="nil"/>
              <w:left w:val="nil"/>
              <w:bottom w:val="nil"/>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14.4</w:t>
            </w:r>
          </w:p>
        </w:tc>
      </w:tr>
      <w:tr w:rsidR="00567A3B" w:rsidRPr="00395D65" w:rsidTr="0026016F">
        <w:trPr>
          <w:trHeight w:val="188"/>
        </w:trPr>
        <w:tc>
          <w:tcPr>
            <w:tcW w:w="1398" w:type="dxa"/>
            <w:tcBorders>
              <w:top w:val="nil"/>
              <w:left w:val="single" w:sz="8" w:space="0" w:color="auto"/>
              <w:bottom w:val="single" w:sz="8" w:space="0" w:color="auto"/>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Taiwan</w:t>
            </w:r>
          </w:p>
        </w:tc>
        <w:tc>
          <w:tcPr>
            <w:tcW w:w="2112" w:type="dxa"/>
            <w:tcBorders>
              <w:top w:val="nil"/>
              <w:left w:val="nil"/>
              <w:bottom w:val="single" w:sz="8" w:space="0" w:color="auto"/>
              <w:right w:val="single" w:sz="8" w:space="0" w:color="auto"/>
            </w:tcBorders>
            <w:shd w:val="clear" w:color="000000" w:fill="D9E1F2"/>
            <w:noWrap/>
            <w:vAlign w:val="center"/>
            <w:hideMark/>
          </w:tcPr>
          <w:p w:rsidR="00567A3B" w:rsidRPr="00395D65" w:rsidRDefault="00567A3B" w:rsidP="0026016F">
            <w:pPr>
              <w:rPr>
                <w:rFonts w:ascii="Palatino Linotype" w:eastAsia="Times New Roman" w:hAnsi="Palatino Linotype" w:cs="Calibri"/>
                <w:color w:val="000000"/>
                <w:sz w:val="18"/>
                <w:szCs w:val="18"/>
                <w:lang w:val="en-IN" w:eastAsia="en-IN" w:bidi="hi-IN"/>
              </w:rPr>
            </w:pPr>
            <w:r w:rsidRPr="00395D65">
              <w:rPr>
                <w:rFonts w:ascii="Palatino Linotype" w:eastAsia="Times New Roman" w:hAnsi="Palatino Linotype" w:cs="Calibri"/>
                <w:color w:val="000000"/>
                <w:sz w:val="18"/>
                <w:szCs w:val="18"/>
                <w:lang w:val="en-IN" w:eastAsia="en-IN" w:bidi="hi-IN"/>
              </w:rPr>
              <w:t>TAIWAN TAIEX</w:t>
            </w:r>
          </w:p>
        </w:tc>
        <w:tc>
          <w:tcPr>
            <w:tcW w:w="1276" w:type="dxa"/>
            <w:tcBorders>
              <w:top w:val="nil"/>
              <w:left w:val="nil"/>
              <w:bottom w:val="single" w:sz="8" w:space="0" w:color="auto"/>
              <w:right w:val="single" w:sz="8" w:space="0" w:color="auto"/>
            </w:tcBorders>
            <w:shd w:val="clear" w:color="000000" w:fill="9BC2E6"/>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 xml:space="preserve"> 17,652 </w:t>
            </w:r>
          </w:p>
        </w:tc>
        <w:tc>
          <w:tcPr>
            <w:tcW w:w="1134" w:type="dxa"/>
            <w:tcBorders>
              <w:top w:val="nil"/>
              <w:left w:val="nil"/>
              <w:bottom w:val="single" w:sz="8" w:space="0" w:color="auto"/>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-0.1</w:t>
            </w:r>
          </w:p>
        </w:tc>
        <w:tc>
          <w:tcPr>
            <w:tcW w:w="992" w:type="dxa"/>
            <w:tcBorders>
              <w:top w:val="nil"/>
              <w:left w:val="nil"/>
              <w:bottom w:val="single" w:sz="8" w:space="0" w:color="auto"/>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1.3</w:t>
            </w:r>
          </w:p>
        </w:tc>
        <w:tc>
          <w:tcPr>
            <w:tcW w:w="1058" w:type="dxa"/>
            <w:tcBorders>
              <w:top w:val="nil"/>
              <w:left w:val="nil"/>
              <w:bottom w:val="single" w:sz="8" w:space="0" w:color="auto"/>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0.9</w:t>
            </w:r>
          </w:p>
        </w:tc>
        <w:tc>
          <w:tcPr>
            <w:tcW w:w="783" w:type="dxa"/>
            <w:tcBorders>
              <w:top w:val="nil"/>
              <w:left w:val="nil"/>
              <w:bottom w:val="single" w:sz="8" w:space="0" w:color="auto"/>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10.6</w:t>
            </w:r>
          </w:p>
        </w:tc>
        <w:tc>
          <w:tcPr>
            <w:tcW w:w="1176" w:type="dxa"/>
            <w:tcBorders>
              <w:top w:val="nil"/>
              <w:left w:val="nil"/>
              <w:bottom w:val="single" w:sz="8" w:space="0" w:color="auto"/>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15.2</w:t>
            </w:r>
          </w:p>
        </w:tc>
        <w:tc>
          <w:tcPr>
            <w:tcW w:w="693" w:type="dxa"/>
            <w:tcBorders>
              <w:top w:val="nil"/>
              <w:left w:val="nil"/>
              <w:bottom w:val="single" w:sz="8" w:space="0" w:color="auto"/>
              <w:right w:val="single" w:sz="8" w:space="0" w:color="auto"/>
            </w:tcBorders>
            <w:shd w:val="clear" w:color="auto" w:fill="auto"/>
            <w:noWrap/>
            <w:hideMark/>
          </w:tcPr>
          <w:p w:rsidR="00567A3B" w:rsidRPr="00517E4D" w:rsidRDefault="00567A3B" w:rsidP="0026016F">
            <w:pPr>
              <w:jc w:val="right"/>
              <w:rPr>
                <w:rFonts w:ascii="Palatino Linotype" w:hAnsi="Palatino Linotype"/>
                <w:sz w:val="18"/>
                <w:szCs w:val="18"/>
              </w:rPr>
            </w:pPr>
            <w:r w:rsidRPr="00517E4D">
              <w:rPr>
                <w:rFonts w:ascii="Palatino Linotype" w:hAnsi="Palatino Linotype"/>
                <w:sz w:val="18"/>
                <w:szCs w:val="18"/>
              </w:rPr>
              <w:t>12.7</w:t>
            </w:r>
          </w:p>
        </w:tc>
      </w:tr>
    </w:tbl>
    <w:p w:rsidR="00567A3B" w:rsidRDefault="00567A3B" w:rsidP="00567A3B">
      <w:pPr>
        <w:spacing w:line="23" w:lineRule="atLeast"/>
        <w:jc w:val="both"/>
        <w:rPr>
          <w:rFonts w:ascii="Palatino Linotype" w:hAnsi="Palatino Linotype"/>
          <w:bCs/>
          <w:sz w:val="18"/>
          <w:szCs w:val="18"/>
        </w:rPr>
      </w:pPr>
    </w:p>
    <w:p w:rsidR="00567A3B" w:rsidRDefault="00567A3B" w:rsidP="00567A3B">
      <w:pPr>
        <w:spacing w:line="23" w:lineRule="atLeast"/>
        <w:jc w:val="both"/>
        <w:rPr>
          <w:rFonts w:ascii="Palatino Linotype" w:hAnsi="Palatino Linotype"/>
          <w:bCs/>
          <w:sz w:val="18"/>
          <w:szCs w:val="18"/>
        </w:rPr>
      </w:pPr>
      <w:r>
        <w:rPr>
          <w:rFonts w:ascii="Palatino Linotype" w:hAnsi="Palatino Linotype"/>
          <w:bCs/>
          <w:sz w:val="18"/>
          <w:szCs w:val="18"/>
        </w:rPr>
        <w:t xml:space="preserve">Note: </w:t>
      </w:r>
      <w:r w:rsidRPr="00A01675">
        <w:rPr>
          <w:rFonts w:ascii="Palatino Linotype" w:hAnsi="Palatino Linotype"/>
          <w:bCs/>
          <w:sz w:val="18"/>
          <w:szCs w:val="18"/>
        </w:rPr>
        <w:t xml:space="preserve">P/E Ratios </w:t>
      </w:r>
      <w:r>
        <w:rPr>
          <w:rFonts w:ascii="Palatino Linotype" w:hAnsi="Palatino Linotype"/>
          <w:bCs/>
          <w:sz w:val="18"/>
          <w:szCs w:val="18"/>
        </w:rPr>
        <w:t xml:space="preserve">are </w:t>
      </w:r>
      <w:r w:rsidRPr="00A01675">
        <w:rPr>
          <w:rFonts w:ascii="Palatino Linotype" w:hAnsi="Palatino Linotype"/>
          <w:bCs/>
          <w:sz w:val="18"/>
          <w:szCs w:val="18"/>
        </w:rPr>
        <w:t>as o</w:t>
      </w:r>
      <w:r>
        <w:rPr>
          <w:rFonts w:ascii="Palatino Linotype" w:hAnsi="Palatino Linotype"/>
          <w:bCs/>
          <w:sz w:val="18"/>
          <w:szCs w:val="18"/>
        </w:rPr>
        <w:t>n the last trading day of month</w:t>
      </w:r>
      <w:r w:rsidRPr="00A01675">
        <w:rPr>
          <w:rFonts w:ascii="Palatino Linotype" w:hAnsi="Palatino Linotype"/>
          <w:bCs/>
          <w:sz w:val="18"/>
          <w:szCs w:val="18"/>
        </w:rPr>
        <w:t xml:space="preserve">. </w:t>
      </w:r>
    </w:p>
    <w:p w:rsidR="00567A3B" w:rsidRDefault="00567A3B" w:rsidP="00567A3B">
      <w:pPr>
        <w:spacing w:line="23" w:lineRule="atLeast"/>
        <w:jc w:val="both"/>
        <w:rPr>
          <w:rFonts w:ascii="Palatino Linotype" w:hAnsi="Palatino Linotype"/>
          <w:bCs/>
          <w:sz w:val="18"/>
          <w:szCs w:val="18"/>
        </w:rPr>
      </w:pPr>
      <w:r>
        <w:rPr>
          <w:rFonts w:ascii="Palatino Linotype" w:hAnsi="Palatino Linotype"/>
          <w:bCs/>
          <w:sz w:val="18"/>
          <w:szCs w:val="18"/>
        </w:rPr>
        <w:t>NA: Not Available</w:t>
      </w:r>
    </w:p>
    <w:p w:rsidR="00567A3B" w:rsidRPr="00A01675" w:rsidRDefault="00567A3B" w:rsidP="00567A3B">
      <w:pPr>
        <w:spacing w:line="23" w:lineRule="atLeast"/>
        <w:jc w:val="both"/>
        <w:rPr>
          <w:rFonts w:ascii="Palatino Linotype" w:hAnsi="Palatino Linotype"/>
          <w:bCs/>
          <w:sz w:val="18"/>
          <w:szCs w:val="18"/>
        </w:rPr>
      </w:pPr>
      <w:r w:rsidRPr="00A01675">
        <w:rPr>
          <w:rFonts w:ascii="Palatino Linotype" w:hAnsi="Palatino Linotype"/>
          <w:bCs/>
          <w:sz w:val="18"/>
          <w:szCs w:val="18"/>
        </w:rPr>
        <w:t>Data for Sensex and Nifty was taken f</w:t>
      </w:r>
      <w:r>
        <w:rPr>
          <w:rFonts w:ascii="Palatino Linotype" w:hAnsi="Palatino Linotype"/>
          <w:bCs/>
          <w:sz w:val="18"/>
          <w:szCs w:val="18"/>
        </w:rPr>
        <w:t>rom respective exchange website</w:t>
      </w:r>
      <w:r w:rsidRPr="00A01675">
        <w:rPr>
          <w:rFonts w:ascii="Palatino Linotype" w:hAnsi="Palatino Linotype"/>
          <w:bCs/>
          <w:sz w:val="18"/>
          <w:szCs w:val="18"/>
          <w:lang w:val="en-US"/>
        </w:rPr>
        <w:t>.</w:t>
      </w:r>
    </w:p>
    <w:p w:rsidR="00567A3B" w:rsidRDefault="00567A3B" w:rsidP="00567A3B">
      <w:pPr>
        <w:spacing w:line="23" w:lineRule="atLeast"/>
        <w:jc w:val="both"/>
        <w:rPr>
          <w:rFonts w:ascii="Palatino Linotype" w:hAnsi="Palatino Linotype"/>
          <w:bCs/>
          <w:sz w:val="18"/>
          <w:szCs w:val="18"/>
        </w:rPr>
      </w:pPr>
      <w:r w:rsidRPr="00A01675">
        <w:rPr>
          <w:rFonts w:ascii="Palatino Linotype" w:hAnsi="Palatino Linotype"/>
          <w:bCs/>
          <w:sz w:val="18"/>
          <w:szCs w:val="18"/>
        </w:rPr>
        <w:t xml:space="preserve">Source: Refinitiv, BSE and </w:t>
      </w:r>
      <w:r>
        <w:rPr>
          <w:rFonts w:ascii="Palatino Linotype" w:hAnsi="Palatino Linotype"/>
          <w:bCs/>
          <w:sz w:val="18"/>
          <w:szCs w:val="18"/>
        </w:rPr>
        <w:t>NSE</w:t>
      </w:r>
      <w:r w:rsidRPr="00A01675">
        <w:rPr>
          <w:rFonts w:ascii="Palatino Linotype" w:hAnsi="Palatino Linotype"/>
          <w:bCs/>
          <w:sz w:val="18"/>
          <w:szCs w:val="18"/>
        </w:rPr>
        <w:t xml:space="preserve"> </w:t>
      </w:r>
    </w:p>
    <w:p w:rsidR="00567A3B" w:rsidRDefault="00567A3B" w:rsidP="00567A3B">
      <w:pPr>
        <w:rPr>
          <w:rFonts w:ascii="Palatino Linotype" w:hAnsi="Palatino Linotype"/>
          <w:b/>
          <w:bCs/>
          <w:szCs w:val="22"/>
        </w:rPr>
      </w:pPr>
    </w:p>
    <w:p w:rsidR="00567A3B" w:rsidRDefault="00567A3B" w:rsidP="00567A3B">
      <w:pPr>
        <w:rPr>
          <w:rFonts w:ascii="Palatino Linotype" w:hAnsi="Palatino Linotype"/>
          <w:b/>
          <w:bCs/>
          <w:szCs w:val="22"/>
        </w:rPr>
      </w:pPr>
      <w:r>
        <w:rPr>
          <w:rFonts w:ascii="Palatino Linotype" w:hAnsi="Palatino Linotype"/>
          <w:b/>
          <w:bCs/>
          <w:szCs w:val="22"/>
        </w:rPr>
        <w:t>Figure 1</w:t>
      </w:r>
      <w:r w:rsidRPr="00A01675">
        <w:rPr>
          <w:rFonts w:ascii="Palatino Linotype" w:hAnsi="Palatino Linotype"/>
          <w:b/>
          <w:bCs/>
          <w:szCs w:val="22"/>
        </w:rPr>
        <w:t>: Stock M</w:t>
      </w:r>
      <w:r>
        <w:rPr>
          <w:rFonts w:ascii="Palatino Linotype" w:hAnsi="Palatino Linotype"/>
          <w:b/>
          <w:bCs/>
          <w:szCs w:val="22"/>
        </w:rPr>
        <w:t>arket Trends in Selected Markets</w:t>
      </w:r>
    </w:p>
    <w:p w:rsidR="00567A3B" w:rsidRPr="005D3B3F" w:rsidRDefault="00567A3B" w:rsidP="00567A3B">
      <w:pPr>
        <w:rPr>
          <w:rFonts w:ascii="Palatino Linotype" w:hAnsi="Palatino Linotype"/>
          <w:b/>
          <w:bCs/>
          <w:sz w:val="18"/>
          <w:szCs w:val="16"/>
        </w:rPr>
      </w:pPr>
    </w:p>
    <w:p w:rsidR="00567A3B" w:rsidRPr="00A01675" w:rsidRDefault="00567A3B" w:rsidP="00567A3B">
      <w:pPr>
        <w:spacing w:line="23" w:lineRule="atLeast"/>
        <w:rPr>
          <w:rFonts w:ascii="Palatino Linotype" w:hAnsi="Palatino Linotype"/>
          <w:bCs/>
          <w:sz w:val="22"/>
          <w:szCs w:val="22"/>
        </w:rPr>
      </w:pPr>
      <w:r>
        <w:rPr>
          <w:noProof/>
          <w:lang w:val="en-US" w:bidi="hi-IN"/>
        </w:rPr>
        <w:drawing>
          <wp:inline distT="0" distB="0" distL="0" distR="0" wp14:anchorId="6C7168E9" wp14:editId="55D29194">
            <wp:extent cx="5544000" cy="2772000"/>
            <wp:effectExtent l="0" t="0" r="0" b="9525"/>
            <wp:docPr id="5" name="Chart 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67A3B" w:rsidRPr="00A01675" w:rsidRDefault="00567A3B" w:rsidP="00567A3B">
      <w:pPr>
        <w:spacing w:line="23" w:lineRule="atLeast"/>
        <w:jc w:val="both"/>
        <w:outlineLvl w:val="0"/>
        <w:rPr>
          <w:rFonts w:ascii="Palatino Linotype" w:hAnsi="Palatino Linotype"/>
          <w:bCs/>
          <w:sz w:val="18"/>
          <w:szCs w:val="18"/>
        </w:rPr>
      </w:pPr>
      <w:r w:rsidRPr="008815D7">
        <w:rPr>
          <w:rFonts w:ascii="Palatino Linotype" w:hAnsi="Palatino Linotype"/>
          <w:b/>
          <w:sz w:val="18"/>
          <w:szCs w:val="18"/>
        </w:rPr>
        <w:t>Note</w:t>
      </w:r>
      <w:r w:rsidRPr="00A01675">
        <w:rPr>
          <w:rFonts w:ascii="Palatino Linotype" w:hAnsi="Palatino Linotype"/>
          <w:bCs/>
          <w:sz w:val="18"/>
          <w:szCs w:val="18"/>
        </w:rPr>
        <w:t xml:space="preserve">: All indices have been normalised to 100 on </w:t>
      </w:r>
      <w:r>
        <w:rPr>
          <w:rFonts w:ascii="Palatino Linotype" w:eastAsia="Times New Roman" w:hAnsi="Palatino Linotype"/>
          <w:bCs/>
          <w:sz w:val="18"/>
          <w:szCs w:val="18"/>
        </w:rPr>
        <w:t>28 Feb</w:t>
      </w:r>
      <w:r w:rsidRPr="00A01675">
        <w:rPr>
          <w:rFonts w:ascii="Palatino Linotype" w:eastAsia="Times New Roman" w:hAnsi="Palatino Linotype"/>
          <w:bCs/>
          <w:sz w:val="18"/>
          <w:szCs w:val="18"/>
        </w:rPr>
        <w:t xml:space="preserve"> 202</w:t>
      </w:r>
      <w:r>
        <w:rPr>
          <w:rFonts w:ascii="Palatino Linotype" w:eastAsia="Times New Roman" w:hAnsi="Palatino Linotype"/>
          <w:bCs/>
          <w:sz w:val="18"/>
          <w:szCs w:val="18"/>
        </w:rPr>
        <w:t>1</w:t>
      </w:r>
      <w:r w:rsidRPr="00A01675">
        <w:rPr>
          <w:rFonts w:ascii="Palatino Linotype" w:hAnsi="Palatino Linotype"/>
          <w:bCs/>
          <w:sz w:val="18"/>
          <w:szCs w:val="18"/>
        </w:rPr>
        <w:t>.</w:t>
      </w:r>
    </w:p>
    <w:p w:rsidR="00567A3B" w:rsidRDefault="00567A3B" w:rsidP="00567A3B">
      <w:pPr>
        <w:spacing w:line="23" w:lineRule="atLeast"/>
        <w:jc w:val="both"/>
        <w:outlineLvl w:val="0"/>
        <w:rPr>
          <w:rFonts w:ascii="Palatino Linotype" w:hAnsi="Palatino Linotype"/>
          <w:bCs/>
          <w:sz w:val="18"/>
          <w:szCs w:val="18"/>
        </w:rPr>
      </w:pPr>
      <w:r w:rsidRPr="008815D7">
        <w:rPr>
          <w:rFonts w:ascii="Palatino Linotype" w:hAnsi="Palatino Linotype"/>
          <w:b/>
          <w:sz w:val="18"/>
          <w:szCs w:val="18"/>
        </w:rPr>
        <w:t>Source</w:t>
      </w:r>
      <w:r w:rsidRPr="00A01675">
        <w:rPr>
          <w:rFonts w:ascii="Palatino Linotype" w:hAnsi="Palatino Linotype"/>
          <w:bCs/>
          <w:sz w:val="18"/>
          <w:szCs w:val="18"/>
        </w:rPr>
        <w:t>: Refinitiv</w:t>
      </w:r>
    </w:p>
    <w:p w:rsidR="00567A3B" w:rsidRDefault="00567A3B" w:rsidP="00567A3B"/>
    <w:p w:rsidR="00567A3B" w:rsidRDefault="00567A3B" w:rsidP="00567A3B">
      <w:pPr>
        <w:rPr>
          <w:rFonts w:ascii="Palatino Linotype" w:hAnsi="Palatino Linotype"/>
          <w:bCs/>
          <w:sz w:val="18"/>
          <w:szCs w:val="18"/>
        </w:rPr>
      </w:pPr>
    </w:p>
    <w:p w:rsidR="00567A3B" w:rsidRDefault="00567A3B" w:rsidP="00567A3B">
      <w:pPr>
        <w:spacing w:line="276" w:lineRule="auto"/>
        <w:ind w:left="720"/>
        <w:contextualSpacing/>
        <w:rPr>
          <w:rFonts w:ascii="Palatino Linotype" w:eastAsia="Times New Roman" w:hAnsi="Palatino Linotype"/>
          <w:b/>
          <w:sz w:val="22"/>
          <w:szCs w:val="22"/>
          <w:u w:val="single"/>
          <w:lang w:val="en-US" w:eastAsia="en-GB"/>
        </w:rPr>
      </w:pPr>
      <w:r>
        <w:rPr>
          <w:rFonts w:ascii="Palatino Linotype" w:eastAsia="Times New Roman" w:hAnsi="Palatino Linotype"/>
          <w:b/>
          <w:sz w:val="22"/>
          <w:szCs w:val="22"/>
          <w:u w:val="single"/>
          <w:lang w:val="en-US" w:eastAsia="en-GB"/>
        </w:rPr>
        <w:lastRenderedPageBreak/>
        <w:t>Bond Market</w:t>
      </w:r>
    </w:p>
    <w:p w:rsidR="00567A3B" w:rsidRPr="00A01675" w:rsidRDefault="00567A3B" w:rsidP="00567A3B">
      <w:pPr>
        <w:spacing w:line="276" w:lineRule="auto"/>
        <w:ind w:left="720"/>
        <w:contextualSpacing/>
        <w:rPr>
          <w:rFonts w:ascii="Palatino Linotype" w:hAnsi="Palatino Linotype"/>
          <w:bCs/>
          <w:sz w:val="22"/>
          <w:szCs w:val="22"/>
          <w:lang w:val="en-US"/>
        </w:rPr>
      </w:pPr>
    </w:p>
    <w:p w:rsidR="00567A3B" w:rsidRPr="00ED38D1" w:rsidRDefault="00567A3B" w:rsidP="00223C98">
      <w:pPr>
        <w:numPr>
          <w:ilvl w:val="0"/>
          <w:numId w:val="10"/>
        </w:numPr>
        <w:ind w:left="357" w:hanging="357"/>
        <w:contextualSpacing/>
        <w:jc w:val="both"/>
        <w:rPr>
          <w:rFonts w:ascii="Palatino Linotype" w:eastAsia="Times New Roman" w:hAnsi="Palatino Linotype"/>
          <w:bCs/>
          <w:color w:val="000000"/>
          <w:sz w:val="22"/>
          <w:szCs w:val="22"/>
          <w:lang w:val="en-US" w:eastAsia="en-GB"/>
        </w:rPr>
      </w:pPr>
      <w:r w:rsidRPr="00ED38D1">
        <w:rPr>
          <w:rFonts w:ascii="Palatino Linotype" w:eastAsia="Times New Roman" w:hAnsi="Palatino Linotype"/>
          <w:bCs/>
          <w:color w:val="000000"/>
          <w:sz w:val="22"/>
          <w:szCs w:val="22"/>
          <w:lang w:val="en-US" w:eastAsia="en-GB"/>
        </w:rPr>
        <w:t>Among BRIC Nations, 10-year go</w:t>
      </w:r>
      <w:r>
        <w:rPr>
          <w:rFonts w:ascii="Palatino Linotype" w:eastAsia="Times New Roman" w:hAnsi="Palatino Linotype"/>
          <w:bCs/>
          <w:color w:val="000000"/>
          <w:sz w:val="22"/>
          <w:szCs w:val="22"/>
          <w:lang w:val="en-US" w:eastAsia="en-GB"/>
        </w:rPr>
        <w:t xml:space="preserve">vernment bond yield of Brazil increased </w:t>
      </w:r>
      <w:r w:rsidRPr="00ED38D1">
        <w:rPr>
          <w:rFonts w:ascii="Palatino Linotype" w:eastAsia="Times New Roman" w:hAnsi="Palatino Linotype"/>
          <w:bCs/>
          <w:color w:val="000000"/>
          <w:sz w:val="22"/>
          <w:szCs w:val="22"/>
          <w:lang w:val="en-US" w:eastAsia="en-GB"/>
        </w:rPr>
        <w:t xml:space="preserve">to </w:t>
      </w:r>
      <w:r>
        <w:rPr>
          <w:rFonts w:ascii="Palatino Linotype" w:eastAsia="Times New Roman" w:hAnsi="Palatino Linotype"/>
          <w:bCs/>
          <w:color w:val="000000"/>
          <w:sz w:val="22"/>
          <w:szCs w:val="22"/>
          <w:lang w:val="en-US" w:eastAsia="en-GB"/>
        </w:rPr>
        <w:t xml:space="preserve">11.3 </w:t>
      </w:r>
      <w:r w:rsidRPr="00ED38D1">
        <w:rPr>
          <w:rFonts w:ascii="Palatino Linotype" w:eastAsia="Times New Roman" w:hAnsi="Palatino Linotype"/>
          <w:bCs/>
          <w:color w:val="000000"/>
          <w:sz w:val="22"/>
          <w:szCs w:val="22"/>
          <w:lang w:val="en-US" w:eastAsia="en-GB"/>
        </w:rPr>
        <w:t xml:space="preserve">per cent, as at end of </w:t>
      </w:r>
      <w:r>
        <w:rPr>
          <w:rFonts w:ascii="Palatino Linotype" w:eastAsia="Times New Roman" w:hAnsi="Palatino Linotype"/>
          <w:bCs/>
          <w:sz w:val="22"/>
          <w:szCs w:val="22"/>
          <w:lang w:val="en-US" w:eastAsia="en-GB"/>
        </w:rPr>
        <w:t>February</w:t>
      </w:r>
      <w:r w:rsidRPr="005048C2">
        <w:rPr>
          <w:rFonts w:ascii="Palatino Linotype" w:eastAsia="Times New Roman" w:hAnsi="Palatino Linotype"/>
          <w:bCs/>
          <w:sz w:val="22"/>
          <w:szCs w:val="22"/>
          <w:lang w:val="en-US" w:eastAsia="en-GB"/>
        </w:rPr>
        <w:t xml:space="preserve"> </w:t>
      </w:r>
      <w:r w:rsidRPr="00ED38D1">
        <w:rPr>
          <w:rFonts w:ascii="Palatino Linotype" w:eastAsia="Times New Roman" w:hAnsi="Palatino Linotype"/>
          <w:bCs/>
          <w:color w:val="000000"/>
          <w:sz w:val="22"/>
          <w:szCs w:val="22"/>
          <w:lang w:val="en-US" w:eastAsia="en-GB"/>
        </w:rPr>
        <w:t>202</w:t>
      </w:r>
      <w:r>
        <w:rPr>
          <w:rFonts w:ascii="Palatino Linotype" w:eastAsia="Times New Roman" w:hAnsi="Palatino Linotype"/>
          <w:bCs/>
          <w:color w:val="000000"/>
          <w:sz w:val="22"/>
          <w:szCs w:val="22"/>
          <w:lang w:val="en-US" w:eastAsia="en-GB"/>
        </w:rPr>
        <w:t>2</w:t>
      </w:r>
      <w:r w:rsidRPr="00ED38D1">
        <w:rPr>
          <w:rFonts w:ascii="Palatino Linotype" w:eastAsia="Times New Roman" w:hAnsi="Palatino Linotype"/>
          <w:bCs/>
          <w:color w:val="000000"/>
          <w:sz w:val="22"/>
          <w:szCs w:val="22"/>
          <w:lang w:val="en-US" w:eastAsia="en-GB"/>
        </w:rPr>
        <w:t xml:space="preserve"> from</w:t>
      </w:r>
      <w:r>
        <w:rPr>
          <w:rFonts w:ascii="Palatino Linotype" w:eastAsia="Times New Roman" w:hAnsi="Palatino Linotype"/>
          <w:bCs/>
          <w:color w:val="000000"/>
          <w:sz w:val="22"/>
          <w:szCs w:val="22"/>
          <w:lang w:val="en-US" w:eastAsia="en-GB"/>
        </w:rPr>
        <w:t xml:space="preserve"> 11.1 </w:t>
      </w:r>
      <w:r w:rsidRPr="00ED38D1">
        <w:rPr>
          <w:rFonts w:ascii="Palatino Linotype" w:eastAsia="Times New Roman" w:hAnsi="Palatino Linotype"/>
          <w:bCs/>
          <w:color w:val="000000"/>
          <w:sz w:val="22"/>
          <w:szCs w:val="22"/>
          <w:lang w:val="en-US" w:eastAsia="en-GB"/>
        </w:rPr>
        <w:t>per cent</w:t>
      </w:r>
      <w:r>
        <w:rPr>
          <w:rFonts w:ascii="Palatino Linotype" w:eastAsia="Times New Roman" w:hAnsi="Palatino Linotype"/>
          <w:bCs/>
          <w:color w:val="000000"/>
          <w:sz w:val="22"/>
          <w:szCs w:val="22"/>
          <w:lang w:val="en-US" w:eastAsia="en-GB"/>
        </w:rPr>
        <w:t xml:space="preserve"> in previous month</w:t>
      </w:r>
      <w:r w:rsidRPr="00ED38D1">
        <w:rPr>
          <w:rFonts w:ascii="Palatino Linotype" w:eastAsia="Times New Roman" w:hAnsi="Palatino Linotype"/>
          <w:bCs/>
          <w:color w:val="000000"/>
          <w:sz w:val="22"/>
          <w:szCs w:val="22"/>
          <w:lang w:val="en-US" w:eastAsia="en-GB"/>
        </w:rPr>
        <w:t>.</w:t>
      </w:r>
    </w:p>
    <w:p w:rsidR="00567A3B" w:rsidRPr="00ED38D1" w:rsidRDefault="00567A3B" w:rsidP="00223C98">
      <w:pPr>
        <w:numPr>
          <w:ilvl w:val="0"/>
          <w:numId w:val="10"/>
        </w:numPr>
        <w:ind w:left="357" w:hanging="357"/>
        <w:contextualSpacing/>
        <w:jc w:val="both"/>
        <w:rPr>
          <w:rFonts w:ascii="Palatino Linotype" w:eastAsia="Times New Roman" w:hAnsi="Palatino Linotype"/>
          <w:bCs/>
          <w:color w:val="000000"/>
          <w:sz w:val="22"/>
          <w:szCs w:val="22"/>
          <w:lang w:val="en-US" w:eastAsia="en-GB"/>
        </w:rPr>
      </w:pPr>
      <w:r w:rsidRPr="00ED38D1">
        <w:rPr>
          <w:rFonts w:ascii="Palatino Linotype" w:eastAsia="Times New Roman" w:hAnsi="Palatino Linotype"/>
          <w:bCs/>
          <w:color w:val="000000"/>
          <w:sz w:val="22"/>
          <w:szCs w:val="22"/>
          <w:lang w:val="en-US" w:eastAsia="en-GB"/>
        </w:rPr>
        <w:t xml:space="preserve">Indian 10-year government bond yield </w:t>
      </w:r>
      <w:r>
        <w:rPr>
          <w:rFonts w:ascii="Palatino Linotype" w:eastAsia="Times New Roman" w:hAnsi="Palatino Linotype"/>
          <w:bCs/>
          <w:color w:val="000000"/>
          <w:sz w:val="22"/>
          <w:szCs w:val="22"/>
          <w:lang w:val="en-US" w:eastAsia="en-GB"/>
        </w:rPr>
        <w:t>increased to</w:t>
      </w:r>
      <w:r w:rsidRPr="00ED38D1">
        <w:rPr>
          <w:rFonts w:ascii="Palatino Linotype" w:eastAsia="Times New Roman" w:hAnsi="Palatino Linotype"/>
          <w:bCs/>
          <w:color w:val="000000"/>
          <w:sz w:val="22"/>
          <w:szCs w:val="22"/>
          <w:lang w:val="en-US" w:eastAsia="en-GB"/>
        </w:rPr>
        <w:t xml:space="preserve"> 6.</w:t>
      </w:r>
      <w:r>
        <w:rPr>
          <w:rFonts w:ascii="Palatino Linotype" w:eastAsia="Times New Roman" w:hAnsi="Palatino Linotype"/>
          <w:bCs/>
          <w:color w:val="000000"/>
          <w:sz w:val="22"/>
          <w:szCs w:val="22"/>
          <w:lang w:val="en-US" w:eastAsia="en-GB"/>
        </w:rPr>
        <w:t>8</w:t>
      </w:r>
      <w:r w:rsidRPr="00ED38D1">
        <w:rPr>
          <w:rFonts w:ascii="Palatino Linotype" w:eastAsia="Times New Roman" w:hAnsi="Palatino Linotype"/>
          <w:bCs/>
          <w:color w:val="000000"/>
          <w:sz w:val="22"/>
          <w:szCs w:val="22"/>
          <w:lang w:val="en-US" w:eastAsia="en-GB"/>
        </w:rPr>
        <w:t xml:space="preserve"> per cent in </w:t>
      </w:r>
      <w:r>
        <w:rPr>
          <w:rFonts w:ascii="Palatino Linotype" w:eastAsia="Times New Roman" w:hAnsi="Palatino Linotype"/>
          <w:bCs/>
          <w:sz w:val="22"/>
          <w:szCs w:val="22"/>
          <w:lang w:val="en-US" w:eastAsia="en-GB"/>
        </w:rPr>
        <w:t>February</w:t>
      </w:r>
      <w:r w:rsidRPr="005048C2">
        <w:rPr>
          <w:rFonts w:ascii="Palatino Linotype" w:eastAsia="Times New Roman" w:hAnsi="Palatino Linotype"/>
          <w:bCs/>
          <w:sz w:val="22"/>
          <w:szCs w:val="22"/>
          <w:lang w:val="en-US" w:eastAsia="en-GB"/>
        </w:rPr>
        <w:t xml:space="preserve"> </w:t>
      </w:r>
      <w:r w:rsidRPr="00ED38D1">
        <w:rPr>
          <w:rFonts w:ascii="Palatino Linotype" w:eastAsia="Times New Roman" w:hAnsi="Palatino Linotype"/>
          <w:bCs/>
          <w:color w:val="000000"/>
          <w:sz w:val="22"/>
          <w:szCs w:val="22"/>
          <w:lang w:val="en-US" w:eastAsia="en-GB"/>
        </w:rPr>
        <w:t>202</w:t>
      </w:r>
      <w:r>
        <w:rPr>
          <w:rFonts w:ascii="Palatino Linotype" w:eastAsia="Times New Roman" w:hAnsi="Palatino Linotype"/>
          <w:bCs/>
          <w:color w:val="000000"/>
          <w:sz w:val="22"/>
          <w:szCs w:val="22"/>
          <w:lang w:val="en-US" w:eastAsia="en-GB"/>
        </w:rPr>
        <w:t>2</w:t>
      </w:r>
      <w:r w:rsidRPr="00ED38D1">
        <w:rPr>
          <w:rFonts w:ascii="Palatino Linotype" w:eastAsia="Times New Roman" w:hAnsi="Palatino Linotype"/>
          <w:bCs/>
          <w:color w:val="000000"/>
          <w:sz w:val="22"/>
          <w:szCs w:val="22"/>
          <w:lang w:val="en-US" w:eastAsia="en-GB"/>
        </w:rPr>
        <w:t xml:space="preserve">, </w:t>
      </w:r>
      <w:r>
        <w:rPr>
          <w:rFonts w:ascii="Palatino Linotype" w:eastAsia="Times New Roman" w:hAnsi="Palatino Linotype"/>
          <w:bCs/>
          <w:color w:val="000000"/>
          <w:sz w:val="22"/>
          <w:szCs w:val="22"/>
          <w:lang w:val="en-US" w:eastAsia="en-GB"/>
        </w:rPr>
        <w:t>from 6.7 per cent in January 2022 and 6.5 per cent in December 2021</w:t>
      </w:r>
      <w:r w:rsidRPr="00ED38D1">
        <w:rPr>
          <w:rFonts w:ascii="Palatino Linotype" w:eastAsia="Times New Roman" w:hAnsi="Palatino Linotype"/>
          <w:bCs/>
          <w:color w:val="000000"/>
          <w:sz w:val="22"/>
          <w:szCs w:val="22"/>
          <w:lang w:val="en-US" w:eastAsia="en-GB"/>
        </w:rPr>
        <w:t>.</w:t>
      </w:r>
    </w:p>
    <w:p w:rsidR="00567A3B" w:rsidRDefault="00567A3B" w:rsidP="00223C98">
      <w:pPr>
        <w:numPr>
          <w:ilvl w:val="0"/>
          <w:numId w:val="10"/>
        </w:numPr>
        <w:ind w:left="357" w:hanging="357"/>
        <w:contextualSpacing/>
        <w:jc w:val="both"/>
        <w:rPr>
          <w:rFonts w:ascii="Palatino Linotype" w:hAnsi="Palatino Linotype"/>
          <w:bCs/>
          <w:sz w:val="22"/>
          <w:szCs w:val="22"/>
        </w:rPr>
      </w:pPr>
      <w:r w:rsidRPr="00A01675">
        <w:rPr>
          <w:rFonts w:ascii="Palatino Linotype" w:eastAsia="Times New Roman" w:hAnsi="Palatino Linotype"/>
          <w:bCs/>
          <w:color w:val="000000"/>
          <w:sz w:val="22"/>
          <w:szCs w:val="22"/>
          <w:lang w:val="en-US" w:eastAsia="en-GB"/>
        </w:rPr>
        <w:t xml:space="preserve">Among </w:t>
      </w:r>
      <w:r>
        <w:rPr>
          <w:rFonts w:ascii="Palatino Linotype" w:eastAsia="Times New Roman" w:hAnsi="Palatino Linotype"/>
          <w:bCs/>
          <w:color w:val="000000"/>
          <w:sz w:val="22"/>
          <w:szCs w:val="22"/>
          <w:lang w:val="en-US" w:eastAsia="en-GB"/>
        </w:rPr>
        <w:t xml:space="preserve">select developed </w:t>
      </w:r>
      <w:r w:rsidRPr="00A01675">
        <w:rPr>
          <w:rFonts w:ascii="Palatino Linotype" w:eastAsia="Times New Roman" w:hAnsi="Palatino Linotype"/>
          <w:bCs/>
          <w:color w:val="000000"/>
          <w:sz w:val="22"/>
          <w:szCs w:val="22"/>
          <w:lang w:val="en-US" w:eastAsia="en-GB"/>
        </w:rPr>
        <w:t>countries</w:t>
      </w:r>
      <w:r>
        <w:rPr>
          <w:rStyle w:val="FootnoteReference"/>
          <w:rFonts w:ascii="Palatino Linotype" w:hAnsi="Palatino Linotype"/>
          <w:bCs/>
          <w:color w:val="000000"/>
          <w:sz w:val="22"/>
          <w:szCs w:val="22"/>
          <w:lang w:eastAsia="en-GB"/>
        </w:rPr>
        <w:footnoteReference w:id="4"/>
      </w:r>
      <w:r w:rsidRPr="00A01675">
        <w:rPr>
          <w:rFonts w:ascii="Palatino Linotype" w:eastAsia="Times New Roman" w:hAnsi="Palatino Linotype"/>
          <w:bCs/>
          <w:color w:val="000000"/>
          <w:sz w:val="22"/>
          <w:szCs w:val="22"/>
          <w:lang w:val="en-US" w:eastAsia="en-GB"/>
        </w:rPr>
        <w:t xml:space="preserve">, 10-year </w:t>
      </w:r>
      <w:r>
        <w:rPr>
          <w:rFonts w:ascii="Palatino Linotype" w:eastAsia="Times New Roman" w:hAnsi="Palatino Linotype"/>
          <w:bCs/>
          <w:color w:val="000000"/>
          <w:sz w:val="22"/>
          <w:szCs w:val="22"/>
          <w:lang w:val="en-US" w:eastAsia="en-GB"/>
        </w:rPr>
        <w:t xml:space="preserve">government </w:t>
      </w:r>
      <w:r w:rsidRPr="00A01675">
        <w:rPr>
          <w:rFonts w:ascii="Palatino Linotype" w:eastAsia="Times New Roman" w:hAnsi="Palatino Linotype"/>
          <w:bCs/>
          <w:color w:val="000000"/>
          <w:sz w:val="22"/>
          <w:szCs w:val="22"/>
          <w:lang w:val="en-US" w:eastAsia="en-GB"/>
        </w:rPr>
        <w:t xml:space="preserve">bond yield in </w:t>
      </w:r>
      <w:r>
        <w:rPr>
          <w:rFonts w:ascii="Palatino Linotype" w:eastAsia="Times New Roman" w:hAnsi="Palatino Linotype"/>
          <w:bCs/>
          <w:color w:val="000000"/>
          <w:sz w:val="22"/>
          <w:szCs w:val="22"/>
          <w:lang w:val="en-US" w:eastAsia="en-GB"/>
        </w:rPr>
        <w:t xml:space="preserve">U.S. was unchanged at 1.8 per cent as at end of </w:t>
      </w:r>
      <w:r>
        <w:rPr>
          <w:rFonts w:ascii="Palatino Linotype" w:eastAsia="Times New Roman" w:hAnsi="Palatino Linotype"/>
          <w:bCs/>
          <w:sz w:val="22"/>
          <w:szCs w:val="22"/>
          <w:lang w:val="en-US" w:eastAsia="en-GB"/>
        </w:rPr>
        <w:t>February</w:t>
      </w:r>
      <w:r w:rsidRPr="005048C2">
        <w:rPr>
          <w:rFonts w:ascii="Palatino Linotype" w:eastAsia="Times New Roman" w:hAnsi="Palatino Linotype"/>
          <w:bCs/>
          <w:sz w:val="22"/>
          <w:szCs w:val="22"/>
          <w:lang w:val="en-US" w:eastAsia="en-GB"/>
        </w:rPr>
        <w:t xml:space="preserve"> </w:t>
      </w:r>
      <w:r w:rsidRPr="00ED38D1">
        <w:rPr>
          <w:rFonts w:ascii="Palatino Linotype" w:eastAsia="Times New Roman" w:hAnsi="Palatino Linotype"/>
          <w:bCs/>
          <w:color w:val="000000"/>
          <w:sz w:val="22"/>
          <w:szCs w:val="22"/>
          <w:lang w:val="en-US" w:eastAsia="en-GB"/>
        </w:rPr>
        <w:t>202</w:t>
      </w:r>
      <w:r>
        <w:rPr>
          <w:rFonts w:ascii="Palatino Linotype" w:eastAsia="Times New Roman" w:hAnsi="Palatino Linotype"/>
          <w:bCs/>
          <w:color w:val="000000"/>
          <w:sz w:val="22"/>
          <w:szCs w:val="22"/>
          <w:lang w:val="en-US" w:eastAsia="en-GB"/>
        </w:rPr>
        <w:t xml:space="preserve">2, while Germany reported </w:t>
      </w:r>
      <w:r w:rsidRPr="00A01675">
        <w:rPr>
          <w:rFonts w:ascii="Palatino Linotype" w:eastAsia="Times New Roman" w:hAnsi="Palatino Linotype"/>
          <w:bCs/>
          <w:color w:val="000000"/>
          <w:sz w:val="22"/>
          <w:szCs w:val="22"/>
          <w:lang w:val="en-US" w:eastAsia="en-GB"/>
        </w:rPr>
        <w:t xml:space="preserve">10-year </w:t>
      </w:r>
      <w:r>
        <w:rPr>
          <w:rFonts w:ascii="Palatino Linotype" w:eastAsia="Times New Roman" w:hAnsi="Palatino Linotype"/>
          <w:bCs/>
          <w:color w:val="000000"/>
          <w:sz w:val="22"/>
          <w:szCs w:val="22"/>
          <w:lang w:val="en-US" w:eastAsia="en-GB"/>
        </w:rPr>
        <w:t xml:space="preserve">government bond yield of 0.2 per cent as compared to 0.01 per cent in previous month. </w:t>
      </w:r>
    </w:p>
    <w:p w:rsidR="00567A3B" w:rsidRDefault="00567A3B" w:rsidP="00567A3B">
      <w:pPr>
        <w:spacing w:line="276" w:lineRule="auto"/>
        <w:contextualSpacing/>
        <w:jc w:val="both"/>
        <w:rPr>
          <w:rFonts w:ascii="Palatino Linotype" w:hAnsi="Palatino Linotype"/>
          <w:bCs/>
          <w:sz w:val="22"/>
          <w:szCs w:val="22"/>
        </w:rPr>
      </w:pPr>
    </w:p>
    <w:p w:rsidR="00567A3B" w:rsidRPr="00A01675" w:rsidRDefault="00567A3B" w:rsidP="00567A3B">
      <w:pPr>
        <w:rPr>
          <w:rFonts w:ascii="Palatino Linotype" w:hAnsi="Palatino Linotype"/>
          <w:b/>
          <w:bCs/>
          <w:szCs w:val="22"/>
        </w:rPr>
      </w:pPr>
      <w:r>
        <w:rPr>
          <w:rFonts w:ascii="Palatino Linotype" w:hAnsi="Palatino Linotype"/>
          <w:b/>
          <w:bCs/>
          <w:szCs w:val="22"/>
        </w:rPr>
        <w:t>Table 2</w:t>
      </w:r>
      <w:r w:rsidRPr="00A01675">
        <w:rPr>
          <w:rFonts w:ascii="Palatino Linotype" w:hAnsi="Palatino Linotype"/>
          <w:b/>
          <w:bCs/>
          <w:szCs w:val="22"/>
        </w:rPr>
        <w:t>: 10-year Government Bond Yields</w:t>
      </w:r>
    </w:p>
    <w:p w:rsidR="00567A3B" w:rsidRPr="005D3B3F" w:rsidRDefault="00567A3B" w:rsidP="00567A3B">
      <w:pPr>
        <w:rPr>
          <w:rFonts w:ascii="Palatino Linotype" w:hAnsi="Palatino Linotype"/>
          <w:bCs/>
          <w:sz w:val="20"/>
          <w:szCs w:val="20"/>
        </w:rPr>
      </w:pPr>
    </w:p>
    <w:tbl>
      <w:tblPr>
        <w:tblW w:w="6683" w:type="dxa"/>
        <w:tblInd w:w="108" w:type="dxa"/>
        <w:tblLook w:val="04A0" w:firstRow="1" w:lastRow="0" w:firstColumn="1" w:lastColumn="0" w:noHBand="0" w:noVBand="1"/>
      </w:tblPr>
      <w:tblGrid>
        <w:gridCol w:w="1083"/>
        <w:gridCol w:w="1323"/>
        <w:gridCol w:w="1377"/>
        <w:gridCol w:w="962"/>
        <w:gridCol w:w="962"/>
        <w:gridCol w:w="965"/>
        <w:gridCol w:w="11"/>
      </w:tblGrid>
      <w:tr w:rsidR="00567A3B" w:rsidRPr="00593C40" w:rsidTr="0026016F">
        <w:trPr>
          <w:gridAfter w:val="1"/>
          <w:wAfter w:w="11" w:type="dxa"/>
          <w:trHeight w:val="265"/>
        </w:trPr>
        <w:tc>
          <w:tcPr>
            <w:tcW w:w="1083" w:type="dxa"/>
            <w:vMerge w:val="restart"/>
            <w:tcBorders>
              <w:top w:val="single" w:sz="8" w:space="0" w:color="auto"/>
              <w:left w:val="single" w:sz="8" w:space="0" w:color="auto"/>
              <w:bottom w:val="single" w:sz="8" w:space="0" w:color="000000"/>
              <w:right w:val="single" w:sz="8" w:space="0" w:color="auto"/>
            </w:tcBorders>
            <w:shd w:val="clear" w:color="000000" w:fill="B4C6E7"/>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Country</w:t>
            </w:r>
          </w:p>
        </w:tc>
        <w:tc>
          <w:tcPr>
            <w:tcW w:w="1323" w:type="dxa"/>
            <w:tcBorders>
              <w:top w:val="single" w:sz="8" w:space="0" w:color="auto"/>
              <w:left w:val="nil"/>
              <w:bottom w:val="nil"/>
              <w:right w:val="single" w:sz="8" w:space="0" w:color="auto"/>
            </w:tcBorders>
            <w:shd w:val="clear" w:color="000000" w:fill="B4C6E7"/>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Yield as on</w:t>
            </w:r>
          </w:p>
        </w:tc>
        <w:tc>
          <w:tcPr>
            <w:tcW w:w="4266" w:type="dxa"/>
            <w:gridSpan w:val="4"/>
            <w:tcBorders>
              <w:top w:val="single" w:sz="8" w:space="0" w:color="auto"/>
              <w:left w:val="nil"/>
              <w:bottom w:val="single" w:sz="8" w:space="0" w:color="auto"/>
              <w:right w:val="single" w:sz="8" w:space="0" w:color="000000"/>
            </w:tcBorders>
            <w:shd w:val="clear" w:color="000000" w:fill="B4C6E7"/>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Bond Yield in previous period</w:t>
            </w:r>
          </w:p>
        </w:tc>
      </w:tr>
      <w:tr w:rsidR="00567A3B" w:rsidRPr="00593C40" w:rsidTr="0026016F">
        <w:trPr>
          <w:gridAfter w:val="1"/>
          <w:wAfter w:w="11" w:type="dxa"/>
          <w:trHeight w:val="265"/>
        </w:trPr>
        <w:tc>
          <w:tcPr>
            <w:tcW w:w="1083" w:type="dxa"/>
            <w:vMerge/>
            <w:tcBorders>
              <w:top w:val="single" w:sz="8" w:space="0" w:color="auto"/>
              <w:left w:val="single" w:sz="8" w:space="0" w:color="auto"/>
              <w:bottom w:val="single" w:sz="8" w:space="0" w:color="000000"/>
              <w:right w:val="single" w:sz="8" w:space="0" w:color="auto"/>
            </w:tcBorders>
            <w:vAlign w:val="center"/>
            <w:hideMark/>
          </w:tcPr>
          <w:p w:rsidR="00567A3B" w:rsidRPr="00593C40" w:rsidRDefault="00567A3B" w:rsidP="0026016F">
            <w:pPr>
              <w:rPr>
                <w:rFonts w:ascii="Garamond" w:eastAsia="Times New Roman" w:hAnsi="Garamond" w:cs="Calibri"/>
                <w:b/>
                <w:bCs/>
                <w:color w:val="000000"/>
                <w:sz w:val="20"/>
                <w:szCs w:val="20"/>
                <w:lang w:val="en-IN" w:eastAsia="en-IN" w:bidi="hi-IN"/>
              </w:rPr>
            </w:pPr>
          </w:p>
        </w:tc>
        <w:tc>
          <w:tcPr>
            <w:tcW w:w="1323" w:type="dxa"/>
            <w:tcBorders>
              <w:top w:val="nil"/>
              <w:left w:val="nil"/>
              <w:bottom w:val="single" w:sz="8" w:space="0" w:color="auto"/>
              <w:right w:val="single" w:sz="8" w:space="0" w:color="auto"/>
            </w:tcBorders>
            <w:shd w:val="clear" w:color="000000" w:fill="B4C6E7"/>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4442DE">
              <w:rPr>
                <w:rFonts w:ascii="Garamond" w:eastAsia="Times New Roman" w:hAnsi="Garamond" w:cs="Calibri"/>
                <w:b/>
                <w:bCs/>
                <w:color w:val="000000"/>
                <w:sz w:val="20"/>
                <w:szCs w:val="20"/>
                <w:lang w:val="en-IN" w:eastAsia="en-IN" w:bidi="hi-IN"/>
              </w:rPr>
              <w:t>28-Feb-22</w:t>
            </w:r>
          </w:p>
        </w:tc>
        <w:tc>
          <w:tcPr>
            <w:tcW w:w="1377" w:type="dxa"/>
            <w:tcBorders>
              <w:top w:val="nil"/>
              <w:left w:val="nil"/>
              <w:bottom w:val="single" w:sz="8" w:space="0" w:color="auto"/>
              <w:right w:val="single" w:sz="8" w:space="0" w:color="auto"/>
            </w:tcBorders>
            <w:shd w:val="clear" w:color="000000" w:fill="B4C6E7"/>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1-Month</w:t>
            </w:r>
          </w:p>
        </w:tc>
        <w:tc>
          <w:tcPr>
            <w:tcW w:w="962" w:type="dxa"/>
            <w:tcBorders>
              <w:top w:val="nil"/>
              <w:left w:val="nil"/>
              <w:bottom w:val="single" w:sz="8" w:space="0" w:color="auto"/>
              <w:right w:val="single" w:sz="8" w:space="0" w:color="auto"/>
            </w:tcBorders>
            <w:shd w:val="clear" w:color="000000" w:fill="B4C6E7"/>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3-Month</w:t>
            </w:r>
          </w:p>
        </w:tc>
        <w:tc>
          <w:tcPr>
            <w:tcW w:w="962" w:type="dxa"/>
            <w:tcBorders>
              <w:top w:val="nil"/>
              <w:left w:val="nil"/>
              <w:bottom w:val="single" w:sz="8" w:space="0" w:color="auto"/>
              <w:right w:val="single" w:sz="8" w:space="0" w:color="auto"/>
            </w:tcBorders>
            <w:shd w:val="clear" w:color="000000" w:fill="B4C6E7"/>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6-Month</w:t>
            </w:r>
          </w:p>
        </w:tc>
        <w:tc>
          <w:tcPr>
            <w:tcW w:w="965" w:type="dxa"/>
            <w:tcBorders>
              <w:top w:val="nil"/>
              <w:left w:val="nil"/>
              <w:bottom w:val="single" w:sz="8" w:space="0" w:color="auto"/>
              <w:right w:val="single" w:sz="8" w:space="0" w:color="auto"/>
            </w:tcBorders>
            <w:shd w:val="clear" w:color="000000" w:fill="B4C6E7"/>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1-Year</w:t>
            </w:r>
          </w:p>
        </w:tc>
      </w:tr>
      <w:tr w:rsidR="00567A3B" w:rsidRPr="00593C40" w:rsidTr="0026016F">
        <w:trPr>
          <w:trHeight w:val="265"/>
        </w:trPr>
        <w:tc>
          <w:tcPr>
            <w:tcW w:w="6683" w:type="dxa"/>
            <w:gridSpan w:val="7"/>
            <w:tcBorders>
              <w:top w:val="single" w:sz="8" w:space="0" w:color="auto"/>
              <w:left w:val="single" w:sz="8" w:space="0" w:color="auto"/>
              <w:bottom w:val="single" w:sz="8" w:space="0" w:color="auto"/>
              <w:right w:val="single" w:sz="8" w:space="0" w:color="000000"/>
            </w:tcBorders>
            <w:shd w:val="clear" w:color="000000" w:fill="D9E1F2"/>
            <w:noWrap/>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BRIC Nations</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Brazil</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eastAsia="Times New Roman" w:hAnsi="Garamond" w:cs="Calibri"/>
                <w:b/>
                <w:bCs/>
                <w:sz w:val="20"/>
                <w:szCs w:val="20"/>
                <w:lang w:val="en-IN" w:bidi="hi-IN"/>
              </w:rPr>
            </w:pPr>
            <w:r>
              <w:rPr>
                <w:rFonts w:ascii="Garamond" w:hAnsi="Garamond" w:cs="Calibri"/>
                <w:b/>
                <w:bCs/>
                <w:sz w:val="20"/>
                <w:szCs w:val="20"/>
              </w:rPr>
              <w:t>11.3</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11.1</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11.4</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10.6</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8.2</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Russia</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12.8</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9.4</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8.4</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7.0</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6.8</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India</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6.8</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6.7</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6.3</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6.2</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6.2</w:t>
            </w:r>
          </w:p>
        </w:tc>
      </w:tr>
      <w:tr w:rsidR="00567A3B" w:rsidRPr="00593C40" w:rsidTr="0026016F">
        <w:trPr>
          <w:gridAfter w:val="1"/>
          <w:wAfter w:w="11" w:type="dxa"/>
          <w:trHeight w:val="265"/>
        </w:trPr>
        <w:tc>
          <w:tcPr>
            <w:tcW w:w="1083" w:type="dxa"/>
            <w:tcBorders>
              <w:top w:val="nil"/>
              <w:left w:val="single" w:sz="8" w:space="0" w:color="auto"/>
              <w:bottom w:val="single" w:sz="8" w:space="0" w:color="auto"/>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China</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2.8</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2.7</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2.9</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2.9</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3.3</w:t>
            </w:r>
          </w:p>
        </w:tc>
      </w:tr>
      <w:tr w:rsidR="00567A3B" w:rsidRPr="00593C40" w:rsidTr="0026016F">
        <w:trPr>
          <w:trHeight w:val="265"/>
        </w:trPr>
        <w:tc>
          <w:tcPr>
            <w:tcW w:w="6683" w:type="dxa"/>
            <w:gridSpan w:val="7"/>
            <w:tcBorders>
              <w:top w:val="single" w:sz="8" w:space="0" w:color="auto"/>
              <w:left w:val="single" w:sz="8" w:space="0" w:color="auto"/>
              <w:bottom w:val="single" w:sz="8" w:space="0" w:color="auto"/>
              <w:right w:val="single" w:sz="8" w:space="0" w:color="000000"/>
            </w:tcBorders>
            <w:shd w:val="clear" w:color="000000" w:fill="D9E1F2"/>
            <w:hideMark/>
          </w:tcPr>
          <w:p w:rsidR="00567A3B" w:rsidRPr="00593C40" w:rsidRDefault="00567A3B" w:rsidP="0026016F">
            <w:pPr>
              <w:jc w:val="center"/>
              <w:rPr>
                <w:rFonts w:ascii="Garamond" w:eastAsia="Times New Roman" w:hAnsi="Garamond" w:cs="Calibri"/>
                <w:b/>
                <w:bCs/>
                <w:color w:val="000000"/>
                <w:sz w:val="20"/>
                <w:szCs w:val="20"/>
                <w:lang w:val="en-IN" w:eastAsia="en-IN" w:bidi="hi-IN"/>
              </w:rPr>
            </w:pPr>
            <w:r w:rsidRPr="00593C40">
              <w:rPr>
                <w:rFonts w:ascii="Garamond" w:eastAsia="Times New Roman" w:hAnsi="Garamond" w:cs="Calibri"/>
                <w:b/>
                <w:bCs/>
                <w:color w:val="000000"/>
                <w:sz w:val="20"/>
                <w:szCs w:val="20"/>
                <w:lang w:val="en-IN" w:eastAsia="en-IN" w:bidi="hi-IN"/>
              </w:rPr>
              <w:t>Developed Markets</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USA</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eastAsia="Times New Roman" w:hAnsi="Garamond" w:cs="Calibri"/>
                <w:b/>
                <w:bCs/>
                <w:sz w:val="20"/>
                <w:szCs w:val="20"/>
                <w:lang w:val="en-IN" w:bidi="hi-IN"/>
              </w:rPr>
            </w:pPr>
            <w:r>
              <w:rPr>
                <w:rFonts w:ascii="Garamond" w:hAnsi="Garamond" w:cs="Calibri"/>
                <w:b/>
                <w:bCs/>
                <w:sz w:val="20"/>
                <w:szCs w:val="20"/>
              </w:rPr>
              <w:t>1.8</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1.8</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1.5</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1.3</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1.4</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UK</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1.4</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1.3</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0.8</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0.6</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0.8</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Germany</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0.2</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0.0</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-0.3</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-0.4</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-0.3</w:t>
            </w:r>
          </w:p>
        </w:tc>
      </w:tr>
      <w:tr w:rsidR="00567A3B" w:rsidRPr="00593C40" w:rsidTr="0026016F">
        <w:trPr>
          <w:gridAfter w:val="1"/>
          <w:wAfter w:w="11" w:type="dxa"/>
          <w:trHeight w:val="252"/>
        </w:trPr>
        <w:tc>
          <w:tcPr>
            <w:tcW w:w="1083" w:type="dxa"/>
            <w:tcBorders>
              <w:top w:val="nil"/>
              <w:left w:val="single" w:sz="8" w:space="0" w:color="auto"/>
              <w:bottom w:val="nil"/>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Spain</w:t>
            </w:r>
          </w:p>
        </w:tc>
        <w:tc>
          <w:tcPr>
            <w:tcW w:w="1323" w:type="dxa"/>
            <w:tcBorders>
              <w:top w:val="nil"/>
              <w:left w:val="nil"/>
              <w:bottom w:val="nil"/>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1.1</w:t>
            </w:r>
          </w:p>
        </w:tc>
        <w:tc>
          <w:tcPr>
            <w:tcW w:w="1377"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0.8</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0.4</w:t>
            </w:r>
          </w:p>
        </w:tc>
        <w:tc>
          <w:tcPr>
            <w:tcW w:w="962"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0.3</w:t>
            </w:r>
          </w:p>
        </w:tc>
        <w:tc>
          <w:tcPr>
            <w:tcW w:w="965"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0.4</w:t>
            </w:r>
          </w:p>
        </w:tc>
      </w:tr>
      <w:tr w:rsidR="00567A3B" w:rsidRPr="00593C40" w:rsidTr="0026016F">
        <w:trPr>
          <w:gridAfter w:val="1"/>
          <w:wAfter w:w="11" w:type="dxa"/>
          <w:trHeight w:val="265"/>
        </w:trPr>
        <w:tc>
          <w:tcPr>
            <w:tcW w:w="1083" w:type="dxa"/>
            <w:tcBorders>
              <w:top w:val="nil"/>
              <w:left w:val="single" w:sz="8" w:space="0" w:color="auto"/>
              <w:bottom w:val="single" w:sz="8" w:space="0" w:color="auto"/>
              <w:right w:val="single" w:sz="8" w:space="0" w:color="auto"/>
            </w:tcBorders>
            <w:shd w:val="clear" w:color="000000" w:fill="D9E1F2"/>
            <w:noWrap/>
            <w:hideMark/>
          </w:tcPr>
          <w:p w:rsidR="00567A3B" w:rsidRPr="00593C40" w:rsidRDefault="00567A3B" w:rsidP="0026016F">
            <w:pPr>
              <w:rPr>
                <w:rFonts w:ascii="Garamond" w:eastAsia="Times New Roman" w:hAnsi="Garamond" w:cs="Calibri"/>
                <w:color w:val="000000"/>
                <w:sz w:val="20"/>
                <w:szCs w:val="20"/>
                <w:lang w:val="en-IN" w:eastAsia="en-IN" w:bidi="hi-IN"/>
              </w:rPr>
            </w:pPr>
            <w:r w:rsidRPr="00593C40">
              <w:rPr>
                <w:rFonts w:ascii="Garamond" w:eastAsia="Times New Roman" w:hAnsi="Garamond" w:cs="Calibri"/>
                <w:color w:val="000000"/>
                <w:sz w:val="20"/>
                <w:szCs w:val="20"/>
                <w:lang w:val="en-IN" w:eastAsia="en-IN" w:bidi="hi-IN"/>
              </w:rPr>
              <w:t>Japan</w:t>
            </w:r>
          </w:p>
        </w:tc>
        <w:tc>
          <w:tcPr>
            <w:tcW w:w="1323" w:type="dxa"/>
            <w:tcBorders>
              <w:top w:val="nil"/>
              <w:left w:val="nil"/>
              <w:bottom w:val="single" w:sz="8" w:space="0" w:color="auto"/>
              <w:right w:val="single" w:sz="8" w:space="0" w:color="auto"/>
            </w:tcBorders>
            <w:shd w:val="clear" w:color="000000" w:fill="9BC2E6"/>
            <w:noWrap/>
            <w:hideMark/>
          </w:tcPr>
          <w:p w:rsidR="00567A3B" w:rsidRDefault="00567A3B" w:rsidP="0026016F">
            <w:pPr>
              <w:ind w:firstLineChars="100" w:firstLine="201"/>
              <w:jc w:val="right"/>
              <w:rPr>
                <w:rFonts w:ascii="Garamond" w:hAnsi="Garamond" w:cs="Calibri"/>
                <w:b/>
                <w:bCs/>
                <w:sz w:val="20"/>
                <w:szCs w:val="20"/>
              </w:rPr>
            </w:pPr>
            <w:r>
              <w:rPr>
                <w:rFonts w:ascii="Garamond" w:hAnsi="Garamond" w:cs="Calibri"/>
                <w:b/>
                <w:bCs/>
                <w:sz w:val="20"/>
                <w:szCs w:val="20"/>
              </w:rPr>
              <w:t>0.2</w:t>
            </w:r>
          </w:p>
        </w:tc>
        <w:tc>
          <w:tcPr>
            <w:tcW w:w="1377"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c>
          <w:tcPr>
            <w:tcW w:w="962"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0.1</w:t>
            </w:r>
          </w:p>
        </w:tc>
        <w:tc>
          <w:tcPr>
            <w:tcW w:w="962"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0.0</w:t>
            </w:r>
          </w:p>
        </w:tc>
        <w:tc>
          <w:tcPr>
            <w:tcW w:w="965"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r>
    </w:tbl>
    <w:p w:rsidR="00567A3B" w:rsidRPr="00A01675" w:rsidRDefault="00567A3B" w:rsidP="00567A3B">
      <w:pPr>
        <w:spacing w:line="23" w:lineRule="atLeast"/>
        <w:jc w:val="both"/>
        <w:outlineLvl w:val="0"/>
        <w:rPr>
          <w:rFonts w:ascii="Palatino Linotype" w:hAnsi="Palatino Linotype"/>
          <w:bCs/>
          <w:sz w:val="18"/>
          <w:szCs w:val="18"/>
        </w:rPr>
      </w:pPr>
      <w:r w:rsidRPr="00A01675">
        <w:rPr>
          <w:rFonts w:ascii="Palatino Linotype" w:hAnsi="Palatino Linotype"/>
          <w:bCs/>
          <w:sz w:val="18"/>
          <w:szCs w:val="18"/>
        </w:rPr>
        <w:t>Source: Refinitiv</w:t>
      </w:r>
    </w:p>
    <w:p w:rsidR="00567A3B" w:rsidRPr="00A01675" w:rsidRDefault="00567A3B" w:rsidP="00567A3B">
      <w:pPr>
        <w:spacing w:line="276" w:lineRule="auto"/>
        <w:ind w:left="360"/>
        <w:contextualSpacing/>
        <w:jc w:val="both"/>
        <w:rPr>
          <w:rFonts w:ascii="Palatino Linotype" w:eastAsia="Times New Roman" w:hAnsi="Palatino Linotype"/>
          <w:b/>
          <w:sz w:val="22"/>
          <w:szCs w:val="22"/>
          <w:u w:val="single"/>
          <w:lang w:val="en-US"/>
        </w:rPr>
      </w:pPr>
    </w:p>
    <w:p w:rsidR="00567A3B" w:rsidRPr="00A01675" w:rsidRDefault="00567A3B" w:rsidP="00567A3B">
      <w:pPr>
        <w:spacing w:line="276" w:lineRule="auto"/>
        <w:ind w:left="360"/>
        <w:contextualSpacing/>
        <w:jc w:val="both"/>
        <w:rPr>
          <w:rFonts w:ascii="Palatino Linotype" w:eastAsia="Times New Roman" w:hAnsi="Palatino Linotype"/>
          <w:b/>
          <w:sz w:val="22"/>
          <w:szCs w:val="22"/>
          <w:lang w:val="en-US" w:eastAsia="en-GB"/>
        </w:rPr>
      </w:pPr>
      <w:r w:rsidRPr="00A01675">
        <w:rPr>
          <w:rFonts w:ascii="Palatino Linotype" w:eastAsia="Times New Roman" w:hAnsi="Palatino Linotype"/>
          <w:b/>
          <w:sz w:val="22"/>
          <w:szCs w:val="22"/>
          <w:u w:val="single"/>
          <w:lang w:val="en-US"/>
        </w:rPr>
        <w:t xml:space="preserve">Derivatives </w:t>
      </w:r>
      <w:r>
        <w:rPr>
          <w:rFonts w:ascii="Palatino Linotype" w:eastAsia="Times New Roman" w:hAnsi="Palatino Linotype"/>
          <w:b/>
          <w:sz w:val="22"/>
          <w:szCs w:val="22"/>
          <w:lang w:val="en-US" w:eastAsia="en-GB"/>
        </w:rPr>
        <w:t xml:space="preserve"> </w:t>
      </w:r>
    </w:p>
    <w:p w:rsidR="00567A3B" w:rsidRPr="00A01675" w:rsidRDefault="00567A3B" w:rsidP="00567A3B">
      <w:pPr>
        <w:spacing w:line="276" w:lineRule="auto"/>
        <w:ind w:left="360"/>
        <w:contextualSpacing/>
        <w:jc w:val="both"/>
        <w:rPr>
          <w:rFonts w:ascii="Palatino Linotype" w:eastAsia="Times New Roman" w:hAnsi="Palatino Linotype"/>
          <w:b/>
          <w:sz w:val="22"/>
          <w:szCs w:val="22"/>
          <w:lang w:val="en-US" w:eastAsia="en-GB"/>
        </w:rPr>
      </w:pPr>
    </w:p>
    <w:p w:rsidR="00983216" w:rsidRPr="00D25196" w:rsidRDefault="00983216" w:rsidP="00223C98">
      <w:pPr>
        <w:numPr>
          <w:ilvl w:val="0"/>
          <w:numId w:val="10"/>
        </w:numPr>
        <w:ind w:left="357" w:hanging="357"/>
        <w:contextualSpacing/>
        <w:jc w:val="both"/>
        <w:rPr>
          <w:rFonts w:ascii="Palatino Linotype" w:eastAsia="Times New Roman" w:hAnsi="Palatino Linotype"/>
          <w:bCs/>
          <w:sz w:val="22"/>
          <w:szCs w:val="22"/>
          <w:lang w:val="en-US" w:eastAsia="en-GB"/>
        </w:rPr>
      </w:pPr>
      <w:r w:rsidRPr="00935615">
        <w:rPr>
          <w:rFonts w:ascii="Palatino Linotype" w:eastAsia="Times New Roman" w:hAnsi="Palatino Linotype"/>
          <w:bCs/>
          <w:sz w:val="22"/>
          <w:szCs w:val="22"/>
          <w:lang w:val="en-US" w:eastAsia="en-GB"/>
        </w:rPr>
        <w:t>Among select</w:t>
      </w:r>
      <w:r>
        <w:rPr>
          <w:rFonts w:ascii="Palatino Linotype" w:eastAsia="Times New Roman" w:hAnsi="Palatino Linotype"/>
          <w:bCs/>
          <w:sz w:val="22"/>
          <w:szCs w:val="22"/>
          <w:lang w:val="en-US" w:eastAsia="en-GB"/>
        </w:rPr>
        <w:t xml:space="preserve"> </w:t>
      </w:r>
      <w:r w:rsidRPr="000F392B">
        <w:rPr>
          <w:rFonts w:ascii="Palatino Linotype" w:eastAsia="Times New Roman" w:hAnsi="Palatino Linotype"/>
          <w:bCs/>
          <w:sz w:val="22"/>
          <w:szCs w:val="22"/>
          <w:lang w:val="en-US" w:eastAsia="en-GB"/>
        </w:rPr>
        <w:t xml:space="preserve">exchanges (as given in Table A1), during </w:t>
      </w:r>
      <w:r w:rsidRPr="00D25196">
        <w:rPr>
          <w:rFonts w:ascii="Palatino Linotype" w:eastAsia="Times New Roman" w:hAnsi="Palatino Linotype"/>
          <w:bCs/>
          <w:sz w:val="22"/>
          <w:szCs w:val="22"/>
          <w:lang w:val="en-US" w:eastAsia="en-GB"/>
        </w:rPr>
        <w:t>January 2022, CME Group recorded</w:t>
      </w:r>
      <w:r w:rsidRPr="000F392B">
        <w:rPr>
          <w:rFonts w:ascii="Palatino Linotype" w:eastAsia="Times New Roman" w:hAnsi="Palatino Linotype"/>
          <w:bCs/>
          <w:sz w:val="22"/>
          <w:szCs w:val="22"/>
          <w:lang w:val="en-US" w:eastAsia="en-GB"/>
        </w:rPr>
        <w:t xml:space="preserve"> highest number of contracts </w:t>
      </w:r>
      <w:r w:rsidRPr="00D25196">
        <w:rPr>
          <w:rFonts w:ascii="Palatino Linotype" w:eastAsia="Times New Roman" w:hAnsi="Palatino Linotype"/>
          <w:bCs/>
          <w:sz w:val="22"/>
          <w:szCs w:val="22"/>
          <w:lang w:val="en-US" w:eastAsia="en-GB"/>
        </w:rPr>
        <w:t>traded in interest rate futures, interest rate options and Commodity options segment.</w:t>
      </w:r>
    </w:p>
    <w:p w:rsidR="00983216" w:rsidRDefault="00983216" w:rsidP="00223C98">
      <w:pPr>
        <w:numPr>
          <w:ilvl w:val="0"/>
          <w:numId w:val="10"/>
        </w:numPr>
        <w:ind w:left="357" w:hanging="357"/>
        <w:contextualSpacing/>
        <w:jc w:val="both"/>
        <w:rPr>
          <w:rFonts w:ascii="Palatino Linotype" w:eastAsia="Times New Roman" w:hAnsi="Palatino Linotype"/>
          <w:bCs/>
          <w:sz w:val="22"/>
          <w:szCs w:val="22"/>
          <w:lang w:val="en-US" w:eastAsia="en-GB"/>
        </w:rPr>
      </w:pPr>
      <w:r w:rsidRPr="00D25196">
        <w:rPr>
          <w:rFonts w:ascii="Palatino Linotype" w:eastAsia="Times New Roman" w:hAnsi="Palatino Linotype"/>
          <w:bCs/>
          <w:sz w:val="22"/>
          <w:szCs w:val="22"/>
          <w:lang w:val="en-US" w:eastAsia="en-GB"/>
        </w:rPr>
        <w:t>While, NSE recorded highest num</w:t>
      </w:r>
      <w:r w:rsidRPr="000F392B">
        <w:rPr>
          <w:rFonts w:ascii="Palatino Linotype" w:eastAsia="Times New Roman" w:hAnsi="Palatino Linotype"/>
          <w:bCs/>
          <w:sz w:val="22"/>
          <w:szCs w:val="22"/>
          <w:lang w:val="en-US" w:eastAsia="en-GB"/>
        </w:rPr>
        <w:t>ber of co</w:t>
      </w:r>
      <w:r>
        <w:rPr>
          <w:rFonts w:ascii="Palatino Linotype" w:eastAsia="Times New Roman" w:hAnsi="Palatino Linotype"/>
          <w:bCs/>
          <w:sz w:val="22"/>
          <w:szCs w:val="22"/>
          <w:lang w:val="en-US" w:eastAsia="en-GB"/>
        </w:rPr>
        <w:t>ntracts traded in index options and currency options segment.</w:t>
      </w:r>
      <w:r w:rsidRPr="000F392B">
        <w:rPr>
          <w:rFonts w:ascii="Palatino Linotype" w:eastAsia="Times New Roman" w:hAnsi="Palatino Linotype"/>
          <w:bCs/>
          <w:sz w:val="22"/>
          <w:szCs w:val="22"/>
          <w:lang w:val="en-US" w:eastAsia="en-GB"/>
        </w:rPr>
        <w:t xml:space="preserve"> </w:t>
      </w:r>
    </w:p>
    <w:p w:rsidR="00983216" w:rsidRDefault="00983216"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5D3A87" w:rsidRDefault="005D3A87" w:rsidP="00983216">
      <w:pPr>
        <w:spacing w:line="276" w:lineRule="auto"/>
        <w:ind w:left="360"/>
        <w:jc w:val="both"/>
        <w:rPr>
          <w:rFonts w:ascii="Palatino Linotype" w:eastAsia="Times New Roman" w:hAnsi="Palatino Linotype"/>
          <w:bCs/>
          <w:sz w:val="22"/>
          <w:szCs w:val="22"/>
          <w:lang w:val="en-US" w:eastAsia="en-GB"/>
        </w:rPr>
      </w:pPr>
    </w:p>
    <w:p w:rsidR="00983216" w:rsidRDefault="00983216" w:rsidP="005D3A87">
      <w:pPr>
        <w:ind w:left="357" w:hanging="357"/>
        <w:contextualSpacing/>
        <w:jc w:val="both"/>
        <w:rPr>
          <w:rFonts w:ascii="Palatino Linotype" w:eastAsia="Times New Roman" w:hAnsi="Palatino Linotype"/>
          <w:bCs/>
          <w:sz w:val="22"/>
          <w:szCs w:val="22"/>
          <w:highlight w:val="yellow"/>
          <w:lang w:val="en-US" w:eastAsia="en-GB"/>
        </w:rPr>
      </w:pPr>
      <w:r>
        <w:rPr>
          <w:rFonts w:ascii="Palatino Linotype" w:hAnsi="Palatino Linotype"/>
          <w:b/>
          <w:bCs/>
          <w:szCs w:val="22"/>
        </w:rPr>
        <w:lastRenderedPageBreak/>
        <w:t>Figure 2</w:t>
      </w:r>
      <w:r w:rsidRPr="00A01675">
        <w:rPr>
          <w:rFonts w:ascii="Palatino Linotype" w:hAnsi="Palatino Linotype"/>
          <w:b/>
          <w:bCs/>
          <w:szCs w:val="22"/>
        </w:rPr>
        <w:t xml:space="preserve">: </w:t>
      </w:r>
      <w:r>
        <w:rPr>
          <w:rFonts w:ascii="Palatino Linotype" w:hAnsi="Palatino Linotype"/>
          <w:b/>
          <w:bCs/>
          <w:szCs w:val="22"/>
        </w:rPr>
        <w:t xml:space="preserve">Number of </w:t>
      </w:r>
      <w:r w:rsidRPr="00D25196">
        <w:rPr>
          <w:rFonts w:ascii="Palatino Linotype" w:hAnsi="Palatino Linotype"/>
          <w:b/>
          <w:bCs/>
          <w:szCs w:val="22"/>
        </w:rPr>
        <w:t>contracts traded at maj</w:t>
      </w:r>
      <w:r>
        <w:rPr>
          <w:rFonts w:ascii="Palatino Linotype" w:hAnsi="Palatino Linotype"/>
          <w:b/>
          <w:bCs/>
          <w:szCs w:val="22"/>
        </w:rPr>
        <w:t>or exchanges* in different derivatives segment in January 2022</w:t>
      </w:r>
    </w:p>
    <w:p w:rsidR="00983216" w:rsidRDefault="00983216" w:rsidP="00983216">
      <w:pPr>
        <w:spacing w:line="276" w:lineRule="auto"/>
        <w:ind w:left="360"/>
        <w:jc w:val="both"/>
      </w:pPr>
      <w:r w:rsidRPr="00D25196">
        <w:rPr>
          <w:noProof/>
          <w:lang w:val="en-US" w:bidi="hi-IN"/>
        </w:rPr>
        <w:drawing>
          <wp:inline distT="0" distB="0" distL="0" distR="0" wp14:anchorId="247D1999" wp14:editId="6E4BCAE3">
            <wp:extent cx="4933950" cy="3781425"/>
            <wp:effectExtent l="0" t="0" r="0" b="9525"/>
            <wp:docPr id="27" name="Picture 27" descr="E:\python_v\py_gmr\GMR_Chart-Jan 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ython_v\py_gmr\GMR_Chart-Jan 2022.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33950" cy="3781425"/>
                    </a:xfrm>
                    <a:prstGeom prst="rect">
                      <a:avLst/>
                    </a:prstGeom>
                    <a:noFill/>
                    <a:ln>
                      <a:noFill/>
                    </a:ln>
                  </pic:spPr>
                </pic:pic>
              </a:graphicData>
            </a:graphic>
          </wp:inline>
        </w:drawing>
      </w:r>
    </w:p>
    <w:p w:rsidR="00983216" w:rsidRPr="001324D8" w:rsidRDefault="00983216" w:rsidP="00983216">
      <w:pPr>
        <w:spacing w:line="23" w:lineRule="atLeast"/>
        <w:ind w:left="360"/>
        <w:rPr>
          <w:rFonts w:ascii="Palatino Linotype" w:hAnsi="Palatino Linotype"/>
          <w:bCs/>
          <w:sz w:val="18"/>
          <w:szCs w:val="18"/>
        </w:rPr>
      </w:pPr>
      <w:r w:rsidRPr="001324D8">
        <w:rPr>
          <w:rFonts w:ascii="Palatino Linotype" w:hAnsi="Palatino Linotype"/>
          <w:bCs/>
          <w:sz w:val="18"/>
          <w:szCs w:val="18"/>
        </w:rPr>
        <w:t xml:space="preserve">Note: </w:t>
      </w:r>
      <w:r>
        <w:rPr>
          <w:rFonts w:ascii="Palatino Linotype" w:hAnsi="Palatino Linotype"/>
          <w:bCs/>
          <w:sz w:val="18"/>
          <w:szCs w:val="18"/>
        </w:rPr>
        <w:t xml:space="preserve">1. *Major Exchanges: </w:t>
      </w:r>
      <w:r w:rsidRPr="001324D8">
        <w:rPr>
          <w:rFonts w:ascii="Palatino Linotype" w:hAnsi="Palatino Linotype"/>
          <w:bCs/>
          <w:sz w:val="18"/>
          <w:szCs w:val="18"/>
        </w:rPr>
        <w:t>For each derivatives segment</w:t>
      </w:r>
      <w:r>
        <w:rPr>
          <w:rFonts w:ascii="Palatino Linotype" w:hAnsi="Palatino Linotype"/>
          <w:bCs/>
          <w:sz w:val="18"/>
          <w:szCs w:val="18"/>
        </w:rPr>
        <w:t>,</w:t>
      </w:r>
      <w:r w:rsidRPr="001324D8">
        <w:rPr>
          <w:rFonts w:ascii="Palatino Linotype" w:hAnsi="Palatino Linotype"/>
          <w:bCs/>
          <w:sz w:val="18"/>
          <w:szCs w:val="18"/>
        </w:rPr>
        <w:t xml:space="preserve"> exchange with highest no. of contracts traded (in that segment) among select exchanges (as </w:t>
      </w:r>
      <w:r>
        <w:rPr>
          <w:rFonts w:ascii="Palatino Linotype" w:hAnsi="Palatino Linotype"/>
          <w:bCs/>
          <w:sz w:val="18"/>
          <w:szCs w:val="18"/>
        </w:rPr>
        <w:t>given at Table A1) and for which data is available as on Feb 21, 2022 is considered as top exchange for the segment.</w:t>
      </w:r>
    </w:p>
    <w:p w:rsidR="00983216" w:rsidRPr="00A01675" w:rsidRDefault="00983216" w:rsidP="00983216">
      <w:pPr>
        <w:spacing w:line="23" w:lineRule="atLeast"/>
        <w:ind w:left="360"/>
        <w:rPr>
          <w:rFonts w:ascii="Palatino Linotype" w:hAnsi="Palatino Linotype"/>
          <w:bCs/>
          <w:sz w:val="18"/>
          <w:szCs w:val="18"/>
        </w:rPr>
      </w:pPr>
      <w:r w:rsidRPr="00A01675">
        <w:rPr>
          <w:rFonts w:ascii="Palatino Linotype" w:hAnsi="Palatino Linotype"/>
          <w:bCs/>
          <w:sz w:val="18"/>
          <w:szCs w:val="18"/>
        </w:rPr>
        <w:t>Source: World Federation of Exchanges</w:t>
      </w:r>
    </w:p>
    <w:p w:rsidR="00567A3B" w:rsidRPr="001324D8" w:rsidRDefault="00567A3B" w:rsidP="00567A3B">
      <w:pPr>
        <w:spacing w:line="23" w:lineRule="atLeast"/>
        <w:ind w:left="360"/>
        <w:rPr>
          <w:rFonts w:ascii="Palatino Linotype" w:hAnsi="Palatino Linotype"/>
          <w:bCs/>
          <w:sz w:val="18"/>
          <w:szCs w:val="18"/>
        </w:rPr>
      </w:pPr>
      <w:r w:rsidRPr="001324D8">
        <w:rPr>
          <w:rFonts w:ascii="Palatino Linotype" w:hAnsi="Palatino Linotype"/>
          <w:bCs/>
          <w:sz w:val="18"/>
          <w:szCs w:val="18"/>
        </w:rPr>
        <w:t xml:space="preserve">Note: </w:t>
      </w:r>
      <w:r>
        <w:rPr>
          <w:rFonts w:ascii="Palatino Linotype" w:hAnsi="Palatino Linotype"/>
          <w:bCs/>
          <w:sz w:val="18"/>
          <w:szCs w:val="18"/>
        </w:rPr>
        <w:t xml:space="preserve">1. *Major Exchanges: </w:t>
      </w:r>
      <w:r w:rsidRPr="001324D8">
        <w:rPr>
          <w:rFonts w:ascii="Palatino Linotype" w:hAnsi="Palatino Linotype"/>
          <w:bCs/>
          <w:sz w:val="18"/>
          <w:szCs w:val="18"/>
        </w:rPr>
        <w:t>For each derivatives segment</w:t>
      </w:r>
      <w:r>
        <w:rPr>
          <w:rFonts w:ascii="Palatino Linotype" w:hAnsi="Palatino Linotype"/>
          <w:bCs/>
          <w:sz w:val="18"/>
          <w:szCs w:val="18"/>
        </w:rPr>
        <w:t>,</w:t>
      </w:r>
      <w:r w:rsidRPr="001324D8">
        <w:rPr>
          <w:rFonts w:ascii="Palatino Linotype" w:hAnsi="Palatino Linotype"/>
          <w:bCs/>
          <w:sz w:val="18"/>
          <w:szCs w:val="18"/>
        </w:rPr>
        <w:t xml:space="preserve"> exchange with highest no. of contracts traded (in that segment) among select exchanges (as </w:t>
      </w:r>
      <w:r>
        <w:rPr>
          <w:rFonts w:ascii="Palatino Linotype" w:hAnsi="Palatino Linotype"/>
          <w:bCs/>
          <w:sz w:val="18"/>
          <w:szCs w:val="18"/>
        </w:rPr>
        <w:t>given at Table A1) and for which data is available as on Feb 16, 2022 is considered as top exchange for the segment.</w:t>
      </w:r>
    </w:p>
    <w:p w:rsidR="00567A3B" w:rsidRPr="00A01675" w:rsidRDefault="00567A3B" w:rsidP="00567A3B">
      <w:pPr>
        <w:spacing w:line="23" w:lineRule="atLeast"/>
        <w:ind w:left="360"/>
        <w:rPr>
          <w:rFonts w:ascii="Palatino Linotype" w:hAnsi="Palatino Linotype"/>
          <w:bCs/>
          <w:sz w:val="18"/>
          <w:szCs w:val="18"/>
        </w:rPr>
      </w:pPr>
      <w:r w:rsidRPr="00A01675">
        <w:rPr>
          <w:rFonts w:ascii="Palatino Linotype" w:hAnsi="Palatino Linotype"/>
          <w:bCs/>
          <w:sz w:val="18"/>
          <w:szCs w:val="18"/>
        </w:rPr>
        <w:t>Source: World Federation of Exchanges</w:t>
      </w:r>
    </w:p>
    <w:p w:rsidR="00567A3B" w:rsidRPr="008A117E" w:rsidRDefault="00567A3B" w:rsidP="00567A3B">
      <w:pPr>
        <w:spacing w:line="276" w:lineRule="auto"/>
        <w:ind w:left="360"/>
        <w:jc w:val="both"/>
        <w:rPr>
          <w:rFonts w:ascii="Palatino Linotype" w:eastAsia="Times New Roman" w:hAnsi="Palatino Linotype"/>
          <w:bCs/>
          <w:sz w:val="22"/>
          <w:szCs w:val="22"/>
          <w:highlight w:val="yellow"/>
          <w:lang w:val="en-US" w:eastAsia="en-GB"/>
        </w:rPr>
      </w:pPr>
    </w:p>
    <w:p w:rsidR="00567A3B" w:rsidRPr="00A01675" w:rsidRDefault="00567A3B" w:rsidP="00567A3B">
      <w:pPr>
        <w:spacing w:line="276" w:lineRule="auto"/>
        <w:outlineLvl w:val="0"/>
        <w:rPr>
          <w:rFonts w:ascii="Palatino Linotype" w:eastAsia="Times New Roman" w:hAnsi="Palatino Linotype"/>
          <w:b/>
          <w:sz w:val="22"/>
          <w:szCs w:val="22"/>
          <w:lang w:eastAsia="en-GB"/>
        </w:rPr>
      </w:pPr>
      <w:r>
        <w:rPr>
          <w:rFonts w:ascii="Palatino Linotype" w:eastAsia="Times New Roman" w:hAnsi="Palatino Linotype"/>
          <w:b/>
          <w:sz w:val="22"/>
          <w:szCs w:val="22"/>
          <w:u w:val="single"/>
        </w:rPr>
        <w:t>Currency Market</w:t>
      </w:r>
      <w:r w:rsidRPr="00A01675">
        <w:rPr>
          <w:rFonts w:ascii="Palatino Linotype" w:eastAsia="Times New Roman" w:hAnsi="Palatino Linotype"/>
          <w:b/>
          <w:sz w:val="22"/>
          <w:szCs w:val="22"/>
          <w:u w:val="single"/>
        </w:rPr>
        <w:t xml:space="preserve"> </w:t>
      </w:r>
    </w:p>
    <w:p w:rsidR="00567A3B" w:rsidRPr="008575BF" w:rsidRDefault="00567A3B" w:rsidP="00567A3B">
      <w:pPr>
        <w:spacing w:line="276" w:lineRule="auto"/>
        <w:jc w:val="both"/>
        <w:rPr>
          <w:rFonts w:ascii="Palatino Linotype" w:hAnsi="Palatino Linotype"/>
          <w:bCs/>
          <w:sz w:val="22"/>
          <w:szCs w:val="22"/>
          <w:highlight w:val="yellow"/>
          <w:lang w:val="en-US"/>
        </w:rPr>
      </w:pPr>
    </w:p>
    <w:p w:rsidR="00567A3B" w:rsidRPr="002D4AE9" w:rsidRDefault="00567A3B" w:rsidP="00223C98">
      <w:pPr>
        <w:numPr>
          <w:ilvl w:val="0"/>
          <w:numId w:val="10"/>
        </w:numPr>
        <w:jc w:val="both"/>
        <w:rPr>
          <w:rFonts w:ascii="Palatino Linotype" w:hAnsi="Palatino Linotype"/>
          <w:bCs/>
          <w:sz w:val="22"/>
          <w:szCs w:val="22"/>
          <w:lang w:val="en-US"/>
        </w:rPr>
      </w:pPr>
      <w:r w:rsidRPr="002D4AE9">
        <w:rPr>
          <w:rFonts w:ascii="Palatino Linotype" w:eastAsia="Times New Roman" w:hAnsi="Palatino Linotype"/>
          <w:bCs/>
          <w:sz w:val="22"/>
          <w:szCs w:val="22"/>
          <w:lang w:val="en-US" w:eastAsia="en-GB"/>
        </w:rPr>
        <w:t xml:space="preserve">During </w:t>
      </w:r>
      <w:r>
        <w:rPr>
          <w:rFonts w:ascii="Palatino Linotype" w:eastAsia="Times New Roman" w:hAnsi="Palatino Linotype"/>
          <w:bCs/>
          <w:sz w:val="22"/>
          <w:szCs w:val="22"/>
          <w:lang w:val="en-US" w:eastAsia="en-GB"/>
        </w:rPr>
        <w:t>February</w:t>
      </w:r>
      <w:r w:rsidRPr="005048C2">
        <w:rPr>
          <w:rFonts w:ascii="Palatino Linotype" w:eastAsia="Times New Roman" w:hAnsi="Palatino Linotype"/>
          <w:bCs/>
          <w:sz w:val="22"/>
          <w:szCs w:val="22"/>
          <w:lang w:val="en-US" w:eastAsia="en-GB"/>
        </w:rPr>
        <w:t xml:space="preserve"> </w:t>
      </w:r>
      <w:r w:rsidRPr="002D4AE9">
        <w:rPr>
          <w:rFonts w:ascii="Palatino Linotype" w:eastAsia="Times New Roman" w:hAnsi="Palatino Linotype"/>
          <w:bCs/>
          <w:sz w:val="22"/>
          <w:szCs w:val="22"/>
          <w:lang w:val="en-US" w:eastAsia="en-GB"/>
        </w:rPr>
        <w:t>202</w:t>
      </w:r>
      <w:r>
        <w:rPr>
          <w:rFonts w:ascii="Palatino Linotype" w:eastAsia="Times New Roman" w:hAnsi="Palatino Linotype"/>
          <w:bCs/>
          <w:sz w:val="22"/>
          <w:szCs w:val="22"/>
          <w:lang w:val="en-US" w:eastAsia="en-GB"/>
        </w:rPr>
        <w:t>2</w:t>
      </w:r>
      <w:r w:rsidRPr="002D4AE9">
        <w:rPr>
          <w:rFonts w:ascii="Palatino Linotype" w:eastAsia="Times New Roman" w:hAnsi="Palatino Linotype"/>
          <w:bCs/>
          <w:sz w:val="22"/>
          <w:szCs w:val="22"/>
          <w:lang w:val="en-US" w:eastAsia="en-GB"/>
        </w:rPr>
        <w:t xml:space="preserve">, among BRICS nations, </w:t>
      </w:r>
      <w:r w:rsidRPr="007E4345">
        <w:rPr>
          <w:rFonts w:ascii="Palatino Linotype" w:eastAsia="Times New Roman" w:hAnsi="Palatino Linotype"/>
          <w:bCs/>
          <w:sz w:val="22"/>
          <w:szCs w:val="22"/>
          <w:lang w:val="en-US" w:eastAsia="en-GB"/>
        </w:rPr>
        <w:t xml:space="preserve">Rouble </w:t>
      </w:r>
      <w:r w:rsidRPr="002D4AE9">
        <w:rPr>
          <w:rFonts w:ascii="Palatino Linotype" w:eastAsia="Times New Roman" w:hAnsi="Palatino Linotype"/>
          <w:bCs/>
          <w:sz w:val="22"/>
          <w:szCs w:val="22"/>
          <w:lang w:val="en-US" w:eastAsia="en-GB"/>
        </w:rPr>
        <w:t>(</w:t>
      </w:r>
      <w:r>
        <w:rPr>
          <w:rFonts w:ascii="Palatino Linotype" w:eastAsia="Times New Roman" w:hAnsi="Palatino Linotype"/>
          <w:bCs/>
          <w:sz w:val="22"/>
          <w:szCs w:val="22"/>
          <w:lang w:val="en-US" w:eastAsia="en-GB"/>
        </w:rPr>
        <w:t xml:space="preserve">Russia) and Rupee (India) </w:t>
      </w:r>
      <w:r w:rsidRPr="002D4AE9">
        <w:rPr>
          <w:rFonts w:ascii="Palatino Linotype" w:eastAsia="Times New Roman" w:hAnsi="Palatino Linotype"/>
          <w:bCs/>
          <w:sz w:val="22"/>
          <w:szCs w:val="22"/>
          <w:lang w:val="en-US" w:eastAsia="en-GB"/>
        </w:rPr>
        <w:t xml:space="preserve">depreciated against USD by </w:t>
      </w:r>
      <w:r>
        <w:rPr>
          <w:rFonts w:ascii="Palatino Linotype" w:eastAsia="Times New Roman" w:hAnsi="Palatino Linotype"/>
          <w:bCs/>
          <w:sz w:val="22"/>
          <w:szCs w:val="22"/>
          <w:lang w:val="en-US" w:eastAsia="en-GB"/>
        </w:rPr>
        <w:t xml:space="preserve">30.8 per cent </w:t>
      </w:r>
      <w:r w:rsidRPr="002D4AE9">
        <w:rPr>
          <w:rFonts w:ascii="Palatino Linotype" w:eastAsia="Times New Roman" w:hAnsi="Palatino Linotype"/>
          <w:bCs/>
          <w:sz w:val="22"/>
          <w:szCs w:val="22"/>
          <w:lang w:val="en-US" w:eastAsia="en-GB"/>
        </w:rPr>
        <w:t xml:space="preserve">and </w:t>
      </w:r>
      <w:r>
        <w:rPr>
          <w:rFonts w:ascii="Palatino Linotype" w:eastAsia="Times New Roman" w:hAnsi="Palatino Linotype"/>
          <w:bCs/>
          <w:sz w:val="22"/>
          <w:szCs w:val="22"/>
          <w:lang w:val="en-US" w:eastAsia="en-GB"/>
        </w:rPr>
        <w:t>1.3 per cent, respectively.</w:t>
      </w:r>
    </w:p>
    <w:p w:rsidR="00567A3B" w:rsidRPr="002D4AE9" w:rsidRDefault="00567A3B" w:rsidP="00223C98">
      <w:pPr>
        <w:numPr>
          <w:ilvl w:val="0"/>
          <w:numId w:val="10"/>
        </w:numPr>
        <w:jc w:val="both"/>
        <w:rPr>
          <w:rFonts w:ascii="Palatino Linotype" w:hAnsi="Palatino Linotype"/>
          <w:bCs/>
          <w:sz w:val="22"/>
          <w:szCs w:val="22"/>
          <w:lang w:val="en-US"/>
        </w:rPr>
      </w:pPr>
      <w:r w:rsidRPr="002D4AE9">
        <w:rPr>
          <w:rFonts w:ascii="Palatino Linotype" w:eastAsia="Times New Roman" w:hAnsi="Palatino Linotype"/>
          <w:bCs/>
          <w:sz w:val="22"/>
          <w:szCs w:val="22"/>
          <w:lang w:val="en-US" w:eastAsia="en-GB"/>
        </w:rPr>
        <w:t>Among develo</w:t>
      </w:r>
      <w:r>
        <w:rPr>
          <w:rFonts w:ascii="Palatino Linotype" w:eastAsia="Times New Roman" w:hAnsi="Palatino Linotype"/>
          <w:bCs/>
          <w:sz w:val="22"/>
          <w:szCs w:val="22"/>
          <w:lang w:val="en-US" w:eastAsia="en-GB"/>
        </w:rPr>
        <w:t>ped market, Euro and Pound dep</w:t>
      </w:r>
      <w:r w:rsidRPr="002D4AE9">
        <w:rPr>
          <w:rFonts w:ascii="Palatino Linotype" w:eastAsia="Times New Roman" w:hAnsi="Palatino Linotype"/>
          <w:bCs/>
          <w:sz w:val="22"/>
          <w:szCs w:val="22"/>
          <w:lang w:val="en-US" w:eastAsia="en-GB"/>
        </w:rPr>
        <w:t>reciated against USD by</w:t>
      </w:r>
      <w:r>
        <w:rPr>
          <w:rFonts w:ascii="Palatino Linotype" w:eastAsia="Times New Roman" w:hAnsi="Palatino Linotype"/>
          <w:bCs/>
          <w:sz w:val="22"/>
          <w:szCs w:val="22"/>
          <w:lang w:val="en-US" w:eastAsia="en-GB"/>
        </w:rPr>
        <w:t xml:space="preserve"> 0.1 per cent and 0.2 per cent</w:t>
      </w:r>
      <w:r w:rsidRPr="002D4AE9">
        <w:rPr>
          <w:rFonts w:ascii="Palatino Linotype" w:eastAsia="Times New Roman" w:hAnsi="Palatino Linotype"/>
          <w:bCs/>
          <w:sz w:val="22"/>
          <w:szCs w:val="22"/>
          <w:lang w:val="en-US" w:eastAsia="en-GB"/>
        </w:rPr>
        <w:t>, respectively</w:t>
      </w:r>
      <w:r>
        <w:rPr>
          <w:rFonts w:ascii="Palatino Linotype" w:eastAsia="Times New Roman" w:hAnsi="Palatino Linotype"/>
          <w:bCs/>
          <w:sz w:val="22"/>
          <w:szCs w:val="22"/>
          <w:lang w:val="en-US" w:eastAsia="en-GB"/>
        </w:rPr>
        <w:t>, during the month</w:t>
      </w:r>
      <w:r w:rsidRPr="002D4AE9">
        <w:rPr>
          <w:rFonts w:ascii="Palatino Linotype" w:eastAsia="Times New Roman" w:hAnsi="Palatino Linotype"/>
          <w:bCs/>
          <w:sz w:val="22"/>
          <w:szCs w:val="22"/>
          <w:lang w:val="en-US" w:eastAsia="en-GB"/>
        </w:rPr>
        <w:t>.</w:t>
      </w:r>
      <w:r>
        <w:rPr>
          <w:rFonts w:ascii="Palatino Linotype" w:eastAsia="Times New Roman" w:hAnsi="Palatino Linotype"/>
          <w:bCs/>
          <w:sz w:val="22"/>
          <w:szCs w:val="22"/>
          <w:lang w:val="en-US" w:eastAsia="en-GB"/>
        </w:rPr>
        <w:t xml:space="preserve"> </w:t>
      </w:r>
    </w:p>
    <w:p w:rsidR="00567A3B" w:rsidRPr="00A01675" w:rsidRDefault="00567A3B" w:rsidP="005D3A87">
      <w:pPr>
        <w:outlineLvl w:val="0"/>
        <w:rPr>
          <w:rFonts w:ascii="Palatino Linotype" w:eastAsia="Times New Roman" w:hAnsi="Palatino Linotype"/>
          <w:b/>
          <w:sz w:val="22"/>
          <w:szCs w:val="22"/>
          <w:u w:val="single"/>
        </w:rPr>
      </w:pPr>
    </w:p>
    <w:p w:rsidR="00567A3B" w:rsidRPr="00A01675" w:rsidRDefault="00567A3B" w:rsidP="00567A3B">
      <w:pPr>
        <w:spacing w:line="276" w:lineRule="auto"/>
        <w:outlineLvl w:val="0"/>
        <w:rPr>
          <w:rFonts w:ascii="Palatino Linotype" w:hAnsi="Palatino Linotype"/>
          <w:bCs/>
          <w:szCs w:val="22"/>
        </w:rPr>
      </w:pPr>
      <w:r>
        <w:rPr>
          <w:rFonts w:ascii="Palatino Linotype" w:hAnsi="Palatino Linotype"/>
          <w:b/>
          <w:bCs/>
          <w:szCs w:val="22"/>
        </w:rPr>
        <w:br w:type="page"/>
      </w:r>
      <w:r>
        <w:rPr>
          <w:rFonts w:ascii="Palatino Linotype" w:hAnsi="Palatino Linotype"/>
          <w:b/>
          <w:bCs/>
          <w:szCs w:val="22"/>
        </w:rPr>
        <w:lastRenderedPageBreak/>
        <w:t>Table 3</w:t>
      </w:r>
      <w:r w:rsidRPr="00A01675">
        <w:rPr>
          <w:rFonts w:ascii="Palatino Linotype" w:hAnsi="Palatino Linotype"/>
          <w:b/>
          <w:bCs/>
          <w:szCs w:val="22"/>
        </w:rPr>
        <w:t xml:space="preserve">: </w:t>
      </w:r>
      <w:r>
        <w:rPr>
          <w:rFonts w:ascii="Palatino Linotype" w:hAnsi="Palatino Linotype"/>
          <w:b/>
          <w:bCs/>
          <w:szCs w:val="22"/>
        </w:rPr>
        <w:t>Movement in Major Currencies across developing and developed markets</w:t>
      </w:r>
    </w:p>
    <w:p w:rsidR="00567A3B" w:rsidRPr="00A01675" w:rsidRDefault="00567A3B" w:rsidP="00567A3B">
      <w:pPr>
        <w:spacing w:line="23" w:lineRule="atLeast"/>
        <w:jc w:val="both"/>
        <w:rPr>
          <w:rFonts w:ascii="Palatino Linotype" w:hAnsi="Palatino Linotype"/>
          <w:bCs/>
          <w:sz w:val="18"/>
          <w:szCs w:val="18"/>
        </w:rPr>
      </w:pPr>
    </w:p>
    <w:tbl>
      <w:tblPr>
        <w:tblW w:w="8554" w:type="dxa"/>
        <w:tblInd w:w="108" w:type="dxa"/>
        <w:tblLook w:val="04A0" w:firstRow="1" w:lastRow="0" w:firstColumn="1" w:lastColumn="0" w:noHBand="0" w:noVBand="1"/>
      </w:tblPr>
      <w:tblGrid>
        <w:gridCol w:w="1317"/>
        <w:gridCol w:w="1280"/>
        <w:gridCol w:w="1354"/>
        <w:gridCol w:w="1374"/>
        <w:gridCol w:w="1024"/>
        <w:gridCol w:w="1170"/>
        <w:gridCol w:w="1024"/>
        <w:gridCol w:w="11"/>
      </w:tblGrid>
      <w:tr w:rsidR="00567A3B" w:rsidRPr="00E768E1" w:rsidTr="0026016F">
        <w:trPr>
          <w:gridAfter w:val="1"/>
          <w:wAfter w:w="11" w:type="dxa"/>
          <w:trHeight w:val="478"/>
        </w:trPr>
        <w:tc>
          <w:tcPr>
            <w:tcW w:w="1317" w:type="dxa"/>
            <w:vMerge w:val="restart"/>
            <w:tcBorders>
              <w:top w:val="single" w:sz="8" w:space="0" w:color="auto"/>
              <w:left w:val="single" w:sz="8" w:space="0" w:color="auto"/>
              <w:bottom w:val="single" w:sz="8" w:space="0" w:color="000000"/>
              <w:right w:val="single" w:sz="8" w:space="0" w:color="auto"/>
            </w:tcBorders>
            <w:shd w:val="clear" w:color="000000" w:fill="B4C6E7"/>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Country</w:t>
            </w:r>
          </w:p>
        </w:tc>
        <w:tc>
          <w:tcPr>
            <w:tcW w:w="1280" w:type="dxa"/>
            <w:tcBorders>
              <w:top w:val="single" w:sz="8" w:space="0" w:color="auto"/>
              <w:left w:val="nil"/>
              <w:bottom w:val="nil"/>
              <w:right w:val="single" w:sz="8" w:space="0" w:color="auto"/>
            </w:tcBorders>
            <w:shd w:val="clear" w:color="000000" w:fill="B4C6E7"/>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Currency</w:t>
            </w:r>
          </w:p>
        </w:tc>
        <w:tc>
          <w:tcPr>
            <w:tcW w:w="1354" w:type="dxa"/>
            <w:tcBorders>
              <w:top w:val="single" w:sz="8" w:space="0" w:color="auto"/>
              <w:left w:val="nil"/>
              <w:bottom w:val="nil"/>
              <w:right w:val="single" w:sz="8" w:space="0" w:color="auto"/>
            </w:tcBorders>
            <w:shd w:val="clear" w:color="000000" w:fill="B4C6E7"/>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Index as on</w:t>
            </w:r>
          </w:p>
        </w:tc>
        <w:tc>
          <w:tcPr>
            <w:tcW w:w="4592" w:type="dxa"/>
            <w:gridSpan w:val="4"/>
            <w:tcBorders>
              <w:top w:val="single" w:sz="8" w:space="0" w:color="auto"/>
              <w:left w:val="nil"/>
              <w:bottom w:val="single" w:sz="8" w:space="0" w:color="auto"/>
              <w:right w:val="single" w:sz="8" w:space="0" w:color="000000"/>
            </w:tcBorders>
            <w:shd w:val="clear" w:color="000000" w:fill="B4C6E7"/>
            <w:hideMark/>
          </w:tcPr>
          <w:p w:rsidR="00567A3B" w:rsidRPr="00E768E1" w:rsidRDefault="00567A3B" w:rsidP="0026016F">
            <w:pPr>
              <w:jc w:val="center"/>
              <w:rPr>
                <w:rFonts w:ascii="Garamond" w:eastAsia="Times New Roman" w:hAnsi="Garamond" w:cs="Calibri"/>
                <w:b/>
                <w:bCs/>
                <w:sz w:val="20"/>
                <w:szCs w:val="20"/>
                <w:lang w:val="en-IN" w:eastAsia="en-IN" w:bidi="hi-IN"/>
              </w:rPr>
            </w:pPr>
            <w:r>
              <w:rPr>
                <w:rFonts w:ascii="Garamond" w:eastAsia="Times New Roman" w:hAnsi="Garamond" w:cs="Calibri"/>
                <w:b/>
                <w:bCs/>
                <w:sz w:val="20"/>
                <w:szCs w:val="20"/>
                <w:lang w:val="en-IN" w:eastAsia="en-IN" w:bidi="hi-IN"/>
              </w:rPr>
              <w:t>Percent</w:t>
            </w:r>
            <w:r w:rsidRPr="00E768E1">
              <w:rPr>
                <w:rFonts w:ascii="Garamond" w:eastAsia="Times New Roman" w:hAnsi="Garamond" w:cs="Calibri"/>
                <w:b/>
                <w:bCs/>
                <w:sz w:val="20"/>
                <w:szCs w:val="20"/>
                <w:lang w:val="en-IN" w:eastAsia="en-IN" w:bidi="hi-IN"/>
              </w:rPr>
              <w:t>age change in Currency Index over period</w:t>
            </w:r>
          </w:p>
        </w:tc>
      </w:tr>
      <w:tr w:rsidR="00567A3B" w:rsidRPr="00E768E1" w:rsidTr="0026016F">
        <w:trPr>
          <w:gridAfter w:val="1"/>
          <w:wAfter w:w="11" w:type="dxa"/>
          <w:trHeight w:val="264"/>
        </w:trPr>
        <w:tc>
          <w:tcPr>
            <w:tcW w:w="1317" w:type="dxa"/>
            <w:vMerge/>
            <w:tcBorders>
              <w:top w:val="single" w:sz="8" w:space="0" w:color="auto"/>
              <w:left w:val="single" w:sz="8" w:space="0" w:color="auto"/>
              <w:bottom w:val="single" w:sz="8" w:space="0" w:color="000000"/>
              <w:right w:val="single" w:sz="8" w:space="0" w:color="auto"/>
            </w:tcBorders>
            <w:vAlign w:val="center"/>
            <w:hideMark/>
          </w:tcPr>
          <w:p w:rsidR="00567A3B" w:rsidRPr="00E768E1" w:rsidRDefault="00567A3B" w:rsidP="0026016F">
            <w:pPr>
              <w:rPr>
                <w:rFonts w:ascii="Garamond" w:eastAsia="Times New Roman" w:hAnsi="Garamond" w:cs="Calibri"/>
                <w:b/>
                <w:bCs/>
                <w:sz w:val="20"/>
                <w:szCs w:val="20"/>
                <w:lang w:val="en-IN" w:eastAsia="en-IN" w:bidi="hi-IN"/>
              </w:rPr>
            </w:pPr>
          </w:p>
        </w:tc>
        <w:tc>
          <w:tcPr>
            <w:tcW w:w="1280" w:type="dxa"/>
            <w:tcBorders>
              <w:top w:val="nil"/>
              <w:left w:val="nil"/>
              <w:bottom w:val="single" w:sz="8" w:space="0" w:color="auto"/>
              <w:right w:val="single" w:sz="8" w:space="0" w:color="auto"/>
            </w:tcBorders>
            <w:shd w:val="clear" w:color="000000" w:fill="B4C6E7"/>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 </w:t>
            </w:r>
          </w:p>
        </w:tc>
        <w:tc>
          <w:tcPr>
            <w:tcW w:w="1354" w:type="dxa"/>
            <w:tcBorders>
              <w:top w:val="nil"/>
              <w:left w:val="nil"/>
              <w:bottom w:val="single" w:sz="8" w:space="0" w:color="auto"/>
              <w:right w:val="single" w:sz="8" w:space="0" w:color="auto"/>
            </w:tcBorders>
            <w:shd w:val="clear" w:color="000000" w:fill="B4C6E7"/>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4442DE">
              <w:rPr>
                <w:rFonts w:ascii="Garamond" w:eastAsia="Times New Roman" w:hAnsi="Garamond" w:cs="Calibri"/>
                <w:b/>
                <w:bCs/>
                <w:color w:val="000000"/>
                <w:sz w:val="20"/>
                <w:szCs w:val="20"/>
                <w:lang w:val="en-IN" w:eastAsia="en-IN" w:bidi="hi-IN"/>
              </w:rPr>
              <w:t>28-Feb-22</w:t>
            </w:r>
          </w:p>
        </w:tc>
        <w:tc>
          <w:tcPr>
            <w:tcW w:w="1374" w:type="dxa"/>
            <w:tcBorders>
              <w:top w:val="nil"/>
              <w:left w:val="nil"/>
              <w:bottom w:val="single" w:sz="8" w:space="0" w:color="auto"/>
              <w:right w:val="single" w:sz="8" w:space="0" w:color="auto"/>
            </w:tcBorders>
            <w:shd w:val="clear" w:color="000000" w:fill="B4C6E7"/>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1-Month</w:t>
            </w:r>
          </w:p>
        </w:tc>
        <w:tc>
          <w:tcPr>
            <w:tcW w:w="1024" w:type="dxa"/>
            <w:tcBorders>
              <w:top w:val="nil"/>
              <w:left w:val="nil"/>
              <w:bottom w:val="single" w:sz="8" w:space="0" w:color="auto"/>
              <w:right w:val="single" w:sz="8" w:space="0" w:color="auto"/>
            </w:tcBorders>
            <w:shd w:val="clear" w:color="000000" w:fill="B4C6E7"/>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3-Month</w:t>
            </w:r>
          </w:p>
        </w:tc>
        <w:tc>
          <w:tcPr>
            <w:tcW w:w="1170" w:type="dxa"/>
            <w:tcBorders>
              <w:top w:val="nil"/>
              <w:left w:val="nil"/>
              <w:bottom w:val="single" w:sz="8" w:space="0" w:color="auto"/>
              <w:right w:val="single" w:sz="8" w:space="0" w:color="auto"/>
            </w:tcBorders>
            <w:shd w:val="clear" w:color="000000" w:fill="B4C6E7"/>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6-Month</w:t>
            </w:r>
          </w:p>
        </w:tc>
        <w:tc>
          <w:tcPr>
            <w:tcW w:w="1024" w:type="dxa"/>
            <w:tcBorders>
              <w:top w:val="nil"/>
              <w:left w:val="nil"/>
              <w:bottom w:val="single" w:sz="8" w:space="0" w:color="auto"/>
              <w:right w:val="single" w:sz="8" w:space="0" w:color="auto"/>
            </w:tcBorders>
            <w:shd w:val="clear" w:color="000000" w:fill="B4C6E7"/>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1-Year</w:t>
            </w:r>
          </w:p>
        </w:tc>
      </w:tr>
      <w:tr w:rsidR="00567A3B" w:rsidRPr="00E768E1" w:rsidTr="0026016F">
        <w:trPr>
          <w:trHeight w:val="264"/>
        </w:trPr>
        <w:tc>
          <w:tcPr>
            <w:tcW w:w="8554" w:type="dxa"/>
            <w:gridSpan w:val="8"/>
            <w:tcBorders>
              <w:top w:val="single" w:sz="8" w:space="0" w:color="auto"/>
              <w:left w:val="single" w:sz="8" w:space="0" w:color="auto"/>
              <w:bottom w:val="single" w:sz="8" w:space="0" w:color="auto"/>
              <w:right w:val="single" w:sz="8" w:space="0" w:color="000000"/>
            </w:tcBorders>
            <w:shd w:val="clear" w:color="000000" w:fill="D9E1F2"/>
            <w:noWrap/>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BRICS Nations</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Brazil</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Real</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eastAsia="Times New Roman" w:hAnsi="Garamond" w:cs="Calibri"/>
                <w:sz w:val="20"/>
                <w:szCs w:val="20"/>
                <w:lang w:val="en-IN" w:bidi="hi-IN"/>
              </w:rPr>
            </w:pPr>
            <w:r>
              <w:rPr>
                <w:rFonts w:ascii="Garamond" w:hAnsi="Garamond" w:cs="Calibri"/>
                <w:sz w:val="20"/>
                <w:szCs w:val="20"/>
              </w:rPr>
              <w:t>5.2</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-2.7</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-8.3</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-7.8</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Russia</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Rouble</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101.0</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30.8</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36.8</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38.2</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36.3</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India</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Rupee</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75.5</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1.3</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0.5</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3.5</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2.1</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China</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Renminbi</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6.3</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-0.8</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-0.9</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-2.4</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-2.5</w:t>
            </w:r>
          </w:p>
        </w:tc>
      </w:tr>
      <w:tr w:rsidR="00567A3B" w:rsidRPr="00E768E1" w:rsidTr="0026016F">
        <w:trPr>
          <w:gridAfter w:val="1"/>
          <w:wAfter w:w="11" w:type="dxa"/>
          <w:trHeight w:val="264"/>
        </w:trPr>
        <w:tc>
          <w:tcPr>
            <w:tcW w:w="1317" w:type="dxa"/>
            <w:tcBorders>
              <w:top w:val="nil"/>
              <w:left w:val="single" w:sz="8" w:space="0" w:color="auto"/>
              <w:bottom w:val="single" w:sz="8" w:space="0" w:color="auto"/>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S. Africa</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Rand</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15.4</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-0.1</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-3.2</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5.9</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1.8</w:t>
            </w:r>
          </w:p>
        </w:tc>
      </w:tr>
      <w:tr w:rsidR="00567A3B" w:rsidRPr="00E768E1" w:rsidTr="0026016F">
        <w:trPr>
          <w:trHeight w:val="264"/>
        </w:trPr>
        <w:tc>
          <w:tcPr>
            <w:tcW w:w="8554" w:type="dxa"/>
            <w:gridSpan w:val="8"/>
            <w:tcBorders>
              <w:top w:val="single" w:sz="8" w:space="0" w:color="auto"/>
              <w:left w:val="single" w:sz="8" w:space="0" w:color="auto"/>
              <w:bottom w:val="single" w:sz="8" w:space="0" w:color="auto"/>
              <w:right w:val="single" w:sz="8" w:space="0" w:color="000000"/>
            </w:tcBorders>
            <w:shd w:val="clear" w:color="000000" w:fill="D9E1F2"/>
            <w:hideMark/>
          </w:tcPr>
          <w:p w:rsidR="00567A3B" w:rsidRPr="00E768E1" w:rsidRDefault="00567A3B" w:rsidP="0026016F">
            <w:pPr>
              <w:jc w:val="center"/>
              <w:rPr>
                <w:rFonts w:ascii="Garamond" w:eastAsia="Times New Roman" w:hAnsi="Garamond" w:cs="Calibri"/>
                <w:b/>
                <w:bCs/>
                <w:sz w:val="20"/>
                <w:szCs w:val="20"/>
                <w:lang w:val="en-IN" w:eastAsia="en-IN" w:bidi="hi-IN"/>
              </w:rPr>
            </w:pPr>
            <w:r w:rsidRPr="00E768E1">
              <w:rPr>
                <w:rFonts w:ascii="Garamond" w:eastAsia="Times New Roman" w:hAnsi="Garamond" w:cs="Calibri"/>
                <w:b/>
                <w:bCs/>
                <w:sz w:val="20"/>
                <w:szCs w:val="20"/>
                <w:lang w:val="en-IN" w:eastAsia="en-IN" w:bidi="hi-IN"/>
              </w:rPr>
              <w:t>Developed Markets</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UK</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Pound</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eastAsia="Times New Roman" w:hAnsi="Garamond" w:cs="Calibri"/>
                <w:sz w:val="20"/>
                <w:szCs w:val="20"/>
                <w:lang w:val="en-IN" w:bidi="hi-IN"/>
              </w:rPr>
            </w:pPr>
            <w:r>
              <w:rPr>
                <w:rFonts w:ascii="Garamond" w:hAnsi="Garamond" w:cs="Calibri"/>
                <w:sz w:val="20"/>
                <w:szCs w:val="20"/>
              </w:rPr>
              <w:t>0.7</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-0.9</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2.5</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3.8</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Europe</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Euro</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0.9</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0.1</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1.0</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5.2</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7.6</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Japan</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Yen</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115.0</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-0.1</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1.6</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4.5</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7.9</w:t>
            </w:r>
          </w:p>
        </w:tc>
      </w:tr>
      <w:tr w:rsidR="00567A3B" w:rsidRPr="00E768E1" w:rsidTr="0026016F">
        <w:trPr>
          <w:gridAfter w:val="1"/>
          <w:wAfter w:w="11" w:type="dxa"/>
          <w:trHeight w:val="251"/>
        </w:trPr>
        <w:tc>
          <w:tcPr>
            <w:tcW w:w="1317" w:type="dxa"/>
            <w:tcBorders>
              <w:top w:val="nil"/>
              <w:left w:val="single" w:sz="8" w:space="0" w:color="auto"/>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France</w:t>
            </w:r>
          </w:p>
        </w:tc>
        <w:tc>
          <w:tcPr>
            <w:tcW w:w="1280" w:type="dxa"/>
            <w:tcBorders>
              <w:top w:val="nil"/>
              <w:left w:val="nil"/>
              <w:bottom w:val="nil"/>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Franc</w:t>
            </w:r>
          </w:p>
        </w:tc>
        <w:tc>
          <w:tcPr>
            <w:tcW w:w="1354" w:type="dxa"/>
            <w:tcBorders>
              <w:top w:val="nil"/>
              <w:left w:val="nil"/>
              <w:bottom w:val="nil"/>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0.9</w:t>
            </w:r>
          </w:p>
        </w:tc>
        <w:tc>
          <w:tcPr>
            <w:tcW w:w="137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-1.1</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c>
          <w:tcPr>
            <w:tcW w:w="1170"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c>
          <w:tcPr>
            <w:tcW w:w="1024" w:type="dxa"/>
            <w:tcBorders>
              <w:top w:val="nil"/>
              <w:left w:val="nil"/>
              <w:bottom w:val="nil"/>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0.9</w:t>
            </w:r>
          </w:p>
        </w:tc>
      </w:tr>
      <w:tr w:rsidR="00567A3B" w:rsidRPr="00E768E1" w:rsidTr="0026016F">
        <w:trPr>
          <w:gridAfter w:val="1"/>
          <w:wAfter w:w="11" w:type="dxa"/>
          <w:trHeight w:val="264"/>
        </w:trPr>
        <w:tc>
          <w:tcPr>
            <w:tcW w:w="1317" w:type="dxa"/>
            <w:tcBorders>
              <w:top w:val="nil"/>
              <w:left w:val="single" w:sz="8" w:space="0" w:color="auto"/>
              <w:bottom w:val="single" w:sz="8" w:space="0" w:color="auto"/>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US</w:t>
            </w:r>
          </w:p>
        </w:tc>
        <w:tc>
          <w:tcPr>
            <w:tcW w:w="1280" w:type="dxa"/>
            <w:tcBorders>
              <w:top w:val="nil"/>
              <w:left w:val="nil"/>
              <w:bottom w:val="single" w:sz="8" w:space="0" w:color="auto"/>
              <w:right w:val="single" w:sz="8" w:space="0" w:color="auto"/>
            </w:tcBorders>
            <w:shd w:val="clear" w:color="000000" w:fill="D9E1F2"/>
            <w:noWrap/>
            <w:hideMark/>
          </w:tcPr>
          <w:p w:rsidR="00567A3B" w:rsidRPr="00E768E1" w:rsidRDefault="00567A3B" w:rsidP="0026016F">
            <w:pPr>
              <w:rPr>
                <w:rFonts w:ascii="Garamond" w:eastAsia="Times New Roman" w:hAnsi="Garamond" w:cs="Calibri"/>
                <w:sz w:val="20"/>
                <w:szCs w:val="20"/>
                <w:lang w:val="en-IN" w:eastAsia="en-IN" w:bidi="hi-IN"/>
              </w:rPr>
            </w:pPr>
            <w:r w:rsidRPr="00E768E1">
              <w:rPr>
                <w:rFonts w:ascii="Garamond" w:eastAsia="Times New Roman" w:hAnsi="Garamond" w:cs="Calibri"/>
                <w:sz w:val="20"/>
                <w:szCs w:val="20"/>
                <w:lang w:val="en-IN" w:eastAsia="en-IN" w:bidi="hi-IN"/>
              </w:rPr>
              <w:t>Dollar Index</w:t>
            </w:r>
          </w:p>
        </w:tc>
        <w:tc>
          <w:tcPr>
            <w:tcW w:w="1354" w:type="dxa"/>
            <w:tcBorders>
              <w:top w:val="nil"/>
              <w:left w:val="nil"/>
              <w:bottom w:val="single" w:sz="8" w:space="0" w:color="auto"/>
              <w:right w:val="single" w:sz="8" w:space="0" w:color="auto"/>
            </w:tcBorders>
            <w:shd w:val="clear" w:color="000000" w:fill="9BC2E6"/>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96.7</w:t>
            </w:r>
          </w:p>
        </w:tc>
        <w:tc>
          <w:tcPr>
            <w:tcW w:w="1374"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0.2</w:t>
            </w:r>
          </w:p>
        </w:tc>
        <w:tc>
          <w:tcPr>
            <w:tcW w:w="1024"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0.7</w:t>
            </w:r>
          </w:p>
        </w:tc>
        <w:tc>
          <w:tcPr>
            <w:tcW w:w="1170"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4.4</w:t>
            </w:r>
          </w:p>
        </w:tc>
        <w:tc>
          <w:tcPr>
            <w:tcW w:w="1024" w:type="dxa"/>
            <w:tcBorders>
              <w:top w:val="nil"/>
              <w:left w:val="nil"/>
              <w:bottom w:val="single" w:sz="8" w:space="0" w:color="auto"/>
              <w:right w:val="single" w:sz="8" w:space="0" w:color="auto"/>
            </w:tcBorders>
            <w:shd w:val="clear" w:color="auto" w:fill="auto"/>
            <w:noWrap/>
            <w:hideMark/>
          </w:tcPr>
          <w:p w:rsidR="00567A3B" w:rsidRDefault="00567A3B" w:rsidP="0026016F">
            <w:pPr>
              <w:ind w:firstLineChars="100" w:firstLine="200"/>
              <w:jc w:val="right"/>
              <w:rPr>
                <w:rFonts w:ascii="Garamond" w:hAnsi="Garamond" w:cs="Calibri"/>
                <w:sz w:val="20"/>
                <w:szCs w:val="20"/>
              </w:rPr>
            </w:pPr>
            <w:r>
              <w:rPr>
                <w:rFonts w:ascii="Garamond" w:hAnsi="Garamond" w:cs="Calibri"/>
                <w:sz w:val="20"/>
                <w:szCs w:val="20"/>
              </w:rPr>
              <w:t>6.4</w:t>
            </w:r>
          </w:p>
        </w:tc>
      </w:tr>
    </w:tbl>
    <w:p w:rsidR="00567A3B" w:rsidRDefault="00567A3B" w:rsidP="00567A3B">
      <w:pPr>
        <w:spacing w:line="23" w:lineRule="atLeast"/>
        <w:jc w:val="both"/>
        <w:rPr>
          <w:rFonts w:ascii="Palatino Linotype" w:hAnsi="Palatino Linotype"/>
          <w:bCs/>
          <w:sz w:val="18"/>
          <w:szCs w:val="18"/>
        </w:rPr>
      </w:pPr>
    </w:p>
    <w:p w:rsidR="00567A3B" w:rsidRDefault="00567A3B" w:rsidP="00567A3B">
      <w:pPr>
        <w:spacing w:line="23" w:lineRule="atLeast"/>
        <w:jc w:val="both"/>
        <w:rPr>
          <w:rFonts w:ascii="Palatino Linotype" w:hAnsi="Palatino Linotype"/>
          <w:bCs/>
          <w:sz w:val="18"/>
          <w:szCs w:val="18"/>
        </w:rPr>
      </w:pPr>
      <w:r w:rsidRPr="00A01675">
        <w:rPr>
          <w:rFonts w:ascii="Palatino Linotype" w:hAnsi="Palatino Linotype"/>
          <w:bCs/>
          <w:sz w:val="18"/>
          <w:szCs w:val="18"/>
        </w:rPr>
        <w:t xml:space="preserve">Note: </w:t>
      </w:r>
      <w:r>
        <w:rPr>
          <w:rFonts w:ascii="Palatino Linotype" w:hAnsi="Palatino Linotype"/>
          <w:bCs/>
          <w:sz w:val="18"/>
          <w:szCs w:val="18"/>
        </w:rPr>
        <w:t xml:space="preserve">1. </w:t>
      </w:r>
      <w:r w:rsidRPr="00E768E1">
        <w:rPr>
          <w:rFonts w:ascii="Palatino Linotype" w:hAnsi="Palatino Linotype"/>
          <w:bCs/>
          <w:sz w:val="18"/>
          <w:szCs w:val="18"/>
        </w:rPr>
        <w:t>All Currency rates are against USD (excluding USD Index)</w:t>
      </w:r>
    </w:p>
    <w:p w:rsidR="00567A3B" w:rsidRDefault="00567A3B" w:rsidP="00567A3B">
      <w:pPr>
        <w:spacing w:line="23" w:lineRule="atLeast"/>
        <w:jc w:val="both"/>
        <w:rPr>
          <w:rFonts w:ascii="Palatino Linotype" w:hAnsi="Palatino Linotype"/>
          <w:bCs/>
          <w:sz w:val="18"/>
          <w:szCs w:val="18"/>
        </w:rPr>
      </w:pPr>
      <w:r>
        <w:rPr>
          <w:rFonts w:ascii="Palatino Linotype" w:hAnsi="Palatino Linotype"/>
          <w:bCs/>
          <w:sz w:val="18"/>
          <w:szCs w:val="18"/>
        </w:rPr>
        <w:t>2. Negative sign indicates appreciation of quote currency against the base currency (USD)</w:t>
      </w:r>
    </w:p>
    <w:p w:rsidR="00567A3B" w:rsidRPr="00A01675" w:rsidRDefault="00567A3B" w:rsidP="00567A3B">
      <w:pPr>
        <w:spacing w:line="23" w:lineRule="atLeast"/>
        <w:jc w:val="both"/>
        <w:rPr>
          <w:rFonts w:ascii="Palatino Linotype" w:hAnsi="Palatino Linotype"/>
          <w:bCs/>
          <w:sz w:val="18"/>
          <w:szCs w:val="18"/>
        </w:rPr>
      </w:pPr>
      <w:r>
        <w:rPr>
          <w:rFonts w:ascii="Palatino Linotype" w:hAnsi="Palatino Linotype"/>
          <w:bCs/>
          <w:sz w:val="18"/>
          <w:szCs w:val="18"/>
        </w:rPr>
        <w:t>S</w:t>
      </w:r>
      <w:r w:rsidRPr="00A01675">
        <w:rPr>
          <w:rFonts w:ascii="Palatino Linotype" w:hAnsi="Palatino Linotype"/>
          <w:bCs/>
          <w:sz w:val="18"/>
          <w:szCs w:val="18"/>
        </w:rPr>
        <w:t>ource: Refinitiv</w:t>
      </w:r>
    </w:p>
    <w:p w:rsidR="00567A3B" w:rsidRPr="00A01675" w:rsidRDefault="00567A3B" w:rsidP="00567A3B">
      <w:pPr>
        <w:rPr>
          <w:rFonts w:ascii="Palatino Linotype" w:hAnsi="Palatino Linotype"/>
          <w:b/>
          <w:bCs/>
          <w:szCs w:val="22"/>
        </w:rPr>
      </w:pPr>
    </w:p>
    <w:p w:rsidR="00567A3B" w:rsidRPr="00A01675" w:rsidRDefault="00567A3B" w:rsidP="00567A3B">
      <w:pPr>
        <w:rPr>
          <w:rFonts w:ascii="Palatino Linotype" w:hAnsi="Palatino Linotype"/>
          <w:b/>
          <w:bCs/>
          <w:szCs w:val="22"/>
        </w:rPr>
      </w:pPr>
      <w:r>
        <w:rPr>
          <w:rFonts w:ascii="Palatino Linotype" w:hAnsi="Palatino Linotype"/>
          <w:b/>
          <w:bCs/>
          <w:szCs w:val="22"/>
        </w:rPr>
        <w:t>Figure 3</w:t>
      </w:r>
      <w:r w:rsidRPr="00A01675">
        <w:rPr>
          <w:rFonts w:ascii="Palatino Linotype" w:hAnsi="Palatino Linotype"/>
          <w:b/>
          <w:bCs/>
          <w:szCs w:val="22"/>
        </w:rPr>
        <w:t xml:space="preserve">: Movement of the </w:t>
      </w:r>
      <w:r>
        <w:rPr>
          <w:rFonts w:ascii="Palatino Linotype" w:hAnsi="Palatino Linotype"/>
          <w:b/>
          <w:bCs/>
          <w:szCs w:val="22"/>
        </w:rPr>
        <w:t xml:space="preserve">USD-INR Index, </w:t>
      </w:r>
      <w:r w:rsidRPr="00A01675">
        <w:rPr>
          <w:rFonts w:ascii="Palatino Linotype" w:hAnsi="Palatino Linotype"/>
          <w:b/>
          <w:bCs/>
          <w:szCs w:val="22"/>
        </w:rPr>
        <w:t>US Dollar Index and MSCI EM Currency Index</w:t>
      </w:r>
    </w:p>
    <w:p w:rsidR="00567A3B" w:rsidRPr="00A01675" w:rsidRDefault="00567A3B" w:rsidP="00567A3B">
      <w:pPr>
        <w:spacing w:line="23" w:lineRule="atLeast"/>
        <w:outlineLvl w:val="0"/>
        <w:rPr>
          <w:rFonts w:ascii="Palatino Linotype" w:hAnsi="Palatino Linotype"/>
          <w:bCs/>
          <w:sz w:val="22"/>
          <w:szCs w:val="22"/>
        </w:rPr>
      </w:pPr>
    </w:p>
    <w:p w:rsidR="00567A3B" w:rsidRPr="00A01675" w:rsidRDefault="00567A3B" w:rsidP="00567A3B">
      <w:pPr>
        <w:spacing w:line="23" w:lineRule="atLeast"/>
        <w:outlineLvl w:val="0"/>
        <w:rPr>
          <w:rFonts w:ascii="Palatino Linotype" w:hAnsi="Palatino Linotype"/>
          <w:bCs/>
          <w:sz w:val="22"/>
          <w:szCs w:val="22"/>
        </w:rPr>
      </w:pPr>
      <w:r>
        <w:rPr>
          <w:noProof/>
          <w:lang w:val="en-US" w:bidi="hi-IN"/>
        </w:rPr>
        <w:drawing>
          <wp:inline distT="0" distB="0" distL="0" distR="0" wp14:anchorId="69CA91B3" wp14:editId="1B44693B">
            <wp:extent cx="4572000" cy="2695575"/>
            <wp:effectExtent l="0" t="0" r="0" b="9525"/>
            <wp:docPr id="10" name="Chart 10">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67A3B" w:rsidRPr="00A01675" w:rsidRDefault="00567A3B" w:rsidP="00567A3B">
      <w:pPr>
        <w:tabs>
          <w:tab w:val="left" w:pos="3760"/>
        </w:tabs>
        <w:spacing w:line="23" w:lineRule="atLeast"/>
        <w:rPr>
          <w:rFonts w:ascii="Palatino Linotype" w:hAnsi="Palatino Linotype"/>
          <w:bCs/>
          <w:sz w:val="18"/>
          <w:szCs w:val="18"/>
        </w:rPr>
      </w:pPr>
      <w:r w:rsidRPr="00A01675">
        <w:rPr>
          <w:rFonts w:ascii="Palatino Linotype" w:hAnsi="Palatino Linotype"/>
          <w:bCs/>
          <w:sz w:val="18"/>
          <w:szCs w:val="18"/>
        </w:rPr>
        <w:t>Note:</w:t>
      </w:r>
    </w:p>
    <w:p w:rsidR="00567A3B" w:rsidRPr="00A01675" w:rsidRDefault="00567A3B" w:rsidP="00223C98">
      <w:pPr>
        <w:widowControl w:val="0"/>
        <w:numPr>
          <w:ilvl w:val="0"/>
          <w:numId w:val="15"/>
        </w:numPr>
        <w:autoSpaceDE w:val="0"/>
        <w:autoSpaceDN w:val="0"/>
        <w:adjustRightInd w:val="0"/>
        <w:spacing w:line="23" w:lineRule="atLeast"/>
        <w:ind w:right="1788"/>
        <w:jc w:val="both"/>
        <w:rPr>
          <w:rFonts w:ascii="Palatino Linotype" w:eastAsia="Times New Roman" w:hAnsi="Palatino Linotype"/>
          <w:bCs/>
          <w:sz w:val="18"/>
          <w:szCs w:val="18"/>
        </w:rPr>
      </w:pPr>
      <w:r w:rsidRPr="00A01675">
        <w:rPr>
          <w:rFonts w:ascii="Palatino Linotype" w:eastAsia="Times New Roman" w:hAnsi="Palatino Linotype"/>
          <w:bCs/>
          <w:sz w:val="18"/>
          <w:szCs w:val="18"/>
        </w:rPr>
        <w:t xml:space="preserve">All indices have been normalised to 100 on </w:t>
      </w:r>
      <w:r>
        <w:rPr>
          <w:rFonts w:ascii="Palatino Linotype" w:eastAsia="Times New Roman" w:hAnsi="Palatino Linotype"/>
          <w:bCs/>
          <w:sz w:val="18"/>
          <w:szCs w:val="18"/>
        </w:rPr>
        <w:t>28</w:t>
      </w:r>
      <w:r w:rsidRPr="00A01675">
        <w:rPr>
          <w:rFonts w:ascii="Palatino Linotype" w:eastAsia="Times New Roman" w:hAnsi="Palatino Linotype"/>
          <w:bCs/>
          <w:sz w:val="18"/>
          <w:szCs w:val="18"/>
        </w:rPr>
        <w:t xml:space="preserve"> </w:t>
      </w:r>
      <w:r>
        <w:rPr>
          <w:rFonts w:ascii="Palatino Linotype" w:eastAsia="Times New Roman" w:hAnsi="Palatino Linotype"/>
          <w:bCs/>
          <w:sz w:val="18"/>
          <w:szCs w:val="18"/>
        </w:rPr>
        <w:t>Feb 2021</w:t>
      </w:r>
      <w:r w:rsidRPr="00A01675">
        <w:rPr>
          <w:rFonts w:ascii="Palatino Linotype" w:eastAsia="Times New Roman" w:hAnsi="Palatino Linotype"/>
          <w:bCs/>
          <w:sz w:val="18"/>
          <w:szCs w:val="18"/>
        </w:rPr>
        <w:t>.</w:t>
      </w:r>
    </w:p>
    <w:p w:rsidR="00567A3B" w:rsidRPr="00A01675" w:rsidRDefault="00567A3B" w:rsidP="00223C98">
      <w:pPr>
        <w:widowControl w:val="0"/>
        <w:numPr>
          <w:ilvl w:val="0"/>
          <w:numId w:val="15"/>
        </w:numPr>
        <w:autoSpaceDE w:val="0"/>
        <w:autoSpaceDN w:val="0"/>
        <w:adjustRightInd w:val="0"/>
        <w:spacing w:line="23" w:lineRule="atLeast"/>
        <w:ind w:right="1788"/>
        <w:jc w:val="both"/>
        <w:rPr>
          <w:rFonts w:ascii="Palatino Linotype" w:eastAsia="Times New Roman" w:hAnsi="Palatino Linotype"/>
          <w:bCs/>
          <w:sz w:val="18"/>
          <w:szCs w:val="18"/>
        </w:rPr>
      </w:pPr>
      <w:r w:rsidRPr="00A01675">
        <w:rPr>
          <w:rFonts w:ascii="Palatino Linotype" w:eastAsia="Times New Roman" w:hAnsi="Palatino Linotype"/>
          <w:bCs/>
          <w:sz w:val="18"/>
          <w:szCs w:val="18"/>
        </w:rPr>
        <w:t>The U.S. Dollar Index is an index of the value of the United States dollar relative to a basket of foreign currencies. The Index goes up when the U.S. dollar gains value compared to other currencies. The index is maintained and published by Intercontinental Exchange. It is a weighted geometric mean of the dollar's value relative to following select currencies: Euro, Japanese yen, Pound sterling, Canadian dollar, Swedish krona, Swiss franc.</w:t>
      </w:r>
    </w:p>
    <w:p w:rsidR="00567A3B" w:rsidRPr="00A01675" w:rsidRDefault="00567A3B" w:rsidP="00223C98">
      <w:pPr>
        <w:widowControl w:val="0"/>
        <w:numPr>
          <w:ilvl w:val="0"/>
          <w:numId w:val="15"/>
        </w:numPr>
        <w:autoSpaceDE w:val="0"/>
        <w:autoSpaceDN w:val="0"/>
        <w:adjustRightInd w:val="0"/>
        <w:spacing w:line="23" w:lineRule="atLeast"/>
        <w:ind w:right="1788"/>
        <w:jc w:val="both"/>
        <w:rPr>
          <w:rFonts w:ascii="Palatino Linotype" w:eastAsia="Times New Roman" w:hAnsi="Palatino Linotype"/>
          <w:bCs/>
          <w:sz w:val="18"/>
          <w:szCs w:val="18"/>
        </w:rPr>
      </w:pPr>
      <w:r w:rsidRPr="00A01675">
        <w:rPr>
          <w:rFonts w:ascii="Palatino Linotype" w:eastAsia="Times New Roman" w:hAnsi="Palatino Linotype"/>
          <w:bCs/>
          <w:sz w:val="18"/>
          <w:szCs w:val="18"/>
        </w:rPr>
        <w:t>The MSCI Emerging Markets (EM) Currency Index tracks the performance of twenty-five emerging-market currencies relative to the US Dollar.</w:t>
      </w:r>
    </w:p>
    <w:p w:rsidR="00567A3B" w:rsidRPr="00A01675" w:rsidRDefault="00567A3B" w:rsidP="00567A3B">
      <w:pPr>
        <w:spacing w:line="23" w:lineRule="atLeast"/>
        <w:outlineLvl w:val="0"/>
        <w:rPr>
          <w:rFonts w:ascii="Palatino Linotype" w:hAnsi="Palatino Linotype"/>
          <w:bCs/>
          <w:sz w:val="18"/>
          <w:szCs w:val="18"/>
        </w:rPr>
      </w:pPr>
      <w:r w:rsidRPr="00A01675">
        <w:rPr>
          <w:rFonts w:ascii="Palatino Linotype" w:hAnsi="Palatino Linotype"/>
          <w:bCs/>
          <w:sz w:val="18"/>
          <w:szCs w:val="18"/>
        </w:rPr>
        <w:t>Source: Refinitiv</w:t>
      </w:r>
    </w:p>
    <w:p w:rsidR="0018293F" w:rsidRDefault="0018293F" w:rsidP="0018293F">
      <w:pPr>
        <w:spacing w:line="23" w:lineRule="atLeast"/>
        <w:jc w:val="both"/>
        <w:rPr>
          <w:rFonts w:ascii="Palatino Linotype" w:eastAsia="Calibri" w:hAnsi="Palatino Linotype"/>
          <w:bCs/>
          <w:sz w:val="18"/>
          <w:szCs w:val="18"/>
        </w:rPr>
      </w:pPr>
    </w:p>
    <w:p w:rsidR="00CA1F64" w:rsidRDefault="00CA1F64" w:rsidP="00CA1F64">
      <w:pPr>
        <w:spacing w:line="23" w:lineRule="atLeast"/>
        <w:rPr>
          <w:rFonts w:ascii="Palatino Linotype" w:hAnsi="Palatino Linotype"/>
          <w:bCs/>
          <w:sz w:val="18"/>
          <w:szCs w:val="18"/>
        </w:rPr>
      </w:pPr>
    </w:p>
    <w:p w:rsidR="000F236F" w:rsidRPr="00D0385D" w:rsidRDefault="000F236F" w:rsidP="00CA1F64">
      <w:pPr>
        <w:spacing w:line="23" w:lineRule="atLeast"/>
        <w:jc w:val="center"/>
        <w:rPr>
          <w:rFonts w:ascii="Palatino Linotype" w:hAnsi="Palatino Linotype" w:cs="Calibri"/>
          <w:b/>
          <w:color w:val="1F4E79" w:themeColor="accent1" w:themeShade="80"/>
          <w:sz w:val="28"/>
          <w:szCs w:val="28"/>
        </w:rPr>
      </w:pPr>
      <w:r w:rsidRPr="00D0385D">
        <w:rPr>
          <w:rFonts w:ascii="Palatino Linotype" w:hAnsi="Palatino Linotype" w:cs="Calibri"/>
          <w:b/>
          <w:color w:val="1F4E79" w:themeColor="accent1" w:themeShade="80"/>
          <w:sz w:val="28"/>
          <w:szCs w:val="28"/>
        </w:rPr>
        <w:lastRenderedPageBreak/>
        <w:t>HIGHLIGHTS OF DEVELOPMENTS IN</w:t>
      </w:r>
    </w:p>
    <w:p w:rsidR="000F236F" w:rsidRPr="00D0385D" w:rsidRDefault="000F236F" w:rsidP="000E125F">
      <w:pPr>
        <w:jc w:val="center"/>
        <w:rPr>
          <w:rFonts w:ascii="Palatino Linotype" w:hAnsi="Palatino Linotype" w:cs="Calibri"/>
          <w:b/>
          <w:color w:val="1F4E79" w:themeColor="accent1" w:themeShade="80"/>
          <w:sz w:val="28"/>
          <w:szCs w:val="28"/>
        </w:rPr>
      </w:pPr>
      <w:r w:rsidRPr="00D0385D">
        <w:rPr>
          <w:rFonts w:ascii="Palatino Linotype" w:hAnsi="Palatino Linotype" w:cs="Calibri"/>
          <w:b/>
          <w:color w:val="1F4E79" w:themeColor="accent1" w:themeShade="80"/>
          <w:sz w:val="28"/>
          <w:szCs w:val="28"/>
        </w:rPr>
        <w:t>INTERNATIONAL SECURITIES MARKET</w:t>
      </w:r>
    </w:p>
    <w:p w:rsidR="000F236F" w:rsidRDefault="000F236F" w:rsidP="000F236F">
      <w:pPr>
        <w:tabs>
          <w:tab w:val="left" w:pos="8160"/>
        </w:tabs>
        <w:jc w:val="both"/>
        <w:rPr>
          <w:rFonts w:ascii="Palatino Linotype" w:hAnsi="Palatino Linotype"/>
          <w:b/>
          <w:sz w:val="22"/>
          <w:szCs w:val="22"/>
        </w:rPr>
      </w:pPr>
    </w:p>
    <w:p w:rsidR="000F236F" w:rsidRDefault="00CA1F64" w:rsidP="00223C98">
      <w:pPr>
        <w:pStyle w:val="NormalWeb"/>
        <w:numPr>
          <w:ilvl w:val="0"/>
          <w:numId w:val="17"/>
        </w:numPr>
        <w:shd w:val="clear" w:color="auto" w:fill="FFFFFF"/>
        <w:spacing w:before="0" w:beforeAutospacing="0" w:after="0" w:afterAutospacing="0"/>
        <w:textAlignment w:val="baseline"/>
        <w:rPr>
          <w:rFonts w:ascii="Palatino Linotype" w:hAnsi="Palatino Linotype" w:cs="Arial"/>
          <w:b/>
          <w:bCs/>
          <w:sz w:val="22"/>
          <w:szCs w:val="22"/>
          <w:bdr w:val="none" w:sz="0" w:space="0" w:color="auto" w:frame="1"/>
        </w:rPr>
      </w:pPr>
      <w:r>
        <w:rPr>
          <w:rFonts w:ascii="Palatino Linotype" w:hAnsi="Palatino Linotype" w:cs="Arial"/>
          <w:b/>
          <w:bCs/>
          <w:sz w:val="22"/>
          <w:szCs w:val="22"/>
          <w:bdr w:val="none" w:sz="0" w:space="0" w:color="auto" w:frame="1"/>
        </w:rPr>
        <w:t>Policy Developments at US SEC</w:t>
      </w:r>
    </w:p>
    <w:p w:rsidR="00CA1F64" w:rsidRDefault="00CA1F64" w:rsidP="00CA1F64">
      <w:pPr>
        <w:pStyle w:val="NormalWeb"/>
        <w:shd w:val="clear" w:color="auto" w:fill="FFFFFF"/>
        <w:spacing w:before="0" w:beforeAutospacing="0" w:after="0" w:afterAutospacing="0"/>
        <w:textAlignment w:val="baseline"/>
        <w:rPr>
          <w:rFonts w:ascii="Palatino Linotype" w:hAnsi="Palatino Linotype" w:cs="Arial"/>
          <w:b/>
          <w:bCs/>
          <w:sz w:val="22"/>
          <w:szCs w:val="22"/>
          <w:bdr w:val="none" w:sz="0" w:space="0" w:color="auto" w:frame="1"/>
        </w:rPr>
      </w:pPr>
    </w:p>
    <w:p w:rsidR="00CA1F64" w:rsidRPr="005D3A87" w:rsidRDefault="00CA1F64" w:rsidP="00CA1F64">
      <w:pPr>
        <w:jc w:val="both"/>
        <w:rPr>
          <w:rFonts w:ascii="Palatino Linotype" w:hAnsi="Palatino Linotype"/>
          <w:color w:val="000000"/>
          <w:sz w:val="22"/>
          <w:szCs w:val="22"/>
          <w:shd w:val="clear" w:color="auto" w:fill="FFFFFF"/>
        </w:rPr>
      </w:pPr>
      <w:r w:rsidRPr="00672838">
        <w:rPr>
          <w:rFonts w:ascii="Palatino Linotype" w:hAnsi="Palatino Linotype"/>
          <w:color w:val="000000"/>
          <w:sz w:val="22"/>
          <w:szCs w:val="22"/>
          <w:shd w:val="clear" w:color="auto" w:fill="FFFFFF"/>
        </w:rPr>
        <w:t xml:space="preserve">During February 2022, </w:t>
      </w:r>
      <w:r w:rsidR="0026016F" w:rsidRPr="00672838">
        <w:rPr>
          <w:rFonts w:ascii="Palatino Linotype" w:hAnsi="Palatino Linotype"/>
          <w:color w:val="000000"/>
          <w:sz w:val="22"/>
          <w:szCs w:val="22"/>
          <w:shd w:val="clear" w:color="auto" w:fill="FFFFFF"/>
        </w:rPr>
        <w:t>US SEC propose</w:t>
      </w:r>
      <w:r w:rsidRPr="00672838">
        <w:rPr>
          <w:rFonts w:ascii="Palatino Linotype" w:hAnsi="Palatino Linotype"/>
          <w:color w:val="000000"/>
          <w:sz w:val="22"/>
          <w:szCs w:val="22"/>
          <w:shd w:val="clear" w:color="auto" w:fill="FFFFFF"/>
        </w:rPr>
        <w:t xml:space="preserve">d the following policy changes: </w:t>
      </w:r>
    </w:p>
    <w:p w:rsidR="00CA1F64" w:rsidRDefault="00CA1F64" w:rsidP="00223C98">
      <w:pPr>
        <w:numPr>
          <w:ilvl w:val="0"/>
          <w:numId w:val="10"/>
        </w:numPr>
        <w:ind w:left="357" w:hanging="357"/>
        <w:jc w:val="both"/>
        <w:rPr>
          <w:rFonts w:ascii="Palatino Linotype" w:eastAsia="Times New Roman" w:hAnsi="Palatino Linotype"/>
          <w:bCs/>
          <w:sz w:val="22"/>
          <w:szCs w:val="22"/>
          <w:lang w:val="en-US" w:eastAsia="en-GB"/>
        </w:rPr>
      </w:pPr>
      <w:r w:rsidRPr="00CA1F64">
        <w:rPr>
          <w:rFonts w:ascii="Palatino Linotype" w:eastAsia="Times New Roman" w:hAnsi="Palatino Linotype"/>
          <w:bCs/>
          <w:sz w:val="22"/>
          <w:szCs w:val="22"/>
          <w:lang w:val="en-US" w:eastAsia="en-GB"/>
        </w:rPr>
        <w:t>N</w:t>
      </w:r>
      <w:r w:rsidR="0026016F" w:rsidRPr="00CA1F64">
        <w:rPr>
          <w:rFonts w:ascii="Palatino Linotype" w:eastAsia="Times New Roman" w:hAnsi="Palatino Linotype"/>
          <w:bCs/>
          <w:sz w:val="22"/>
          <w:szCs w:val="22"/>
          <w:lang w:val="en-US" w:eastAsia="en-GB"/>
        </w:rPr>
        <w:t>ew rules and amendments to enhance the regulation of private fund advisers and to protect private fund investors</w:t>
      </w:r>
      <w:r w:rsidR="00672838" w:rsidRPr="00CA1F64">
        <w:rPr>
          <w:rFonts w:ascii="Palatino Linotype" w:eastAsia="Times New Roman" w:hAnsi="Palatino Linotype"/>
          <w:bCs/>
          <w:sz w:val="22"/>
          <w:szCs w:val="22"/>
          <w:lang w:val="en-US" w:eastAsia="en-GB"/>
        </w:rPr>
        <w:t>.</w:t>
      </w:r>
      <w:r w:rsidR="0026016F" w:rsidRPr="00CA1F64">
        <w:rPr>
          <w:rFonts w:ascii="Palatino Linotype" w:eastAsia="Times New Roman" w:hAnsi="Palatino Linotype"/>
          <w:bCs/>
          <w:sz w:val="22"/>
          <w:szCs w:val="22"/>
          <w:lang w:val="en-US" w:eastAsia="en-GB"/>
        </w:rPr>
        <w:t xml:space="preserve"> The proposed rules would require registered private fund advisers to provide investors with quarterly statements detailing certain information regarding fund fees, expenses, and performance and create new requirements for private fund advisers related to fund audits, books and records, and adviser-led secondary transactions. It would also prohibit private fund advisers from providing certain types of preferential treatment to investors in their </w:t>
      </w:r>
      <w:r w:rsidR="00046CF8" w:rsidRPr="00CA1F64">
        <w:rPr>
          <w:rFonts w:ascii="Palatino Linotype" w:eastAsia="Times New Roman" w:hAnsi="Palatino Linotype"/>
          <w:bCs/>
          <w:sz w:val="22"/>
          <w:szCs w:val="22"/>
          <w:lang w:val="en-US" w:eastAsia="en-GB"/>
        </w:rPr>
        <w:t>funds;</w:t>
      </w:r>
      <w:r w:rsidR="00672838">
        <w:rPr>
          <w:rFonts w:ascii="Palatino Linotype" w:eastAsia="Times New Roman" w:hAnsi="Palatino Linotype"/>
          <w:bCs/>
          <w:sz w:val="22"/>
          <w:szCs w:val="22"/>
          <w:lang w:val="en-US" w:eastAsia="en-GB"/>
        </w:rPr>
        <w:t xml:space="preserve"> engage</w:t>
      </w:r>
      <w:r w:rsidR="0026016F" w:rsidRPr="00CA1F64">
        <w:rPr>
          <w:rFonts w:ascii="Palatino Linotype" w:eastAsia="Times New Roman" w:hAnsi="Palatino Linotype"/>
          <w:bCs/>
          <w:sz w:val="22"/>
          <w:szCs w:val="22"/>
          <w:lang w:val="en-US" w:eastAsia="en-GB"/>
        </w:rPr>
        <w:t xml:space="preserve"> in several </w:t>
      </w:r>
      <w:r w:rsidR="00672838" w:rsidRPr="00CA1F64">
        <w:rPr>
          <w:rFonts w:ascii="Palatino Linotype" w:eastAsia="Times New Roman" w:hAnsi="Palatino Linotype"/>
          <w:bCs/>
          <w:sz w:val="22"/>
          <w:szCs w:val="22"/>
          <w:lang w:val="en-US" w:eastAsia="en-GB"/>
        </w:rPr>
        <w:t>activities</w:t>
      </w:r>
      <w:r w:rsidR="00672838">
        <w:rPr>
          <w:rFonts w:ascii="Palatino Linotype" w:eastAsia="Times New Roman" w:hAnsi="Palatino Linotype"/>
          <w:bCs/>
          <w:sz w:val="22"/>
          <w:szCs w:val="22"/>
          <w:lang w:val="en-US" w:eastAsia="en-GB"/>
        </w:rPr>
        <w:t>; charge</w:t>
      </w:r>
      <w:r w:rsidR="0026016F" w:rsidRPr="00CA1F64">
        <w:rPr>
          <w:rFonts w:ascii="Palatino Linotype" w:eastAsia="Times New Roman" w:hAnsi="Palatino Linotype"/>
          <w:bCs/>
          <w:sz w:val="22"/>
          <w:szCs w:val="22"/>
          <w:lang w:val="en-US" w:eastAsia="en-GB"/>
        </w:rPr>
        <w:t xml:space="preserve"> certain fees and expenses etc.</w:t>
      </w:r>
    </w:p>
    <w:p w:rsidR="00CA1F64" w:rsidRDefault="00CA1F64" w:rsidP="00223C98">
      <w:pPr>
        <w:numPr>
          <w:ilvl w:val="0"/>
          <w:numId w:val="10"/>
        </w:numPr>
        <w:ind w:left="357" w:hanging="357"/>
        <w:jc w:val="both"/>
        <w:rPr>
          <w:rFonts w:ascii="Palatino Linotype" w:eastAsia="Times New Roman" w:hAnsi="Palatino Linotype"/>
          <w:bCs/>
          <w:sz w:val="22"/>
          <w:szCs w:val="22"/>
          <w:lang w:val="en-US" w:eastAsia="en-GB"/>
        </w:rPr>
      </w:pPr>
      <w:r w:rsidRPr="00CA1F64">
        <w:rPr>
          <w:rFonts w:ascii="Palatino Linotype" w:eastAsia="Times New Roman" w:hAnsi="Palatino Linotype"/>
          <w:bCs/>
          <w:sz w:val="22"/>
          <w:szCs w:val="22"/>
          <w:lang w:val="en-US" w:eastAsia="en-GB"/>
        </w:rPr>
        <w:t>R</w:t>
      </w:r>
      <w:r w:rsidR="0026016F" w:rsidRPr="00CA1F64">
        <w:rPr>
          <w:rFonts w:ascii="Palatino Linotype" w:eastAsia="Times New Roman" w:hAnsi="Palatino Linotype"/>
          <w:bCs/>
          <w:sz w:val="22"/>
          <w:szCs w:val="22"/>
          <w:lang w:val="en-US" w:eastAsia="en-GB"/>
        </w:rPr>
        <w:t xml:space="preserve">ules related to </w:t>
      </w:r>
      <w:r w:rsidRPr="00CA1F64">
        <w:rPr>
          <w:rFonts w:ascii="Palatino Linotype" w:eastAsia="Times New Roman" w:hAnsi="Palatino Linotype"/>
          <w:bCs/>
          <w:sz w:val="22"/>
          <w:szCs w:val="22"/>
          <w:lang w:val="en-US" w:eastAsia="en-GB"/>
        </w:rPr>
        <w:t>cyber security</w:t>
      </w:r>
      <w:r w:rsidR="0026016F" w:rsidRPr="00CA1F64">
        <w:rPr>
          <w:rFonts w:ascii="Palatino Linotype" w:eastAsia="Times New Roman" w:hAnsi="Palatino Linotype"/>
          <w:bCs/>
          <w:sz w:val="22"/>
          <w:szCs w:val="22"/>
          <w:lang w:val="en-US" w:eastAsia="en-GB"/>
        </w:rPr>
        <w:t xml:space="preserve"> risk management for registered investment advisers, and registered investment companies and business development companies (funds), as well as amendments to certain rules that govern investment adviser and fund disclosures. The proposed rules would require advisers and funds to adopt and implement written cybersecurity policies and procedures designed to address cybersecurity risks. It would also require advisers to report significant cybersecurity incidents and disclose cybersecurity risks and significant cybersecurity incidents that occurred in the last two fiscal </w:t>
      </w:r>
      <w:r w:rsidR="00672838" w:rsidRPr="00CA1F64">
        <w:rPr>
          <w:rFonts w:ascii="Palatino Linotype" w:eastAsia="Times New Roman" w:hAnsi="Palatino Linotype"/>
          <w:bCs/>
          <w:sz w:val="22"/>
          <w:szCs w:val="22"/>
          <w:lang w:val="en-US" w:eastAsia="en-GB"/>
        </w:rPr>
        <w:t>years. </w:t>
      </w:r>
    </w:p>
    <w:p w:rsidR="0026016F" w:rsidRPr="00CA1F64" w:rsidRDefault="00672838" w:rsidP="00223C98">
      <w:pPr>
        <w:numPr>
          <w:ilvl w:val="0"/>
          <w:numId w:val="10"/>
        </w:numPr>
        <w:ind w:left="357" w:hanging="357"/>
        <w:jc w:val="both"/>
        <w:rPr>
          <w:rFonts w:ascii="Palatino Linotype" w:eastAsia="Times New Roman" w:hAnsi="Palatino Linotype"/>
          <w:bCs/>
          <w:sz w:val="22"/>
          <w:szCs w:val="22"/>
          <w:lang w:val="en-US" w:eastAsia="en-GB"/>
        </w:rPr>
      </w:pPr>
      <w:r>
        <w:rPr>
          <w:rFonts w:ascii="Palatino Linotype" w:eastAsia="Times New Roman" w:hAnsi="Palatino Linotype"/>
          <w:bCs/>
          <w:sz w:val="22"/>
          <w:szCs w:val="22"/>
          <w:lang w:val="en-US" w:eastAsia="en-GB"/>
        </w:rPr>
        <w:t>R</w:t>
      </w:r>
      <w:r w:rsidR="0026016F" w:rsidRPr="00CA1F64">
        <w:rPr>
          <w:rFonts w:ascii="Palatino Linotype" w:eastAsia="Times New Roman" w:hAnsi="Palatino Linotype"/>
          <w:bCs/>
          <w:sz w:val="22"/>
          <w:szCs w:val="22"/>
          <w:lang w:val="en-US" w:eastAsia="en-GB"/>
        </w:rPr>
        <w:t xml:space="preserve">ule changes to reduce risks in the clearance and settlement of securities, including by shortening the standard settlement cycle for most broker-dealer transactions in securities from </w:t>
      </w:r>
      <w:r>
        <w:rPr>
          <w:rFonts w:ascii="Palatino Linotype" w:eastAsia="Times New Roman" w:hAnsi="Palatino Linotype"/>
          <w:bCs/>
          <w:sz w:val="22"/>
          <w:szCs w:val="22"/>
          <w:lang w:val="en-US" w:eastAsia="en-GB"/>
        </w:rPr>
        <w:t>T+2 to T+1</w:t>
      </w:r>
      <w:r w:rsidR="0026016F" w:rsidRPr="00CA1F64">
        <w:rPr>
          <w:rFonts w:ascii="Palatino Linotype" w:eastAsia="Times New Roman" w:hAnsi="Palatino Linotype"/>
          <w:bCs/>
          <w:sz w:val="22"/>
          <w:szCs w:val="22"/>
          <w:lang w:val="en-US" w:eastAsia="en-GB"/>
        </w:rPr>
        <w:t xml:space="preserve">. </w:t>
      </w:r>
    </w:p>
    <w:p w:rsidR="00CA1F64" w:rsidRPr="00672838" w:rsidRDefault="00CA1F64" w:rsidP="00223C98">
      <w:pPr>
        <w:numPr>
          <w:ilvl w:val="0"/>
          <w:numId w:val="10"/>
        </w:numPr>
        <w:ind w:left="357" w:hanging="357"/>
        <w:jc w:val="both"/>
        <w:rPr>
          <w:rFonts w:ascii="Palatino Linotype" w:eastAsia="Times New Roman" w:hAnsi="Palatino Linotype"/>
          <w:bCs/>
          <w:sz w:val="22"/>
          <w:szCs w:val="22"/>
          <w:lang w:val="en-US" w:eastAsia="en-GB"/>
        </w:rPr>
      </w:pPr>
      <w:r w:rsidRPr="00672838">
        <w:rPr>
          <w:rFonts w:ascii="Palatino Linotype" w:eastAsia="Times New Roman" w:hAnsi="Palatino Linotype"/>
          <w:bCs/>
          <w:sz w:val="22"/>
          <w:szCs w:val="22"/>
          <w:lang w:val="en-US" w:eastAsia="en-GB"/>
        </w:rPr>
        <w:t xml:space="preserve">Rule amendments </w:t>
      </w:r>
      <w:r w:rsidR="00672838">
        <w:rPr>
          <w:rFonts w:ascii="Palatino Linotype" w:eastAsia="Times New Roman" w:hAnsi="Palatino Linotype"/>
          <w:bCs/>
          <w:sz w:val="22"/>
          <w:szCs w:val="22"/>
          <w:lang w:val="en-US" w:eastAsia="en-GB"/>
        </w:rPr>
        <w:t xml:space="preserve">to </w:t>
      </w:r>
      <w:r w:rsidRPr="00672838">
        <w:rPr>
          <w:rFonts w:ascii="Palatino Linotype" w:eastAsia="Times New Roman" w:hAnsi="Palatino Linotype"/>
          <w:bCs/>
          <w:sz w:val="22"/>
          <w:szCs w:val="22"/>
          <w:lang w:val="en-US" w:eastAsia="en-GB"/>
        </w:rPr>
        <w:t>accelerate the filing deadlines for beneficial ownership reports from 10 days to five days.</w:t>
      </w:r>
    </w:p>
    <w:p w:rsidR="00EA32C3" w:rsidRPr="00672838" w:rsidRDefault="00CA1F64" w:rsidP="00223C98">
      <w:pPr>
        <w:numPr>
          <w:ilvl w:val="0"/>
          <w:numId w:val="10"/>
        </w:numPr>
        <w:ind w:left="357" w:hanging="357"/>
        <w:jc w:val="both"/>
        <w:rPr>
          <w:rFonts w:ascii="Palatino Linotype" w:eastAsia="Times New Roman" w:hAnsi="Palatino Linotype"/>
          <w:bCs/>
          <w:sz w:val="22"/>
          <w:szCs w:val="22"/>
          <w:lang w:val="en-US" w:eastAsia="en-GB"/>
        </w:rPr>
      </w:pPr>
      <w:r w:rsidRPr="00672838">
        <w:rPr>
          <w:rFonts w:ascii="Palatino Linotype" w:eastAsia="Times New Roman" w:hAnsi="Palatino Linotype"/>
          <w:bCs/>
          <w:sz w:val="22"/>
          <w:szCs w:val="22"/>
          <w:lang w:val="en-US" w:eastAsia="en-GB"/>
        </w:rPr>
        <w:t xml:space="preserve">Amendments to the rules governing its whistle-blower program. </w:t>
      </w:r>
    </w:p>
    <w:p w:rsidR="00EA32C3" w:rsidRPr="00672838" w:rsidRDefault="00672838" w:rsidP="00223C98">
      <w:pPr>
        <w:numPr>
          <w:ilvl w:val="0"/>
          <w:numId w:val="10"/>
        </w:numPr>
        <w:ind w:left="357" w:hanging="357"/>
        <w:jc w:val="both"/>
        <w:rPr>
          <w:rFonts w:ascii="Palatino Linotype" w:hAnsi="Palatino Linotype"/>
          <w:b/>
          <w:bCs/>
          <w:lang w:val="en-US" w:bidi="hi-IN"/>
        </w:rPr>
      </w:pPr>
      <w:r w:rsidRPr="00672838">
        <w:rPr>
          <w:rFonts w:ascii="Palatino Linotype" w:eastAsia="Times New Roman" w:hAnsi="Palatino Linotype"/>
          <w:bCs/>
          <w:sz w:val="22"/>
          <w:szCs w:val="22"/>
          <w:lang w:val="en-US" w:eastAsia="en-GB"/>
        </w:rPr>
        <w:t>Changes</w:t>
      </w:r>
      <w:r w:rsidR="00CA1F64" w:rsidRPr="00672838">
        <w:rPr>
          <w:rFonts w:ascii="Palatino Linotype" w:eastAsia="Times New Roman" w:hAnsi="Palatino Linotype"/>
          <w:bCs/>
          <w:sz w:val="22"/>
          <w:szCs w:val="22"/>
          <w:lang w:val="en-US" w:eastAsia="en-GB"/>
        </w:rPr>
        <w:t xml:space="preserve"> that would provide greater transparency to investors and regulators by increasing the public availability of short sale related data. </w:t>
      </w:r>
    </w:p>
    <w:p w:rsidR="00461079" w:rsidRDefault="00461079" w:rsidP="00013BA3">
      <w:pPr>
        <w:jc w:val="both"/>
        <w:rPr>
          <w:rFonts w:ascii="Palatino Linotype" w:hAnsi="Palatino Linotype"/>
          <w:b/>
          <w:bCs/>
          <w:lang w:val="en-US" w:bidi="hi-IN"/>
        </w:rPr>
      </w:pPr>
    </w:p>
    <w:p w:rsidR="00046CF8" w:rsidRPr="00046CF8" w:rsidRDefault="00046CF8" w:rsidP="00223C98">
      <w:pPr>
        <w:pStyle w:val="NormalWeb"/>
        <w:numPr>
          <w:ilvl w:val="0"/>
          <w:numId w:val="17"/>
        </w:numPr>
        <w:shd w:val="clear" w:color="auto" w:fill="FFFFFF"/>
        <w:spacing w:before="0" w:beforeAutospacing="0" w:after="0" w:afterAutospacing="0"/>
        <w:textAlignment w:val="baseline"/>
        <w:rPr>
          <w:rFonts w:ascii="Palatino Linotype" w:hAnsi="Palatino Linotype" w:cs="Arial"/>
          <w:b/>
          <w:bCs/>
          <w:sz w:val="22"/>
          <w:szCs w:val="22"/>
          <w:bdr w:val="none" w:sz="0" w:space="0" w:color="auto" w:frame="1"/>
        </w:rPr>
      </w:pPr>
      <w:r>
        <w:rPr>
          <w:rFonts w:ascii="Palatino Linotype" w:hAnsi="Palatino Linotype" w:cs="Arial"/>
          <w:b/>
          <w:bCs/>
          <w:sz w:val="22"/>
          <w:szCs w:val="22"/>
          <w:bdr w:val="none" w:sz="0" w:space="0" w:color="auto" w:frame="1"/>
        </w:rPr>
        <w:t>Policy Developments at ESMA</w:t>
      </w:r>
    </w:p>
    <w:p w:rsidR="00046CF8" w:rsidRDefault="00046CF8" w:rsidP="00046CF8">
      <w:pPr>
        <w:jc w:val="both"/>
        <w:rPr>
          <w:rFonts w:ascii="Palatino Linotype" w:hAnsi="Palatino Linotype"/>
          <w:color w:val="000000"/>
          <w:sz w:val="22"/>
          <w:szCs w:val="22"/>
          <w:shd w:val="clear" w:color="auto" w:fill="FFFFFF"/>
        </w:rPr>
      </w:pPr>
    </w:p>
    <w:p w:rsidR="00046CF8" w:rsidRPr="00046CF8" w:rsidRDefault="00046CF8" w:rsidP="00046CF8">
      <w:pPr>
        <w:jc w:val="both"/>
        <w:rPr>
          <w:rFonts w:ascii="Palatino Linotype" w:hAnsi="Palatino Linotype"/>
          <w:color w:val="000000"/>
          <w:sz w:val="22"/>
          <w:szCs w:val="22"/>
          <w:shd w:val="clear" w:color="auto" w:fill="FFFFFF"/>
        </w:rPr>
      </w:pPr>
      <w:r w:rsidRPr="00046CF8">
        <w:rPr>
          <w:rFonts w:ascii="Palatino Linotype" w:hAnsi="Palatino Linotype"/>
          <w:color w:val="000000"/>
          <w:sz w:val="22"/>
          <w:szCs w:val="22"/>
          <w:shd w:val="clear" w:color="auto" w:fill="FFFFFF"/>
        </w:rPr>
        <w:t xml:space="preserve">Following </w:t>
      </w:r>
      <w:r>
        <w:rPr>
          <w:rFonts w:ascii="Palatino Linotype" w:hAnsi="Palatino Linotype"/>
          <w:color w:val="000000"/>
          <w:sz w:val="22"/>
          <w:szCs w:val="22"/>
          <w:shd w:val="clear" w:color="auto" w:fill="FFFFFF"/>
        </w:rPr>
        <w:t>were</w:t>
      </w:r>
      <w:r w:rsidRPr="00046CF8">
        <w:rPr>
          <w:rFonts w:ascii="Palatino Linotype" w:hAnsi="Palatino Linotype"/>
          <w:color w:val="000000"/>
          <w:sz w:val="22"/>
          <w:szCs w:val="22"/>
          <w:shd w:val="clear" w:color="auto" w:fill="FFFFFF"/>
        </w:rPr>
        <w:t xml:space="preserve"> the major developments for European Securities Market Authority</w:t>
      </w:r>
      <w:r>
        <w:rPr>
          <w:rFonts w:ascii="Palatino Linotype" w:hAnsi="Palatino Linotype"/>
          <w:color w:val="000000"/>
          <w:sz w:val="22"/>
          <w:szCs w:val="22"/>
          <w:shd w:val="clear" w:color="auto" w:fill="FFFFFF"/>
        </w:rPr>
        <w:t xml:space="preserve"> in February 2022</w:t>
      </w:r>
      <w:r w:rsidRPr="00046CF8">
        <w:rPr>
          <w:rFonts w:ascii="Palatino Linotype" w:hAnsi="Palatino Linotype"/>
          <w:color w:val="000000"/>
          <w:sz w:val="22"/>
          <w:szCs w:val="22"/>
          <w:shd w:val="clear" w:color="auto" w:fill="FFFFFF"/>
        </w:rPr>
        <w:t xml:space="preserve">: </w:t>
      </w:r>
    </w:p>
    <w:p w:rsidR="00046CF8" w:rsidRDefault="00046CF8" w:rsidP="00223C98">
      <w:pPr>
        <w:numPr>
          <w:ilvl w:val="0"/>
          <w:numId w:val="10"/>
        </w:numPr>
        <w:ind w:left="357" w:hanging="357"/>
        <w:jc w:val="both"/>
        <w:rPr>
          <w:rFonts w:ascii="Palatino Linotype" w:eastAsia="Times New Roman" w:hAnsi="Palatino Linotype"/>
          <w:bCs/>
          <w:sz w:val="22"/>
          <w:szCs w:val="22"/>
          <w:lang w:val="en-US" w:eastAsia="en-GB"/>
        </w:rPr>
      </w:pPr>
      <w:r w:rsidRPr="00046CF8">
        <w:rPr>
          <w:rFonts w:ascii="Palatino Linotype" w:eastAsia="Times New Roman" w:hAnsi="Palatino Linotype"/>
          <w:bCs/>
          <w:sz w:val="22"/>
          <w:szCs w:val="22"/>
          <w:lang w:val="en-US" w:eastAsia="en-GB"/>
        </w:rPr>
        <w:t>Published</w:t>
      </w:r>
      <w:r w:rsidR="007E273D" w:rsidRPr="00046CF8">
        <w:rPr>
          <w:rFonts w:ascii="Palatino Linotype" w:eastAsia="Times New Roman" w:hAnsi="Palatino Linotype"/>
          <w:bCs/>
          <w:sz w:val="22"/>
          <w:szCs w:val="22"/>
          <w:lang w:val="en-US" w:eastAsia="en-GB"/>
        </w:rPr>
        <w:t> </w:t>
      </w:r>
      <w:hyperlink r:id="rId36" w:history="1">
        <w:r w:rsidR="005D3A87" w:rsidRPr="00046CF8">
          <w:rPr>
            <w:rFonts w:ascii="Palatino Linotype" w:eastAsia="Times New Roman" w:hAnsi="Palatino Linotype"/>
            <w:bCs/>
            <w:sz w:val="22"/>
            <w:szCs w:val="22"/>
            <w:lang w:val="en-US" w:eastAsia="en-GB"/>
          </w:rPr>
          <w:t xml:space="preserve">sustainable finance roadmap </w:t>
        </w:r>
        <w:r w:rsidR="005D3A87">
          <w:rPr>
            <w:rFonts w:ascii="Palatino Linotype" w:eastAsia="Times New Roman" w:hAnsi="Palatino Linotype"/>
            <w:bCs/>
            <w:sz w:val="22"/>
            <w:szCs w:val="22"/>
            <w:lang w:val="en-US" w:eastAsia="en-GB"/>
          </w:rPr>
          <w:t>(</w:t>
        </w:r>
        <w:r w:rsidR="007E273D" w:rsidRPr="00046CF8">
          <w:rPr>
            <w:rFonts w:ascii="Palatino Linotype" w:eastAsia="Times New Roman" w:hAnsi="Palatino Linotype"/>
            <w:bCs/>
            <w:sz w:val="22"/>
            <w:szCs w:val="22"/>
            <w:lang w:val="en-US" w:eastAsia="en-GB"/>
          </w:rPr>
          <w:t>2022-2024</w:t>
        </w:r>
      </w:hyperlink>
      <w:r w:rsidR="005D3A87">
        <w:rPr>
          <w:rFonts w:ascii="Palatino Linotype" w:eastAsia="Times New Roman" w:hAnsi="Palatino Linotype"/>
          <w:bCs/>
          <w:sz w:val="22"/>
          <w:szCs w:val="22"/>
          <w:lang w:val="en-US" w:eastAsia="en-GB"/>
        </w:rPr>
        <w:t>)</w:t>
      </w:r>
      <w:r w:rsidR="007E273D" w:rsidRPr="00046CF8">
        <w:rPr>
          <w:rFonts w:ascii="Palatino Linotype" w:eastAsia="Times New Roman" w:hAnsi="Palatino Linotype"/>
          <w:bCs/>
          <w:sz w:val="22"/>
          <w:szCs w:val="22"/>
          <w:lang w:val="en-US" w:eastAsia="en-GB"/>
        </w:rPr>
        <w:t xml:space="preserve"> . </w:t>
      </w:r>
      <w:r w:rsidRPr="00046CF8">
        <w:rPr>
          <w:rFonts w:ascii="Palatino Linotype" w:eastAsia="Times New Roman" w:hAnsi="Palatino Linotype"/>
          <w:bCs/>
          <w:sz w:val="22"/>
          <w:szCs w:val="22"/>
          <w:lang w:val="en-US" w:eastAsia="en-GB"/>
        </w:rPr>
        <w:t>The</w:t>
      </w:r>
      <w:r w:rsidR="007E273D" w:rsidRPr="00046CF8">
        <w:rPr>
          <w:rFonts w:ascii="Palatino Linotype" w:eastAsia="Times New Roman" w:hAnsi="Palatino Linotype"/>
          <w:bCs/>
          <w:sz w:val="22"/>
          <w:szCs w:val="22"/>
          <w:lang w:val="en-US" w:eastAsia="en-GB"/>
        </w:rPr>
        <w:t xml:space="preserve"> </w:t>
      </w:r>
      <w:r w:rsidR="005D3A87">
        <w:rPr>
          <w:rFonts w:ascii="Palatino Linotype" w:eastAsia="Times New Roman" w:hAnsi="Palatino Linotype"/>
          <w:bCs/>
          <w:sz w:val="22"/>
          <w:szCs w:val="22"/>
          <w:lang w:val="en-US" w:eastAsia="en-GB"/>
        </w:rPr>
        <w:t>r</w:t>
      </w:r>
      <w:r w:rsidR="007E273D" w:rsidRPr="00046CF8">
        <w:rPr>
          <w:rFonts w:ascii="Palatino Linotype" w:eastAsia="Times New Roman" w:hAnsi="Palatino Linotype"/>
          <w:bCs/>
          <w:sz w:val="22"/>
          <w:szCs w:val="22"/>
          <w:lang w:val="en-US" w:eastAsia="en-GB"/>
        </w:rPr>
        <w:t>oadmap sets out ESMA’s deliverables on sustainable finance and how they will be implemented over the next three years.  ESMA identifies three priorities for its sustainable finance work:</w:t>
      </w:r>
      <w:r>
        <w:rPr>
          <w:rFonts w:ascii="Palatino Linotype" w:eastAsia="Times New Roman" w:hAnsi="Palatino Linotype"/>
          <w:bCs/>
          <w:sz w:val="22"/>
          <w:szCs w:val="22"/>
          <w:lang w:val="en-US" w:eastAsia="en-GB"/>
        </w:rPr>
        <w:t xml:space="preserve"> </w:t>
      </w:r>
      <w:r w:rsidRPr="00046CF8">
        <w:rPr>
          <w:rFonts w:ascii="Palatino Linotype" w:eastAsia="Times New Roman" w:hAnsi="Palatino Linotype"/>
          <w:bCs/>
          <w:sz w:val="22"/>
          <w:szCs w:val="22"/>
          <w:lang w:val="en-US" w:eastAsia="en-GB"/>
        </w:rPr>
        <w:t xml:space="preserve">tackling </w:t>
      </w:r>
      <w:r w:rsidR="005D3A87" w:rsidRPr="00046CF8">
        <w:rPr>
          <w:rFonts w:ascii="Palatino Linotype" w:eastAsia="Times New Roman" w:hAnsi="Palatino Linotype"/>
          <w:bCs/>
          <w:sz w:val="22"/>
          <w:szCs w:val="22"/>
          <w:lang w:val="en-US" w:eastAsia="en-GB"/>
        </w:rPr>
        <w:t>green washing</w:t>
      </w:r>
      <w:r w:rsidRPr="00046CF8">
        <w:rPr>
          <w:rFonts w:ascii="Palatino Linotype" w:eastAsia="Times New Roman" w:hAnsi="Palatino Linotype"/>
          <w:bCs/>
          <w:sz w:val="22"/>
          <w:szCs w:val="22"/>
          <w:lang w:val="en-US" w:eastAsia="en-GB"/>
        </w:rPr>
        <w:t xml:space="preserve"> and promoting transparency;</w:t>
      </w:r>
      <w:r>
        <w:rPr>
          <w:rFonts w:ascii="Palatino Linotype" w:eastAsia="Times New Roman" w:hAnsi="Palatino Linotype"/>
          <w:bCs/>
          <w:sz w:val="22"/>
          <w:szCs w:val="22"/>
          <w:lang w:val="en-US" w:eastAsia="en-GB"/>
        </w:rPr>
        <w:t xml:space="preserve"> </w:t>
      </w:r>
      <w:r w:rsidRPr="00046CF8">
        <w:rPr>
          <w:rFonts w:ascii="Palatino Linotype" w:eastAsia="Times New Roman" w:hAnsi="Palatino Linotype"/>
          <w:bCs/>
          <w:sz w:val="22"/>
          <w:szCs w:val="22"/>
          <w:lang w:val="en-US" w:eastAsia="en-GB"/>
        </w:rPr>
        <w:t>building regulatory capacities in the sustainable finance field; and</w:t>
      </w:r>
      <w:r>
        <w:rPr>
          <w:rFonts w:ascii="Palatino Linotype" w:eastAsia="Times New Roman" w:hAnsi="Palatino Linotype"/>
          <w:bCs/>
          <w:sz w:val="22"/>
          <w:szCs w:val="22"/>
          <w:lang w:val="en-US" w:eastAsia="en-GB"/>
        </w:rPr>
        <w:t xml:space="preserve"> </w:t>
      </w:r>
      <w:r w:rsidRPr="00046CF8">
        <w:rPr>
          <w:rFonts w:ascii="Palatino Linotype" w:eastAsia="Times New Roman" w:hAnsi="Palatino Linotype"/>
          <w:bCs/>
          <w:sz w:val="22"/>
          <w:szCs w:val="22"/>
          <w:lang w:val="en-US" w:eastAsia="en-GB"/>
        </w:rPr>
        <w:t>monitoring, assessing and analysing ESG markets and risks.</w:t>
      </w:r>
    </w:p>
    <w:p w:rsidR="00046CF8" w:rsidRPr="005D3A87" w:rsidRDefault="00046CF8" w:rsidP="00223C98">
      <w:pPr>
        <w:numPr>
          <w:ilvl w:val="0"/>
          <w:numId w:val="10"/>
        </w:numPr>
        <w:ind w:left="357" w:hanging="357"/>
        <w:jc w:val="both"/>
        <w:rPr>
          <w:rFonts w:ascii="Palatino Linotype" w:eastAsia="Times New Roman" w:hAnsi="Palatino Linotype"/>
          <w:bCs/>
          <w:sz w:val="22"/>
          <w:szCs w:val="22"/>
          <w:lang w:val="en-US" w:eastAsia="en-GB"/>
        </w:rPr>
      </w:pPr>
      <w:r>
        <w:rPr>
          <w:rFonts w:ascii="Palatino Linotype" w:eastAsia="Times New Roman" w:hAnsi="Palatino Linotype"/>
          <w:bCs/>
          <w:sz w:val="22"/>
          <w:szCs w:val="22"/>
          <w:lang w:val="en-US" w:eastAsia="en-GB"/>
        </w:rPr>
        <w:t>P</w:t>
      </w:r>
      <w:r w:rsidR="007E273D" w:rsidRPr="00046CF8">
        <w:rPr>
          <w:rFonts w:ascii="Palatino Linotype" w:eastAsia="Times New Roman" w:hAnsi="Palatino Linotype"/>
          <w:bCs/>
          <w:sz w:val="22"/>
          <w:szCs w:val="22"/>
          <w:lang w:val="en-US" w:eastAsia="en-GB"/>
        </w:rPr>
        <w:t>roposed reforms to the regulatory framework f</w:t>
      </w:r>
      <w:r w:rsidRPr="00046CF8">
        <w:rPr>
          <w:rFonts w:ascii="Palatino Linotype" w:eastAsia="Times New Roman" w:hAnsi="Palatino Linotype"/>
          <w:bCs/>
          <w:sz w:val="22"/>
          <w:szCs w:val="22"/>
          <w:lang w:val="en-US" w:eastAsia="en-GB"/>
        </w:rPr>
        <w:t xml:space="preserve">or EU Money Market Funds (MMFs) to </w:t>
      </w:r>
      <w:r w:rsidR="007E273D" w:rsidRPr="00046CF8">
        <w:rPr>
          <w:rFonts w:ascii="Palatino Linotype" w:eastAsia="Times New Roman" w:hAnsi="Palatino Linotype"/>
          <w:bCs/>
          <w:sz w:val="22"/>
          <w:szCs w:val="22"/>
          <w:lang w:val="en-US" w:eastAsia="en-GB"/>
        </w:rPr>
        <w:t>improve the resilience of MMFs by addressing in particular liquidity issues and the threshold effect</w:t>
      </w:r>
      <w:r w:rsidRPr="00046CF8">
        <w:rPr>
          <w:rFonts w:ascii="Palatino Linotype" w:eastAsia="Times New Roman" w:hAnsi="Palatino Linotype"/>
          <w:bCs/>
          <w:sz w:val="22"/>
          <w:szCs w:val="22"/>
          <w:lang w:val="en-US" w:eastAsia="en-GB"/>
        </w:rPr>
        <w:t xml:space="preserve">s for constant net asset value </w:t>
      </w:r>
      <w:r w:rsidR="007E273D" w:rsidRPr="00046CF8">
        <w:rPr>
          <w:rFonts w:ascii="Palatino Linotype" w:eastAsia="Times New Roman" w:hAnsi="Palatino Linotype"/>
          <w:bCs/>
          <w:sz w:val="22"/>
          <w:szCs w:val="22"/>
          <w:lang w:val="en-US" w:eastAsia="en-GB"/>
        </w:rPr>
        <w:t>MMFs.</w:t>
      </w:r>
    </w:p>
    <w:p w:rsidR="00046CF8" w:rsidRDefault="00046CF8" w:rsidP="00046CF8">
      <w:pPr>
        <w:pStyle w:val="NormalWeb"/>
        <w:shd w:val="clear" w:color="auto" w:fill="FFFFFF"/>
        <w:spacing w:before="0" w:beforeAutospacing="0" w:after="0" w:afterAutospacing="0"/>
        <w:textAlignment w:val="baseline"/>
        <w:rPr>
          <w:rFonts w:ascii="Palatino Linotype" w:hAnsi="Palatino Linotype" w:cs="Arial"/>
          <w:b/>
          <w:bCs/>
          <w:sz w:val="22"/>
          <w:szCs w:val="22"/>
          <w:bdr w:val="none" w:sz="0" w:space="0" w:color="auto" w:frame="1"/>
        </w:rPr>
      </w:pPr>
    </w:p>
    <w:p w:rsidR="00672838" w:rsidRPr="00046CF8" w:rsidRDefault="00672838" w:rsidP="00223C98">
      <w:pPr>
        <w:pStyle w:val="NormalWeb"/>
        <w:numPr>
          <w:ilvl w:val="0"/>
          <w:numId w:val="17"/>
        </w:numPr>
        <w:shd w:val="clear" w:color="auto" w:fill="FFFFFF"/>
        <w:spacing w:before="0" w:beforeAutospacing="0" w:after="0" w:afterAutospacing="0"/>
        <w:textAlignment w:val="baseline"/>
        <w:rPr>
          <w:rFonts w:ascii="Palatino Linotype" w:hAnsi="Palatino Linotype" w:cs="Arial"/>
          <w:b/>
          <w:bCs/>
          <w:sz w:val="22"/>
          <w:szCs w:val="22"/>
          <w:bdr w:val="none" w:sz="0" w:space="0" w:color="auto" w:frame="1"/>
        </w:rPr>
      </w:pPr>
      <w:r w:rsidRPr="00046CF8">
        <w:rPr>
          <w:rFonts w:ascii="Palatino Linotype" w:hAnsi="Palatino Linotype" w:cs="Arial"/>
          <w:b/>
          <w:bCs/>
          <w:sz w:val="22"/>
          <w:szCs w:val="22"/>
          <w:bdr w:val="none" w:sz="0" w:space="0" w:color="auto" w:frame="1"/>
        </w:rPr>
        <w:t>Policy Developments at MAS, Singapore</w:t>
      </w:r>
    </w:p>
    <w:p w:rsidR="00461079" w:rsidRDefault="00461079" w:rsidP="00013BA3">
      <w:pPr>
        <w:jc w:val="both"/>
        <w:rPr>
          <w:rFonts w:ascii="Palatino Linotype" w:hAnsi="Palatino Linotype"/>
          <w:b/>
          <w:bCs/>
          <w:lang w:val="en-US" w:bidi="hi-IN"/>
        </w:rPr>
      </w:pPr>
    </w:p>
    <w:p w:rsidR="00461079" w:rsidRPr="005D3A87" w:rsidRDefault="005D3A87" w:rsidP="00223C98">
      <w:pPr>
        <w:numPr>
          <w:ilvl w:val="0"/>
          <w:numId w:val="10"/>
        </w:numPr>
        <w:ind w:left="357" w:hanging="357"/>
        <w:jc w:val="both"/>
        <w:rPr>
          <w:rFonts w:ascii="Palatino Linotype" w:eastAsia="Times New Roman" w:hAnsi="Palatino Linotype"/>
          <w:bCs/>
          <w:sz w:val="22"/>
          <w:szCs w:val="22"/>
          <w:lang w:val="en-US" w:eastAsia="en-GB"/>
        </w:rPr>
      </w:pPr>
      <w:r>
        <w:rPr>
          <w:rFonts w:ascii="Palatino Linotype" w:eastAsia="Times New Roman" w:hAnsi="Palatino Linotype"/>
          <w:bCs/>
          <w:sz w:val="22"/>
          <w:szCs w:val="22"/>
          <w:lang w:val="en-US" w:eastAsia="en-GB"/>
        </w:rPr>
        <w:t>Monetary Authority of Singapore (</w:t>
      </w:r>
      <w:r w:rsidR="00672838" w:rsidRPr="00046CF8">
        <w:rPr>
          <w:rFonts w:ascii="Palatino Linotype" w:eastAsia="Times New Roman" w:hAnsi="Palatino Linotype"/>
          <w:bCs/>
          <w:sz w:val="22"/>
          <w:szCs w:val="22"/>
          <w:lang w:val="en-US" w:eastAsia="en-GB"/>
        </w:rPr>
        <w:t>MAS</w:t>
      </w:r>
      <w:r>
        <w:rPr>
          <w:rFonts w:ascii="Palatino Linotype" w:eastAsia="Times New Roman" w:hAnsi="Palatino Linotype"/>
          <w:bCs/>
          <w:sz w:val="22"/>
          <w:szCs w:val="22"/>
          <w:lang w:val="en-US" w:eastAsia="en-GB"/>
        </w:rPr>
        <w:t>)</w:t>
      </w:r>
      <w:r w:rsidR="00672838" w:rsidRPr="00046CF8">
        <w:rPr>
          <w:rFonts w:ascii="Palatino Linotype" w:eastAsia="Times New Roman" w:hAnsi="Palatino Linotype"/>
          <w:bCs/>
          <w:sz w:val="22"/>
          <w:szCs w:val="22"/>
          <w:lang w:val="en-US" w:eastAsia="en-GB"/>
        </w:rPr>
        <w:t xml:space="preserve"> released five white papers detailing assessment methodologies for the Fairness, Ethics, Accountability and Transparency (FEAT) principles, to guide the responsible use of AI by financial institutions (FIs). </w:t>
      </w:r>
    </w:p>
    <w:p w:rsidR="00046CF8" w:rsidRPr="00046CF8" w:rsidRDefault="00672838" w:rsidP="00223C98">
      <w:pPr>
        <w:numPr>
          <w:ilvl w:val="0"/>
          <w:numId w:val="10"/>
        </w:numPr>
        <w:ind w:left="357" w:hanging="357"/>
        <w:jc w:val="both"/>
        <w:rPr>
          <w:rFonts w:ascii="Palatino Linotype" w:eastAsia="Times New Roman" w:hAnsi="Palatino Linotype"/>
          <w:bCs/>
          <w:sz w:val="22"/>
          <w:szCs w:val="22"/>
          <w:lang w:val="en-US" w:eastAsia="en-GB"/>
        </w:rPr>
      </w:pPr>
      <w:r w:rsidRPr="00046CF8">
        <w:rPr>
          <w:rFonts w:ascii="Palatino Linotype" w:eastAsia="Times New Roman" w:hAnsi="Palatino Linotype"/>
          <w:bCs/>
          <w:sz w:val="22"/>
          <w:szCs w:val="22"/>
          <w:lang w:val="en-US" w:eastAsia="en-GB"/>
        </w:rPr>
        <w:t xml:space="preserve">MAS, has been working since July 2021 on a framework that aims to provide clarity on how losses arising from scams are to be shared among consumers and financial institutions. </w:t>
      </w:r>
      <w:r w:rsidR="00046CF8">
        <w:rPr>
          <w:rFonts w:ascii="Palatino Linotype" w:eastAsia="Times New Roman" w:hAnsi="Palatino Linotype"/>
          <w:bCs/>
          <w:sz w:val="22"/>
          <w:szCs w:val="22"/>
          <w:lang w:val="en-US" w:eastAsia="en-GB"/>
        </w:rPr>
        <w:t xml:space="preserve">The </w:t>
      </w:r>
      <w:r w:rsidRPr="00046CF8">
        <w:rPr>
          <w:rFonts w:ascii="Palatino Linotype" w:eastAsia="Times New Roman" w:hAnsi="Palatino Linotype"/>
          <w:bCs/>
          <w:sz w:val="22"/>
          <w:szCs w:val="22"/>
          <w:lang w:val="en-US" w:eastAsia="en-GB"/>
        </w:rPr>
        <w:t xml:space="preserve">proportion of </w:t>
      </w:r>
      <w:r w:rsidRPr="00046CF8">
        <w:rPr>
          <w:rFonts w:ascii="Palatino Linotype" w:eastAsia="Times New Roman" w:hAnsi="Palatino Linotype"/>
          <w:bCs/>
          <w:sz w:val="22"/>
          <w:szCs w:val="22"/>
          <w:lang w:val="en-US" w:eastAsia="en-GB"/>
        </w:rPr>
        <w:lastRenderedPageBreak/>
        <w:t>losses each party bears will depend on whether and how the party has fallen short of its responsibilities. MAS expects financial institutions to treat their customers fairly and bear an appropriate proportion of losses arising from scams.  At the same time, care must be taken to ensure that compensation paid to customers does not weaken their incentive for all to be vigilant. </w:t>
      </w:r>
    </w:p>
    <w:p w:rsidR="00461079" w:rsidRDefault="00461079" w:rsidP="00013BA3">
      <w:pPr>
        <w:jc w:val="both"/>
        <w:rPr>
          <w:rFonts w:ascii="Palatino Linotype" w:hAnsi="Palatino Linotype"/>
          <w:b/>
          <w:bCs/>
          <w:lang w:val="en-US" w:bidi="hi-IN"/>
        </w:rPr>
      </w:pPr>
    </w:p>
    <w:p w:rsidR="00461079" w:rsidRPr="00046CF8" w:rsidRDefault="00046CF8" w:rsidP="00223C98">
      <w:pPr>
        <w:pStyle w:val="NormalWeb"/>
        <w:numPr>
          <w:ilvl w:val="0"/>
          <w:numId w:val="17"/>
        </w:numPr>
        <w:shd w:val="clear" w:color="auto" w:fill="FFFFFF"/>
        <w:spacing w:before="0" w:beforeAutospacing="0" w:after="0" w:afterAutospacing="0"/>
        <w:textAlignment w:val="baseline"/>
        <w:rPr>
          <w:rFonts w:ascii="Palatino Linotype" w:hAnsi="Palatino Linotype" w:cs="Arial"/>
          <w:b/>
          <w:bCs/>
          <w:sz w:val="22"/>
          <w:szCs w:val="22"/>
          <w:bdr w:val="none" w:sz="0" w:space="0" w:color="auto" w:frame="1"/>
        </w:rPr>
      </w:pPr>
      <w:r w:rsidRPr="00046CF8">
        <w:rPr>
          <w:rFonts w:ascii="Palatino Linotype" w:hAnsi="Palatino Linotype" w:cs="Arial"/>
          <w:b/>
          <w:bCs/>
          <w:sz w:val="22"/>
          <w:szCs w:val="22"/>
          <w:bdr w:val="none" w:sz="0" w:space="0" w:color="auto" w:frame="1"/>
        </w:rPr>
        <w:t>FSB updates</w:t>
      </w:r>
    </w:p>
    <w:p w:rsidR="00461079" w:rsidRDefault="00461079" w:rsidP="00013BA3">
      <w:pPr>
        <w:jc w:val="both"/>
        <w:rPr>
          <w:rFonts w:ascii="Palatino Linotype" w:hAnsi="Palatino Linotype"/>
          <w:b/>
          <w:bCs/>
          <w:lang w:val="en-US" w:bidi="hi-IN"/>
        </w:rPr>
      </w:pPr>
    </w:p>
    <w:p w:rsidR="00046CF8" w:rsidRDefault="00672838" w:rsidP="00223C98">
      <w:pPr>
        <w:numPr>
          <w:ilvl w:val="0"/>
          <w:numId w:val="10"/>
        </w:numPr>
        <w:ind w:left="357" w:hanging="357"/>
        <w:jc w:val="both"/>
        <w:rPr>
          <w:rFonts w:ascii="Palatino Linotype" w:eastAsia="Times New Roman" w:hAnsi="Palatino Linotype"/>
          <w:bCs/>
          <w:sz w:val="22"/>
          <w:szCs w:val="22"/>
          <w:lang w:val="en-US" w:eastAsia="en-GB"/>
        </w:rPr>
      </w:pPr>
      <w:r w:rsidRPr="00046CF8">
        <w:rPr>
          <w:rFonts w:ascii="Palatino Linotype" w:eastAsia="Times New Roman" w:hAnsi="Palatino Linotype"/>
          <w:bCs/>
          <w:sz w:val="22"/>
          <w:szCs w:val="22"/>
          <w:lang w:val="en-US" w:eastAsia="en-GB"/>
        </w:rPr>
        <w:t>Fin</w:t>
      </w:r>
      <w:r w:rsidR="00046CF8">
        <w:rPr>
          <w:rFonts w:ascii="Palatino Linotype" w:eastAsia="Times New Roman" w:hAnsi="Palatino Linotype"/>
          <w:bCs/>
          <w:sz w:val="22"/>
          <w:szCs w:val="22"/>
          <w:lang w:val="en-US" w:eastAsia="en-GB"/>
        </w:rPr>
        <w:t>ancial Stability Board</w:t>
      </w:r>
      <w:r w:rsidR="005D3A87">
        <w:rPr>
          <w:rFonts w:ascii="Palatino Linotype" w:eastAsia="Times New Roman" w:hAnsi="Palatino Linotype"/>
          <w:bCs/>
          <w:sz w:val="22"/>
          <w:szCs w:val="22"/>
          <w:lang w:val="en-US" w:eastAsia="en-GB"/>
        </w:rPr>
        <w:t xml:space="preserve"> (FSB) </w:t>
      </w:r>
      <w:r w:rsidR="00046CF8">
        <w:rPr>
          <w:rFonts w:ascii="Palatino Linotype" w:eastAsia="Times New Roman" w:hAnsi="Palatino Linotype"/>
          <w:bCs/>
          <w:sz w:val="22"/>
          <w:szCs w:val="22"/>
          <w:lang w:val="en-US" w:eastAsia="en-GB"/>
        </w:rPr>
        <w:t xml:space="preserve"> published its </w:t>
      </w:r>
      <w:hyperlink r:id="rId37" w:history="1">
        <w:r w:rsidRPr="00046CF8">
          <w:rPr>
            <w:rFonts w:ascii="Palatino Linotype" w:eastAsia="Times New Roman" w:hAnsi="Palatino Linotype"/>
            <w:bCs/>
            <w:sz w:val="22"/>
            <w:szCs w:val="22"/>
            <w:lang w:val="en-US" w:eastAsia="en-GB"/>
          </w:rPr>
          <w:t>updated assessment of risks to financial stability from crypto-assets</w:t>
        </w:r>
      </w:hyperlink>
      <w:r w:rsidRPr="00046CF8">
        <w:rPr>
          <w:rFonts w:ascii="Palatino Linotype" w:eastAsia="Times New Roman" w:hAnsi="Palatino Linotype"/>
          <w:bCs/>
          <w:sz w:val="22"/>
          <w:szCs w:val="22"/>
          <w:lang w:val="en-US" w:eastAsia="en-GB"/>
        </w:rPr>
        <w:t>.</w:t>
      </w:r>
      <w:r w:rsidR="00046CF8">
        <w:rPr>
          <w:rFonts w:ascii="Palatino Linotype" w:eastAsia="Times New Roman" w:hAnsi="Palatino Linotype"/>
          <w:bCs/>
          <w:sz w:val="22"/>
          <w:szCs w:val="22"/>
          <w:lang w:val="en-US" w:eastAsia="en-GB"/>
        </w:rPr>
        <w:t xml:space="preserve"> </w:t>
      </w:r>
      <w:r w:rsidRPr="00046CF8">
        <w:rPr>
          <w:rFonts w:ascii="Palatino Linotype" w:eastAsia="Times New Roman" w:hAnsi="Palatino Linotype"/>
          <w:bCs/>
          <w:sz w:val="22"/>
          <w:szCs w:val="22"/>
          <w:lang w:val="en-US" w:eastAsia="en-GB"/>
        </w:rPr>
        <w:t>The report examines developments and associated vulnerabilities relating to three segments of crypto-asset markets: unbacked crypto-assets (such as Bitcoin); stablecoins; and decentralised finance (DeFi) and crypto-asset trading platform</w:t>
      </w:r>
    </w:p>
    <w:p w:rsidR="00C4512E" w:rsidRPr="00046CF8" w:rsidRDefault="00046CF8" w:rsidP="00223C98">
      <w:pPr>
        <w:numPr>
          <w:ilvl w:val="0"/>
          <w:numId w:val="10"/>
        </w:numPr>
        <w:ind w:left="357" w:hanging="357"/>
        <w:jc w:val="both"/>
        <w:rPr>
          <w:rFonts w:ascii="Palatino Linotype" w:eastAsia="Times New Roman" w:hAnsi="Palatino Linotype"/>
          <w:bCs/>
          <w:sz w:val="22"/>
          <w:szCs w:val="22"/>
          <w:lang w:val="en-US" w:eastAsia="en-GB"/>
        </w:rPr>
      </w:pPr>
      <w:r>
        <w:rPr>
          <w:rFonts w:ascii="Palatino Linotype" w:eastAsia="Times New Roman" w:hAnsi="Palatino Linotype"/>
          <w:bCs/>
          <w:sz w:val="22"/>
          <w:szCs w:val="22"/>
          <w:lang w:val="en-US" w:eastAsia="en-GB"/>
        </w:rPr>
        <w:t xml:space="preserve">Also </w:t>
      </w:r>
      <w:r w:rsidR="00672838" w:rsidRPr="00046CF8">
        <w:rPr>
          <w:rFonts w:ascii="Palatino Linotype" w:eastAsia="Times New Roman" w:hAnsi="Palatino Linotype"/>
          <w:bCs/>
          <w:sz w:val="22"/>
          <w:szCs w:val="22"/>
          <w:lang w:val="en-US" w:eastAsia="en-GB"/>
        </w:rPr>
        <w:t>published a </w:t>
      </w:r>
      <w:hyperlink r:id="rId38" w:history="1">
        <w:r w:rsidR="00672838" w:rsidRPr="00046CF8">
          <w:rPr>
            <w:rFonts w:ascii="Palatino Linotype" w:eastAsia="Times New Roman" w:hAnsi="Palatino Linotype"/>
            <w:bCs/>
            <w:sz w:val="22"/>
            <w:szCs w:val="22"/>
            <w:lang w:val="en-US" w:eastAsia="en-GB"/>
          </w:rPr>
          <w:t>discussion paper on debt overhang issues of non-financial corporates in the context of the COVID-19 pandemic</w:t>
        </w:r>
      </w:hyperlink>
      <w:r w:rsidR="00672838" w:rsidRPr="00046CF8">
        <w:rPr>
          <w:rFonts w:ascii="Palatino Linotype" w:eastAsia="Times New Roman" w:hAnsi="Palatino Linotype"/>
          <w:bCs/>
          <w:sz w:val="22"/>
          <w:szCs w:val="22"/>
          <w:lang w:val="en-US" w:eastAsia="en-GB"/>
        </w:rPr>
        <w:t>.</w:t>
      </w:r>
    </w:p>
    <w:p w:rsidR="00940001" w:rsidRPr="00046CF8" w:rsidRDefault="00940001" w:rsidP="001D1888">
      <w:pPr>
        <w:rPr>
          <w:rFonts w:ascii="Palatino Linotype" w:eastAsia="Times New Roman" w:hAnsi="Palatino Linotype"/>
          <w:bCs/>
          <w:sz w:val="22"/>
          <w:szCs w:val="22"/>
          <w:lang w:val="en-US" w:eastAsia="en-GB"/>
        </w:rPr>
      </w:pPr>
    </w:p>
    <w:p w:rsidR="00940001" w:rsidRDefault="00940001" w:rsidP="001D1888">
      <w:pPr>
        <w:rPr>
          <w:rFonts w:ascii="Palatino Linotype" w:hAnsi="Palatino Linotype" w:cs="Calibri"/>
          <w:b/>
          <w:sz w:val="28"/>
          <w:szCs w:val="28"/>
        </w:rPr>
      </w:pPr>
    </w:p>
    <w:p w:rsidR="00940001" w:rsidRDefault="00940001" w:rsidP="001D1888">
      <w:pPr>
        <w:rPr>
          <w:rFonts w:ascii="Palatino Linotype" w:hAnsi="Palatino Linotype" w:cs="Calibri"/>
          <w:b/>
          <w:sz w:val="28"/>
          <w:szCs w:val="28"/>
        </w:rPr>
      </w:pPr>
    </w:p>
    <w:p w:rsidR="00940001" w:rsidRDefault="00940001" w:rsidP="001D1888">
      <w:pPr>
        <w:rPr>
          <w:rFonts w:ascii="Palatino Linotype" w:hAnsi="Palatino Linotype" w:cs="Calibri"/>
          <w:b/>
          <w:sz w:val="28"/>
          <w:szCs w:val="28"/>
        </w:rPr>
      </w:pPr>
    </w:p>
    <w:p w:rsidR="00940001" w:rsidRDefault="00940001"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046CF8" w:rsidRDefault="00046CF8" w:rsidP="001D1888">
      <w:pPr>
        <w:rPr>
          <w:rFonts w:ascii="Palatino Linotype" w:hAnsi="Palatino Linotype" w:cs="Calibri"/>
          <w:b/>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5D3A87" w:rsidRDefault="005D3A87" w:rsidP="00623B25">
      <w:pPr>
        <w:jc w:val="center"/>
        <w:rPr>
          <w:rFonts w:ascii="Garamond" w:hAnsi="Garamond" w:cs="Calibri"/>
          <w:b/>
          <w:color w:val="1F4E79" w:themeColor="accent1" w:themeShade="80"/>
          <w:sz w:val="28"/>
          <w:szCs w:val="28"/>
        </w:rPr>
      </w:pPr>
    </w:p>
    <w:p w:rsidR="00B5431D" w:rsidRDefault="00272724" w:rsidP="00623B25">
      <w:pPr>
        <w:jc w:val="center"/>
        <w:rPr>
          <w:rFonts w:ascii="Garamond" w:hAnsi="Garamond" w:cs="Calibri"/>
          <w:b/>
          <w:color w:val="1F4E79" w:themeColor="accent1" w:themeShade="80"/>
          <w:sz w:val="28"/>
          <w:szCs w:val="28"/>
        </w:rPr>
      </w:pPr>
      <w:r w:rsidRPr="00C4512E">
        <w:rPr>
          <w:rFonts w:ascii="Garamond" w:hAnsi="Garamond" w:cs="Calibri"/>
          <w:b/>
          <w:color w:val="1F4E79" w:themeColor="accent1" w:themeShade="80"/>
          <w:sz w:val="28"/>
          <w:szCs w:val="28"/>
        </w:rPr>
        <w:lastRenderedPageBreak/>
        <w:t xml:space="preserve">POLICY DEVELOPMENTS </w:t>
      </w:r>
      <w:r w:rsidR="00B522A6" w:rsidRPr="00C4512E">
        <w:rPr>
          <w:rFonts w:ascii="Garamond" w:hAnsi="Garamond" w:cs="Calibri"/>
          <w:b/>
          <w:color w:val="1F4E79" w:themeColor="accent1" w:themeShade="80"/>
          <w:sz w:val="28"/>
          <w:szCs w:val="28"/>
        </w:rPr>
        <w:t>IN INDIAN SECURITIES MARKET</w:t>
      </w:r>
    </w:p>
    <w:p w:rsidR="00260E65" w:rsidRDefault="00260E65" w:rsidP="00623B25">
      <w:pPr>
        <w:jc w:val="center"/>
        <w:rPr>
          <w:rFonts w:ascii="Garamond" w:hAnsi="Garamond" w:cs="Calibri"/>
          <w:b/>
          <w:color w:val="1F4E79" w:themeColor="accent1" w:themeShade="80"/>
          <w:sz w:val="28"/>
          <w:szCs w:val="28"/>
        </w:rPr>
      </w:pPr>
    </w:p>
    <w:p w:rsidR="00623B25" w:rsidRPr="00623B25" w:rsidRDefault="00623B25" w:rsidP="00623B25">
      <w:pPr>
        <w:ind w:left="360"/>
        <w:jc w:val="both"/>
        <w:rPr>
          <w:rFonts w:ascii="Garamond" w:hAnsi="Garamond" w:cs="Calibri"/>
          <w:b/>
          <w:color w:val="1F4E79" w:themeColor="accent1" w:themeShade="80"/>
        </w:rPr>
      </w:pPr>
    </w:p>
    <w:p w:rsidR="00623B25" w:rsidRPr="00623B25" w:rsidRDefault="00623B25" w:rsidP="00223C98">
      <w:pPr>
        <w:pStyle w:val="ListParagraph"/>
        <w:numPr>
          <w:ilvl w:val="3"/>
          <w:numId w:val="11"/>
        </w:numPr>
        <w:spacing w:after="120"/>
        <w:jc w:val="both"/>
        <w:rPr>
          <w:rFonts w:ascii="Garamond" w:hAnsi="Garamond" w:cs="Arial"/>
          <w:b/>
          <w:bCs/>
          <w:iCs/>
        </w:rPr>
      </w:pPr>
      <w:r w:rsidRPr="00623B25">
        <w:rPr>
          <w:rFonts w:ascii="Garamond" w:hAnsi="Garamond" w:cs="Arial"/>
          <w:b/>
          <w:bCs/>
          <w:iCs/>
          <w:sz w:val="24"/>
          <w:szCs w:val="24"/>
        </w:rPr>
        <w:t>Schemes of Arrangement by Listed Entities</w:t>
      </w:r>
    </w:p>
    <w:p w:rsidR="00623B25" w:rsidRPr="00623B25" w:rsidRDefault="00623B25" w:rsidP="00623B25">
      <w:pPr>
        <w:spacing w:after="120"/>
        <w:jc w:val="both"/>
        <w:rPr>
          <w:rFonts w:ascii="Garamond" w:hAnsi="Garamond" w:cs="Arial"/>
          <w:iCs/>
        </w:rPr>
      </w:pPr>
      <w:r w:rsidRPr="00623B25">
        <w:rPr>
          <w:rFonts w:ascii="Garamond" w:hAnsi="Garamond" w:cs="Arial"/>
          <w:iCs/>
        </w:rPr>
        <w:t xml:space="preserve">In respect of the No Objection Certificate (NOC) as required in terms of Circular dated November 16, 2021 and November 18, 2021, Part I Para A 2(k) of the circular* shall read as follows: </w:t>
      </w:r>
    </w:p>
    <w:p w:rsidR="00623B25" w:rsidRPr="00623B25" w:rsidRDefault="00623B25" w:rsidP="00623B25">
      <w:pPr>
        <w:spacing w:after="120"/>
        <w:jc w:val="both"/>
        <w:rPr>
          <w:rFonts w:ascii="Garamond" w:hAnsi="Garamond" w:cs="Arial"/>
          <w:iCs/>
        </w:rPr>
      </w:pPr>
      <w:r w:rsidRPr="00623B25">
        <w:rPr>
          <w:rFonts w:ascii="Garamond" w:hAnsi="Garamond" w:cs="Arial"/>
          <w:iCs/>
        </w:rPr>
        <w:t xml:space="preserve">No  Objection  Certificate  (NOC)  from  the  lending  scheduled  commercial  banks/  financial institutions/ debenture trustees, from not less than 75% of the secured creditors in value. </w:t>
      </w:r>
    </w:p>
    <w:p w:rsidR="00623B25" w:rsidRPr="00623B25" w:rsidRDefault="00623B25" w:rsidP="00623B25">
      <w:pPr>
        <w:spacing w:after="120"/>
        <w:jc w:val="both"/>
        <w:rPr>
          <w:rFonts w:ascii="Garamond" w:hAnsi="Garamond" w:cs="Arial"/>
          <w:iCs/>
        </w:rPr>
      </w:pPr>
      <w:r w:rsidRPr="00623B25">
        <w:rPr>
          <w:rFonts w:ascii="Garamond" w:hAnsi="Garamond" w:cs="Arial"/>
          <w:iCs/>
        </w:rPr>
        <w:t>(*Addendum  to  Part  I  Para  A  2(k)  of  the  Master  Circular  No.  SEBI/HO/CFD/DIL1/CIR/P/2020/249 dated December 22, 2020)</w:t>
      </w:r>
    </w:p>
    <w:p w:rsidR="00623B25" w:rsidRDefault="00623B25" w:rsidP="00623B25">
      <w:pPr>
        <w:spacing w:after="120"/>
        <w:jc w:val="both"/>
        <w:rPr>
          <w:rFonts w:ascii="Garamond" w:hAnsi="Garamond" w:cs="Arial"/>
          <w:i/>
        </w:rPr>
      </w:pPr>
      <w:r w:rsidRPr="00623B25">
        <w:rPr>
          <w:rFonts w:ascii="Garamond" w:hAnsi="Garamond" w:cs="Arial"/>
          <w:i/>
        </w:rPr>
        <w:t>Source: SEBI/HO/CFD/DIL2/CIR/P/2022/11 dated February 01,</w:t>
      </w:r>
      <w:r w:rsidRPr="00623B25">
        <w:rPr>
          <w:rFonts w:ascii="Garamond" w:hAnsi="Garamond" w:cs="Arial"/>
          <w:iCs/>
        </w:rPr>
        <w:t xml:space="preserve"> </w:t>
      </w:r>
      <w:r w:rsidRPr="00623B25">
        <w:rPr>
          <w:rFonts w:ascii="Garamond" w:hAnsi="Garamond" w:cs="Arial"/>
          <w:i/>
        </w:rPr>
        <w:t>2022.</w:t>
      </w:r>
    </w:p>
    <w:p w:rsidR="00623B25" w:rsidRPr="00623B25" w:rsidRDefault="00623B25" w:rsidP="00223C98">
      <w:pPr>
        <w:pStyle w:val="ListParagraph"/>
        <w:numPr>
          <w:ilvl w:val="3"/>
          <w:numId w:val="11"/>
        </w:numPr>
        <w:rPr>
          <w:rFonts w:ascii="Garamond" w:hAnsi="Garamond" w:cs="Arial"/>
          <w:b/>
          <w:bCs/>
          <w:iCs/>
        </w:rPr>
      </w:pPr>
      <w:r w:rsidRPr="00623B25">
        <w:rPr>
          <w:rFonts w:ascii="Garamond" w:hAnsi="Garamond" w:cs="Arial"/>
          <w:b/>
          <w:bCs/>
          <w:iCs/>
          <w:sz w:val="24"/>
          <w:szCs w:val="24"/>
        </w:rPr>
        <w:t>Guidelines on Accounting  with respect  to Indian  Accounting  Standards (IND AS)</w:t>
      </w:r>
    </w:p>
    <w:p w:rsidR="00623B25" w:rsidRPr="00623B25" w:rsidRDefault="00623B25" w:rsidP="00623B25">
      <w:pPr>
        <w:spacing w:after="120"/>
        <w:jc w:val="both"/>
        <w:rPr>
          <w:rFonts w:ascii="Garamond" w:hAnsi="Garamond" w:cs="Arial"/>
          <w:iCs/>
        </w:rPr>
      </w:pPr>
      <w:r w:rsidRPr="00623B25">
        <w:rPr>
          <w:rFonts w:ascii="Garamond" w:hAnsi="Garamond" w:cs="Arial"/>
          <w:iCs/>
        </w:rPr>
        <w:t>New requirements are specified for the AMC’s to prepare the Financial  Statements  and  Accounts  of the Mutual  Fund  Schemes  in accordance  with IND AS with  effect  from April  01,  2023.</w:t>
      </w:r>
    </w:p>
    <w:p w:rsidR="00623B25" w:rsidRPr="00623B25" w:rsidRDefault="00623B25" w:rsidP="00623B25">
      <w:pPr>
        <w:spacing w:after="120"/>
        <w:jc w:val="both"/>
        <w:rPr>
          <w:rFonts w:ascii="Garamond" w:hAnsi="Garamond" w:cs="Arial"/>
          <w:iCs/>
        </w:rPr>
      </w:pPr>
      <w:r w:rsidRPr="00623B25">
        <w:rPr>
          <w:rFonts w:ascii="Garamond" w:hAnsi="Garamond" w:cs="Arial"/>
          <w:iCs/>
        </w:rPr>
        <w:t>In order to align with IND AS requirement regarding transactions cost of investment to be expensed out (viz.to be charged to Revenue Account instead of Capitalisation) and as per the amended Regulations 52(6A)(a) of MF Regulations, the provision of Para C (2) of  SEBI  circular  CIR/IMD/DF/24/2012  dated  November  19,  2012  is  modified.</w:t>
      </w:r>
    </w:p>
    <w:p w:rsidR="00623B25" w:rsidRDefault="00623B25" w:rsidP="00623B25">
      <w:pPr>
        <w:spacing w:after="120"/>
        <w:jc w:val="both"/>
        <w:rPr>
          <w:rFonts w:ascii="Garamond" w:hAnsi="Garamond" w:cs="Arial"/>
          <w:iCs/>
        </w:rPr>
      </w:pPr>
      <w:r w:rsidRPr="00623B25">
        <w:rPr>
          <w:rFonts w:ascii="Garamond" w:hAnsi="Garamond" w:cs="Arial"/>
          <w:i/>
        </w:rPr>
        <w:t>Source: SEBI/HO/IMD-II/DOF8/P/CIR/2022/12 dated February 04, 2022</w:t>
      </w:r>
      <w:r>
        <w:rPr>
          <w:rFonts w:ascii="Garamond" w:hAnsi="Garamond" w:cs="Arial"/>
          <w:iCs/>
        </w:rPr>
        <w:t>.</w:t>
      </w:r>
    </w:p>
    <w:p w:rsidR="00623B25" w:rsidRPr="00D01317" w:rsidRDefault="00D01317" w:rsidP="00223C98">
      <w:pPr>
        <w:pStyle w:val="ListParagraph"/>
        <w:numPr>
          <w:ilvl w:val="3"/>
          <w:numId w:val="11"/>
        </w:numPr>
        <w:spacing w:after="120"/>
        <w:jc w:val="both"/>
        <w:rPr>
          <w:rFonts w:ascii="Garamond" w:hAnsi="Garamond" w:cs="Arial"/>
          <w:b/>
          <w:bCs/>
          <w:iCs/>
        </w:rPr>
      </w:pPr>
      <w:r w:rsidRPr="00D01317">
        <w:rPr>
          <w:rFonts w:ascii="Garamond" w:hAnsi="Garamond" w:cs="Arial"/>
          <w:b/>
          <w:bCs/>
          <w:iCs/>
          <w:sz w:val="24"/>
          <w:szCs w:val="24"/>
        </w:rPr>
        <w:t xml:space="preserve">Disclosures in the abridged prospectus and front cover page of the offer document     </w:t>
      </w:r>
    </w:p>
    <w:p w:rsidR="00D01317" w:rsidRDefault="00D01317" w:rsidP="00D01317">
      <w:pPr>
        <w:rPr>
          <w:rFonts w:ascii="Garamond" w:hAnsi="Garamond"/>
          <w:lang w:val="en-US"/>
        </w:rPr>
      </w:pPr>
      <w:r>
        <w:rPr>
          <w:rFonts w:ascii="Garamond" w:hAnsi="Garamond"/>
          <w:lang w:val="en-US"/>
        </w:rPr>
        <w:t>I</w:t>
      </w:r>
      <w:r w:rsidRPr="008F1BF2">
        <w:rPr>
          <w:rFonts w:ascii="Garamond" w:hAnsi="Garamond"/>
          <w:lang w:val="en-US"/>
        </w:rPr>
        <w:t>n  order  to  further  simplify,  provide  greater  clarity  and  consistency  in</w:t>
      </w:r>
      <w:r>
        <w:rPr>
          <w:rFonts w:ascii="Garamond" w:hAnsi="Garamond"/>
          <w:lang w:val="en-US"/>
        </w:rPr>
        <w:t xml:space="preserve"> </w:t>
      </w:r>
      <w:r w:rsidRPr="008F1BF2">
        <w:rPr>
          <w:rFonts w:ascii="Garamond" w:hAnsi="Garamond"/>
          <w:lang w:val="en-US"/>
        </w:rPr>
        <w:t>the  disclosures across  various  documents and  to  provide  additional  but  critical  information  in  the abridged  prospectus,  the</w:t>
      </w:r>
      <w:r>
        <w:rPr>
          <w:rFonts w:ascii="Garamond" w:hAnsi="Garamond"/>
          <w:lang w:val="en-US"/>
        </w:rPr>
        <w:t xml:space="preserve"> </w:t>
      </w:r>
      <w:r w:rsidRPr="008F1BF2">
        <w:rPr>
          <w:rFonts w:ascii="Garamond" w:hAnsi="Garamond"/>
          <w:lang w:val="en-US"/>
        </w:rPr>
        <w:t>format  for  disclosures  in  the  abridged  prospectus</w:t>
      </w:r>
      <w:r>
        <w:rPr>
          <w:rFonts w:ascii="Garamond" w:hAnsi="Garamond"/>
          <w:lang w:val="en-US"/>
        </w:rPr>
        <w:t xml:space="preserve"> and front cover page</w:t>
      </w:r>
      <w:r w:rsidRPr="008F1BF2">
        <w:rPr>
          <w:rFonts w:ascii="Garamond" w:hAnsi="Garamond"/>
          <w:lang w:val="en-US"/>
        </w:rPr>
        <w:t xml:space="preserve">  has  been revised</w:t>
      </w:r>
      <w:r>
        <w:rPr>
          <w:rFonts w:ascii="Garamond" w:hAnsi="Garamond"/>
          <w:lang w:val="en-US"/>
        </w:rPr>
        <w:t>.</w:t>
      </w:r>
    </w:p>
    <w:p w:rsidR="00D01317" w:rsidRDefault="00D01317" w:rsidP="00D01317">
      <w:pPr>
        <w:rPr>
          <w:rFonts w:ascii="Garamond" w:hAnsi="Garamond"/>
          <w:i/>
          <w:iCs/>
          <w:lang w:val="en-US"/>
        </w:rPr>
      </w:pPr>
      <w:r>
        <w:rPr>
          <w:rFonts w:ascii="Garamond" w:hAnsi="Garamond"/>
          <w:i/>
          <w:iCs/>
          <w:lang w:val="en-US"/>
        </w:rPr>
        <w:t xml:space="preserve">Source: </w:t>
      </w:r>
      <w:r w:rsidRPr="00B22991">
        <w:rPr>
          <w:rFonts w:ascii="Garamond" w:hAnsi="Garamond"/>
          <w:i/>
          <w:iCs/>
          <w:lang w:val="en-US"/>
        </w:rPr>
        <w:t>SEBI/HO/CFD/SSEP/CIR/P/2022/14</w:t>
      </w:r>
      <w:r>
        <w:rPr>
          <w:rFonts w:ascii="Garamond" w:hAnsi="Garamond"/>
          <w:i/>
          <w:iCs/>
          <w:lang w:val="en-US"/>
        </w:rPr>
        <w:t xml:space="preserve"> dated February 04, 2022.</w:t>
      </w:r>
    </w:p>
    <w:p w:rsidR="00D01317" w:rsidRDefault="00D01317" w:rsidP="00D01317">
      <w:pPr>
        <w:rPr>
          <w:rFonts w:ascii="Garamond" w:hAnsi="Garamond"/>
          <w:i/>
          <w:iCs/>
          <w:lang w:val="en-US"/>
        </w:rPr>
      </w:pPr>
    </w:p>
    <w:p w:rsidR="00816AAA" w:rsidRPr="00816AAA" w:rsidRDefault="00816AAA" w:rsidP="00223C98">
      <w:pPr>
        <w:pStyle w:val="ListParagraph"/>
        <w:numPr>
          <w:ilvl w:val="0"/>
          <w:numId w:val="11"/>
        </w:numPr>
        <w:rPr>
          <w:rFonts w:ascii="Garamond" w:hAnsi="Garamond"/>
          <w:b/>
          <w:bCs/>
          <w:sz w:val="24"/>
          <w:szCs w:val="24"/>
        </w:rPr>
      </w:pPr>
      <w:r w:rsidRPr="00816AAA">
        <w:rPr>
          <w:rFonts w:ascii="Garamond" w:hAnsi="Garamond"/>
          <w:b/>
          <w:bCs/>
          <w:sz w:val="24"/>
          <w:szCs w:val="24"/>
        </w:rPr>
        <w:t>Framework for conversion of Private Listed InvIT into Public InvIT</w:t>
      </w:r>
    </w:p>
    <w:p w:rsidR="00816AAA" w:rsidRDefault="00816AAA" w:rsidP="00816AAA">
      <w:pPr>
        <w:jc w:val="both"/>
        <w:rPr>
          <w:rFonts w:ascii="Garamond" w:hAnsi="Garamond"/>
          <w:lang w:val="en-US"/>
        </w:rPr>
      </w:pPr>
      <w:r>
        <w:rPr>
          <w:rFonts w:ascii="Garamond" w:hAnsi="Garamond"/>
          <w:lang w:val="en-US"/>
        </w:rPr>
        <w:t>A Private Listed InvIT may convert into a public InVIT after making a public issue of units through a fresh issue and/or an offer for sale in terms of the InvIT Regulations. Post issuance and listing of such unit through public issue, private InvIT will be</w:t>
      </w:r>
      <w:r w:rsidRPr="00580D36">
        <w:rPr>
          <w:rFonts w:ascii="Garamond" w:hAnsi="Garamond"/>
          <w:lang w:val="en-US"/>
        </w:rPr>
        <w:t xml:space="preserve"> considered a Public InvIT</w:t>
      </w:r>
      <w:r>
        <w:rPr>
          <w:rFonts w:ascii="Garamond" w:hAnsi="Garamond"/>
          <w:lang w:val="en-US"/>
        </w:rPr>
        <w:t xml:space="preserve"> and would </w:t>
      </w:r>
      <w:r w:rsidRPr="00580D36">
        <w:rPr>
          <w:rFonts w:ascii="Garamond" w:hAnsi="Garamond"/>
          <w:lang w:val="en-US"/>
        </w:rPr>
        <w:t>be required to comply with all provisions of the InvIT Regulations prescribed for Public InvITs.</w:t>
      </w:r>
    </w:p>
    <w:p w:rsidR="00816AAA" w:rsidRDefault="00816AAA" w:rsidP="00816AAA">
      <w:pPr>
        <w:rPr>
          <w:rFonts w:ascii="Garamond" w:hAnsi="Garamond"/>
          <w:i/>
          <w:iCs/>
          <w:lang w:val="en-US"/>
        </w:rPr>
      </w:pPr>
      <w:r>
        <w:rPr>
          <w:rFonts w:ascii="Garamond" w:hAnsi="Garamond"/>
          <w:i/>
          <w:iCs/>
          <w:lang w:val="en-US"/>
        </w:rPr>
        <w:t xml:space="preserve">Source: </w:t>
      </w:r>
      <w:r w:rsidRPr="00AF0BF3">
        <w:rPr>
          <w:rFonts w:ascii="Garamond" w:hAnsi="Garamond"/>
          <w:i/>
          <w:iCs/>
          <w:lang w:val="en-US"/>
        </w:rPr>
        <w:t>SEBI/HO/DDHS/DDHS_Div3/P/CIR/2022/15</w:t>
      </w:r>
      <w:r>
        <w:rPr>
          <w:rFonts w:ascii="Garamond" w:hAnsi="Garamond"/>
          <w:i/>
          <w:iCs/>
          <w:lang w:val="en-US"/>
        </w:rPr>
        <w:t xml:space="preserve"> dated </w:t>
      </w:r>
      <w:r w:rsidRPr="00AF0BF3">
        <w:rPr>
          <w:rFonts w:ascii="Garamond" w:hAnsi="Garamond"/>
          <w:i/>
          <w:iCs/>
          <w:lang w:val="en-US"/>
        </w:rPr>
        <w:t>February 09, 2022</w:t>
      </w:r>
      <w:r>
        <w:rPr>
          <w:rFonts w:ascii="Garamond" w:hAnsi="Garamond"/>
          <w:i/>
          <w:iCs/>
          <w:lang w:val="en-US"/>
        </w:rPr>
        <w:t>.</w:t>
      </w:r>
    </w:p>
    <w:p w:rsidR="00D01317" w:rsidRDefault="00D01317" w:rsidP="00816AAA">
      <w:pPr>
        <w:rPr>
          <w:rFonts w:ascii="Garamond" w:hAnsi="Garamond"/>
        </w:rPr>
      </w:pPr>
    </w:p>
    <w:p w:rsidR="00816AAA" w:rsidRPr="00816AAA" w:rsidRDefault="00816AAA" w:rsidP="00223C98">
      <w:pPr>
        <w:pStyle w:val="ListParagraph"/>
        <w:numPr>
          <w:ilvl w:val="0"/>
          <w:numId w:val="11"/>
        </w:numPr>
        <w:rPr>
          <w:rFonts w:ascii="Garamond" w:hAnsi="Garamond"/>
          <w:b/>
          <w:bCs/>
          <w:sz w:val="24"/>
          <w:szCs w:val="24"/>
        </w:rPr>
      </w:pPr>
      <w:r w:rsidRPr="00816AAA">
        <w:rPr>
          <w:rFonts w:ascii="Garamond" w:hAnsi="Garamond"/>
          <w:b/>
          <w:bCs/>
          <w:sz w:val="24"/>
          <w:szCs w:val="24"/>
        </w:rPr>
        <w:t>Conversion of Private Unlisted InvIT into Private Listed InvIT</w:t>
      </w:r>
    </w:p>
    <w:p w:rsidR="00816AAA" w:rsidRPr="00D12ADB" w:rsidRDefault="00816AAA" w:rsidP="00816AAA">
      <w:pPr>
        <w:shd w:val="clear" w:color="auto" w:fill="FFFFFF"/>
        <w:jc w:val="both"/>
        <w:rPr>
          <w:rFonts w:ascii="Garamond" w:hAnsi="Garamond" w:cs="Mangal"/>
          <w:lang w:val="en-US"/>
        </w:rPr>
      </w:pPr>
      <w:r w:rsidRPr="00DF4C86">
        <w:rPr>
          <w:rFonts w:ascii="Garamond" w:hAnsi="Garamond"/>
          <w:lang w:val="en-US"/>
        </w:rPr>
        <w:t>A Private Unlisted InvIT may list its units and convert into a Private Listed InvIT on making a private placement of units through a fresh issue and/or an offer for sale in terms of Chapter IV of the InvIT Regulations in the manner</w:t>
      </w:r>
      <w:r>
        <w:rPr>
          <w:rFonts w:ascii="Garamond" w:hAnsi="Garamond"/>
          <w:lang w:val="en-US"/>
        </w:rPr>
        <w:t xml:space="preserve"> defined by SEBI. Post listing, </w:t>
      </w:r>
      <w:r w:rsidRPr="005C7CB7">
        <w:rPr>
          <w:rFonts w:ascii="Garamond" w:hAnsi="Garamond"/>
          <w:lang w:val="en-US"/>
        </w:rPr>
        <w:t>it</w:t>
      </w:r>
      <w:r w:rsidRPr="00D12ADB">
        <w:rPr>
          <w:rFonts w:ascii="Garamond" w:hAnsi="Garamond" w:cs="Mangal"/>
          <w:lang w:val="en-US"/>
        </w:rPr>
        <w:t xml:space="preserve"> </w:t>
      </w:r>
      <w:r w:rsidRPr="005C7CB7">
        <w:rPr>
          <w:rFonts w:ascii="Garamond" w:hAnsi="Garamond"/>
          <w:lang w:val="en-US"/>
        </w:rPr>
        <w:t>shall be required to</w:t>
      </w:r>
      <w:r w:rsidRPr="00D12ADB">
        <w:rPr>
          <w:rFonts w:ascii="Garamond" w:hAnsi="Garamond" w:cs="Mangal"/>
          <w:lang w:val="en-US"/>
        </w:rPr>
        <w:t xml:space="preserve"> comply with  the  provisions of the InvIT Regulations prescribed for Private Listed InvITs</w:t>
      </w:r>
      <w:r>
        <w:rPr>
          <w:rFonts w:ascii="Garamond" w:hAnsi="Garamond"/>
          <w:lang w:val="en-US"/>
        </w:rPr>
        <w:t>.</w:t>
      </w:r>
    </w:p>
    <w:p w:rsidR="00816AAA" w:rsidRDefault="00816AAA" w:rsidP="00816AAA">
      <w:pPr>
        <w:rPr>
          <w:rFonts w:ascii="Garamond" w:hAnsi="Garamond"/>
          <w:lang w:val="en-US"/>
        </w:rPr>
      </w:pPr>
    </w:p>
    <w:p w:rsidR="00816AAA" w:rsidRDefault="00816AAA" w:rsidP="00816AAA">
      <w:pPr>
        <w:rPr>
          <w:rFonts w:ascii="Garamond" w:hAnsi="Garamond"/>
          <w:i/>
          <w:iCs/>
          <w:lang w:val="en-US"/>
        </w:rPr>
      </w:pPr>
      <w:r>
        <w:rPr>
          <w:rFonts w:ascii="Garamond" w:hAnsi="Garamond"/>
          <w:i/>
          <w:iCs/>
          <w:lang w:val="en-US"/>
        </w:rPr>
        <w:t xml:space="preserve">Source: </w:t>
      </w:r>
      <w:r w:rsidRPr="00696752">
        <w:rPr>
          <w:rFonts w:ascii="Garamond" w:hAnsi="Garamond"/>
          <w:i/>
          <w:iCs/>
          <w:lang w:val="en-US"/>
        </w:rPr>
        <w:t>SEBI/HO/DDHS/DDHS_Div3/P/CIR/2022/16</w:t>
      </w:r>
      <w:r>
        <w:rPr>
          <w:rFonts w:ascii="Garamond" w:hAnsi="Garamond"/>
          <w:i/>
          <w:iCs/>
          <w:lang w:val="en-US"/>
        </w:rPr>
        <w:t xml:space="preserve"> dated </w:t>
      </w:r>
      <w:r w:rsidRPr="00696752">
        <w:rPr>
          <w:rFonts w:ascii="Garamond" w:hAnsi="Garamond"/>
          <w:i/>
          <w:iCs/>
          <w:lang w:val="en-US"/>
        </w:rPr>
        <w:t>February 09, 2022</w:t>
      </w:r>
      <w:r>
        <w:rPr>
          <w:rFonts w:ascii="Garamond" w:hAnsi="Garamond"/>
          <w:i/>
          <w:iCs/>
          <w:lang w:val="en-US"/>
        </w:rPr>
        <w:t>.</w:t>
      </w:r>
    </w:p>
    <w:p w:rsidR="00816AAA" w:rsidRDefault="00816AAA" w:rsidP="00816AAA">
      <w:pPr>
        <w:rPr>
          <w:rFonts w:ascii="Garamond" w:hAnsi="Garamond"/>
        </w:rPr>
      </w:pPr>
    </w:p>
    <w:p w:rsidR="00816AAA" w:rsidRPr="00816AAA" w:rsidRDefault="00816AAA" w:rsidP="00223C98">
      <w:pPr>
        <w:pStyle w:val="ListParagraph"/>
        <w:numPr>
          <w:ilvl w:val="0"/>
          <w:numId w:val="11"/>
        </w:numPr>
        <w:rPr>
          <w:rFonts w:ascii="Garamond" w:hAnsi="Garamond"/>
          <w:b/>
          <w:bCs/>
          <w:sz w:val="24"/>
          <w:szCs w:val="24"/>
        </w:rPr>
      </w:pPr>
      <w:r w:rsidRPr="00816AAA">
        <w:rPr>
          <w:rFonts w:ascii="Garamond" w:hAnsi="Garamond"/>
          <w:b/>
          <w:bCs/>
          <w:sz w:val="24"/>
          <w:szCs w:val="24"/>
        </w:rPr>
        <w:t>Audit Committee of Asset Management Companies (AMCs)</w:t>
      </w:r>
    </w:p>
    <w:p w:rsidR="00816AAA" w:rsidRDefault="00816AAA" w:rsidP="00816AAA">
      <w:pPr>
        <w:jc w:val="both"/>
        <w:rPr>
          <w:rFonts w:ascii="Garamond" w:hAnsi="Garamond"/>
          <w:lang w:val="en-US"/>
        </w:rPr>
      </w:pPr>
      <w:r>
        <w:rPr>
          <w:rFonts w:ascii="Garamond" w:hAnsi="Garamond"/>
          <w:lang w:val="en-US"/>
        </w:rPr>
        <w:t>I</w:t>
      </w:r>
      <w:r w:rsidRPr="005E4BD7">
        <w:rPr>
          <w:rFonts w:ascii="Garamond" w:hAnsi="Garamond"/>
          <w:lang w:val="en-US"/>
        </w:rPr>
        <w:t>t has</w:t>
      </w:r>
      <w:r>
        <w:rPr>
          <w:rFonts w:ascii="Garamond" w:hAnsi="Garamond"/>
          <w:lang w:val="en-US"/>
        </w:rPr>
        <w:t xml:space="preserve"> </w:t>
      </w:r>
      <w:r w:rsidRPr="005E4BD7">
        <w:rPr>
          <w:rFonts w:ascii="Garamond" w:hAnsi="Garamond"/>
          <w:lang w:val="en-US"/>
        </w:rPr>
        <w:t>been decided</w:t>
      </w:r>
      <w:r>
        <w:rPr>
          <w:rFonts w:ascii="Garamond" w:hAnsi="Garamond"/>
          <w:lang w:val="en-US"/>
        </w:rPr>
        <w:t xml:space="preserve"> </w:t>
      </w:r>
      <w:r w:rsidRPr="005E4BD7">
        <w:rPr>
          <w:rFonts w:ascii="Garamond" w:hAnsi="Garamond"/>
          <w:lang w:val="en-US"/>
        </w:rPr>
        <w:t>that the AMCs of mutual funds shall</w:t>
      </w:r>
      <w:r>
        <w:rPr>
          <w:rFonts w:ascii="Garamond" w:hAnsi="Garamond"/>
          <w:lang w:val="en-US"/>
        </w:rPr>
        <w:t xml:space="preserve"> </w:t>
      </w:r>
      <w:r w:rsidRPr="005E4BD7">
        <w:rPr>
          <w:rFonts w:ascii="Garamond" w:hAnsi="Garamond"/>
          <w:lang w:val="en-US"/>
        </w:rPr>
        <w:t>be required to constitute</w:t>
      </w:r>
      <w:r>
        <w:rPr>
          <w:rFonts w:ascii="Garamond" w:hAnsi="Garamond"/>
          <w:lang w:val="en-US"/>
        </w:rPr>
        <w:t xml:space="preserve"> </w:t>
      </w:r>
      <w:r w:rsidRPr="005E4BD7">
        <w:rPr>
          <w:rFonts w:ascii="Garamond" w:hAnsi="Garamond"/>
          <w:lang w:val="en-US"/>
        </w:rPr>
        <w:t>an Audit Committee</w:t>
      </w:r>
      <w:r>
        <w:rPr>
          <w:rFonts w:ascii="Garamond" w:hAnsi="Garamond"/>
          <w:lang w:val="en-US"/>
        </w:rPr>
        <w:t xml:space="preserve"> w.e.f August 01, 2022 with the following mandates: </w:t>
      </w:r>
    </w:p>
    <w:p w:rsidR="00816AAA" w:rsidRPr="00D12ADB" w:rsidRDefault="00816AAA" w:rsidP="00223C98">
      <w:pPr>
        <w:pStyle w:val="ListParagraph"/>
        <w:numPr>
          <w:ilvl w:val="0"/>
          <w:numId w:val="13"/>
        </w:numPr>
        <w:shd w:val="clear" w:color="auto" w:fill="FFFFFF"/>
        <w:spacing w:after="0" w:line="240" w:lineRule="auto"/>
        <w:jc w:val="both"/>
        <w:rPr>
          <w:rFonts w:ascii="Garamond" w:eastAsiaTheme="minorHAnsi" w:hAnsi="Garamond" w:cs="Mangal"/>
          <w:sz w:val="24"/>
          <w:szCs w:val="24"/>
        </w:rPr>
      </w:pPr>
      <w:r w:rsidRPr="00D12ADB">
        <w:rPr>
          <w:rFonts w:ascii="Garamond" w:hAnsi="Garamond"/>
          <w:sz w:val="24"/>
          <w:szCs w:val="24"/>
        </w:rPr>
        <w:lastRenderedPageBreak/>
        <w:t xml:space="preserve">To review the financial reporting processes, the system of internal controls and the audit processes for the </w:t>
      </w:r>
      <w:r>
        <w:rPr>
          <w:rFonts w:ascii="Garamond" w:hAnsi="Garamond"/>
          <w:sz w:val="24"/>
          <w:szCs w:val="24"/>
        </w:rPr>
        <w:t>m</w:t>
      </w:r>
      <w:r w:rsidRPr="00D12ADB">
        <w:rPr>
          <w:rFonts w:ascii="Garamond" w:hAnsi="Garamond"/>
          <w:sz w:val="24"/>
          <w:szCs w:val="24"/>
        </w:rPr>
        <w:t xml:space="preserve">utual </w:t>
      </w:r>
      <w:r>
        <w:rPr>
          <w:rFonts w:ascii="Garamond" w:hAnsi="Garamond"/>
          <w:sz w:val="24"/>
          <w:szCs w:val="24"/>
        </w:rPr>
        <w:t>f</w:t>
      </w:r>
      <w:r w:rsidRPr="00D12ADB">
        <w:rPr>
          <w:rFonts w:ascii="Garamond" w:hAnsi="Garamond"/>
          <w:sz w:val="24"/>
          <w:szCs w:val="24"/>
        </w:rPr>
        <w:t>und operations of the AMC;</w:t>
      </w:r>
    </w:p>
    <w:p w:rsidR="00816AAA" w:rsidRPr="00D12ADB" w:rsidRDefault="00816AAA" w:rsidP="00223C98">
      <w:pPr>
        <w:pStyle w:val="ListParagraph"/>
        <w:numPr>
          <w:ilvl w:val="0"/>
          <w:numId w:val="13"/>
        </w:numPr>
        <w:shd w:val="clear" w:color="auto" w:fill="FFFFFF"/>
        <w:spacing w:after="0" w:line="240" w:lineRule="auto"/>
        <w:jc w:val="both"/>
        <w:rPr>
          <w:rFonts w:ascii="Garamond" w:hAnsi="Garamond"/>
          <w:sz w:val="24"/>
          <w:szCs w:val="24"/>
        </w:rPr>
      </w:pPr>
      <w:r w:rsidRPr="00D12ADB">
        <w:rPr>
          <w:rFonts w:ascii="Garamond" w:hAnsi="Garamond"/>
          <w:sz w:val="24"/>
          <w:szCs w:val="24"/>
        </w:rPr>
        <w:t>To ensure that the rectifications, if any, suggested by internal and external auditors, etc. are acted upon.</w:t>
      </w:r>
    </w:p>
    <w:p w:rsidR="00816AAA" w:rsidRPr="005E4BD7" w:rsidRDefault="00816AAA" w:rsidP="00816AAA">
      <w:pPr>
        <w:rPr>
          <w:rFonts w:ascii="Garamond" w:hAnsi="Garamond"/>
          <w:lang w:val="en-US"/>
        </w:rPr>
      </w:pPr>
    </w:p>
    <w:p w:rsidR="00816AAA" w:rsidRDefault="00816AAA" w:rsidP="00816AAA">
      <w:pPr>
        <w:rPr>
          <w:rFonts w:ascii="Garamond" w:hAnsi="Garamond"/>
          <w:i/>
          <w:iCs/>
          <w:lang w:val="en-US"/>
        </w:rPr>
      </w:pPr>
      <w:r>
        <w:rPr>
          <w:rFonts w:ascii="Garamond" w:hAnsi="Garamond"/>
          <w:i/>
          <w:iCs/>
          <w:lang w:val="en-US"/>
        </w:rPr>
        <w:t xml:space="preserve">Source: </w:t>
      </w:r>
      <w:r w:rsidRPr="00696752">
        <w:rPr>
          <w:rFonts w:ascii="Garamond" w:hAnsi="Garamond"/>
          <w:i/>
          <w:iCs/>
          <w:lang w:val="en-US"/>
        </w:rPr>
        <w:t>SEBI/HO/IMD/IMD-I DOF2/P/CIR/2022/17</w:t>
      </w:r>
      <w:r>
        <w:rPr>
          <w:rFonts w:ascii="Garamond" w:hAnsi="Garamond"/>
          <w:i/>
          <w:iCs/>
          <w:lang w:val="en-US"/>
        </w:rPr>
        <w:t xml:space="preserve"> dated </w:t>
      </w:r>
      <w:r w:rsidRPr="00F078DF">
        <w:rPr>
          <w:rFonts w:ascii="Garamond" w:hAnsi="Garamond"/>
          <w:i/>
          <w:iCs/>
          <w:lang w:val="en-US"/>
        </w:rPr>
        <w:t>February 09, 2022</w:t>
      </w:r>
      <w:r>
        <w:rPr>
          <w:rFonts w:ascii="Garamond" w:hAnsi="Garamond"/>
          <w:i/>
          <w:iCs/>
          <w:lang w:val="en-US"/>
        </w:rPr>
        <w:t>.</w:t>
      </w:r>
    </w:p>
    <w:p w:rsidR="00816AAA" w:rsidRPr="00816AAA" w:rsidRDefault="00816AAA" w:rsidP="00816AAA">
      <w:pPr>
        <w:rPr>
          <w:rFonts w:ascii="Garamond" w:hAnsi="Garamond"/>
        </w:rPr>
      </w:pPr>
    </w:p>
    <w:p w:rsidR="00260E65" w:rsidRDefault="00260E65" w:rsidP="00223C98">
      <w:pPr>
        <w:pStyle w:val="ListParagraph"/>
        <w:numPr>
          <w:ilvl w:val="0"/>
          <w:numId w:val="11"/>
        </w:numPr>
        <w:rPr>
          <w:rFonts w:ascii="Garamond" w:hAnsi="Garamond" w:cs="Arial"/>
          <w:b/>
          <w:bCs/>
          <w:iCs/>
          <w:sz w:val="24"/>
          <w:szCs w:val="24"/>
        </w:rPr>
      </w:pPr>
      <w:r w:rsidRPr="00260E65">
        <w:rPr>
          <w:rFonts w:ascii="Garamond" w:hAnsi="Garamond" w:cs="Arial"/>
          <w:b/>
          <w:bCs/>
          <w:iCs/>
          <w:sz w:val="24"/>
          <w:szCs w:val="24"/>
        </w:rPr>
        <w:t>Trading features pertaining to the Electronic Gold Receipts (EGR) segment</w:t>
      </w:r>
    </w:p>
    <w:p w:rsidR="00260E65" w:rsidRPr="00E41DB1" w:rsidRDefault="00260E65" w:rsidP="00260E65">
      <w:pPr>
        <w:jc w:val="both"/>
        <w:rPr>
          <w:rFonts w:ascii="Garamond" w:hAnsi="Garamond"/>
          <w:lang w:val="en-US"/>
        </w:rPr>
      </w:pPr>
      <w:r>
        <w:rPr>
          <w:rFonts w:ascii="Garamond" w:hAnsi="Garamond"/>
          <w:lang w:val="en-US"/>
        </w:rPr>
        <w:t>In continuation to the circular issued by SEBI on framework for operationalizing the Gold exchange,   guidelines have been issued vide present circular  for trade timings, transaction charges, call auction, block and bulk deal, price bands, UCC, IPF and ISF.</w:t>
      </w:r>
    </w:p>
    <w:p w:rsidR="00260E65" w:rsidRPr="00E41DB1" w:rsidRDefault="00260E65" w:rsidP="00260E65">
      <w:pPr>
        <w:jc w:val="both"/>
        <w:rPr>
          <w:rFonts w:ascii="Garamond" w:hAnsi="Garamond"/>
          <w:i/>
          <w:iCs/>
          <w:lang w:val="en-US"/>
        </w:rPr>
      </w:pPr>
      <w:r w:rsidRPr="00E41DB1">
        <w:rPr>
          <w:rFonts w:ascii="Garamond" w:hAnsi="Garamond"/>
          <w:i/>
          <w:iCs/>
          <w:lang w:val="en-US"/>
        </w:rPr>
        <w:t>Source: SEBI/HO/CDMRD/DMP/P/CIR/2022/18 dated February 14, 2022.</w:t>
      </w:r>
    </w:p>
    <w:p w:rsidR="00260E65" w:rsidRPr="00260E65" w:rsidRDefault="00260E65" w:rsidP="00260E65">
      <w:pPr>
        <w:rPr>
          <w:rFonts w:ascii="Garamond" w:hAnsi="Garamond" w:cs="Arial"/>
          <w:iCs/>
        </w:rPr>
      </w:pPr>
    </w:p>
    <w:p w:rsidR="00260E65" w:rsidRDefault="00260E65" w:rsidP="00223C98">
      <w:pPr>
        <w:pStyle w:val="ListParagraph"/>
        <w:numPr>
          <w:ilvl w:val="0"/>
          <w:numId w:val="11"/>
        </w:numPr>
        <w:rPr>
          <w:rFonts w:ascii="Garamond" w:hAnsi="Garamond" w:cs="Arial"/>
          <w:b/>
          <w:bCs/>
          <w:iCs/>
          <w:sz w:val="24"/>
          <w:szCs w:val="24"/>
        </w:rPr>
      </w:pPr>
      <w:r w:rsidRPr="00260E65">
        <w:rPr>
          <w:rFonts w:ascii="Garamond" w:hAnsi="Garamond" w:cs="Arial"/>
          <w:b/>
          <w:bCs/>
          <w:iCs/>
          <w:sz w:val="24"/>
          <w:szCs w:val="24"/>
        </w:rPr>
        <w:t>Standard Operating Guidelines for the Vault Managers and Depositories –Electronic Gold Receipts (EGR)segment</w:t>
      </w:r>
    </w:p>
    <w:p w:rsidR="00260E65" w:rsidRPr="00E41DB1" w:rsidRDefault="00260E65" w:rsidP="00260E65">
      <w:pPr>
        <w:jc w:val="both"/>
        <w:rPr>
          <w:rFonts w:ascii="Garamond" w:hAnsi="Garamond"/>
          <w:lang w:val="en-US"/>
        </w:rPr>
      </w:pPr>
      <w:r w:rsidRPr="00770168">
        <w:rPr>
          <w:rFonts w:ascii="Garamond" w:hAnsi="Garamond"/>
          <w:lang w:val="en-US"/>
        </w:rPr>
        <w:t>In order to ensure ease of compliance for the market participants in the EGR ecosystem as well as effective implementation of the SEBI (Vault Managers), Regulations 2021, Standard Operating Guidelines under Regulation 28 of the said Regulations read with Regulation 97 of SEBI (Depositories and Participants) Regulations, 2018 were issued. The modalities for deposit of gold, creation of EGR, withdrawal of gold and extinguishment of EGR have also been stipulated vide the circular.</w:t>
      </w:r>
    </w:p>
    <w:p w:rsidR="00260E65" w:rsidRDefault="00260E65" w:rsidP="00260E65">
      <w:pPr>
        <w:jc w:val="both"/>
        <w:rPr>
          <w:rFonts w:ascii="Garamond" w:hAnsi="Garamond"/>
          <w:i/>
          <w:iCs/>
          <w:lang w:val="en-US"/>
        </w:rPr>
      </w:pPr>
      <w:r w:rsidRPr="00E41DB1">
        <w:rPr>
          <w:rFonts w:ascii="Garamond" w:hAnsi="Garamond"/>
          <w:i/>
          <w:iCs/>
          <w:lang w:val="en-US"/>
        </w:rPr>
        <w:t>Source: SEBI/HO/CDMRD/DMP/P/CIR/2022/19 dated February 14, 2022.</w:t>
      </w:r>
    </w:p>
    <w:p w:rsidR="00260E65" w:rsidRPr="00260E65" w:rsidRDefault="00260E65" w:rsidP="00260E65">
      <w:pPr>
        <w:rPr>
          <w:rFonts w:ascii="Garamond" w:hAnsi="Garamond" w:cs="Arial"/>
          <w:b/>
          <w:bCs/>
          <w:iCs/>
        </w:rPr>
      </w:pPr>
    </w:p>
    <w:p w:rsidR="00260E65" w:rsidRDefault="00260E65" w:rsidP="00223C98">
      <w:pPr>
        <w:pStyle w:val="ListParagraph"/>
        <w:numPr>
          <w:ilvl w:val="0"/>
          <w:numId w:val="11"/>
        </w:numPr>
        <w:rPr>
          <w:rFonts w:ascii="Garamond" w:hAnsi="Garamond" w:cs="Arial"/>
          <w:b/>
          <w:bCs/>
          <w:iCs/>
          <w:sz w:val="24"/>
          <w:szCs w:val="24"/>
        </w:rPr>
      </w:pPr>
      <w:r w:rsidRPr="00260E65">
        <w:rPr>
          <w:rFonts w:ascii="Garamond" w:hAnsi="Garamond" w:cs="Arial"/>
          <w:b/>
          <w:bCs/>
          <w:iCs/>
          <w:sz w:val="24"/>
          <w:szCs w:val="24"/>
        </w:rPr>
        <w:t>Corrigendum to Master Circular for Depositories dated February 05, 2021 on Opening of demat account in case of HUF</w:t>
      </w:r>
    </w:p>
    <w:p w:rsidR="00260E65" w:rsidRDefault="00260E65" w:rsidP="00260E65">
      <w:pPr>
        <w:jc w:val="both"/>
        <w:rPr>
          <w:rFonts w:ascii="Garamond" w:hAnsi="Garamond"/>
          <w:lang w:val="en-US"/>
        </w:rPr>
      </w:pPr>
      <w:r w:rsidRPr="00770168">
        <w:rPr>
          <w:rFonts w:ascii="Garamond" w:hAnsi="Garamond"/>
          <w:lang w:val="en-US"/>
        </w:rPr>
        <w:t>SEBI Master Circular for Depositories dated February 05, 2021 have been amended. As per the modification In the event of death of Karta of HUF, the name of the deceased Karta in the Beneficial Owner (BO) account shall be replaced by the new Karta appointed by the member of the HUF who in such a case shall be senior most member of the family.</w:t>
      </w:r>
    </w:p>
    <w:p w:rsidR="00260E65" w:rsidRDefault="00260E65" w:rsidP="00260E65">
      <w:pPr>
        <w:jc w:val="both"/>
        <w:rPr>
          <w:rFonts w:ascii="Garamond" w:hAnsi="Garamond"/>
          <w:lang w:val="en-US"/>
        </w:rPr>
      </w:pPr>
      <w:r>
        <w:rPr>
          <w:rFonts w:ascii="Garamond" w:hAnsi="Garamond"/>
          <w:i/>
          <w:iCs/>
          <w:lang w:val="en-US"/>
        </w:rPr>
        <w:t xml:space="preserve">Source: </w:t>
      </w:r>
      <w:r w:rsidRPr="001C508B">
        <w:rPr>
          <w:rFonts w:ascii="Garamond" w:hAnsi="Garamond"/>
          <w:i/>
          <w:iCs/>
          <w:lang w:val="en-US"/>
        </w:rPr>
        <w:t>SEBI/HO/MRD2/DDAP/CIR/P/2022/20</w:t>
      </w:r>
      <w:r>
        <w:rPr>
          <w:rFonts w:ascii="Garamond" w:hAnsi="Garamond"/>
          <w:i/>
          <w:iCs/>
          <w:lang w:val="en-US"/>
        </w:rPr>
        <w:t xml:space="preserve"> dated February 17, 2022.</w:t>
      </w:r>
    </w:p>
    <w:p w:rsidR="00260E65" w:rsidRPr="00260E65" w:rsidRDefault="00260E65" w:rsidP="00260E65">
      <w:pPr>
        <w:rPr>
          <w:rFonts w:ascii="Garamond" w:hAnsi="Garamond" w:cs="Arial"/>
          <w:b/>
          <w:bCs/>
          <w:iCs/>
        </w:rPr>
      </w:pPr>
    </w:p>
    <w:p w:rsidR="00D35A3B" w:rsidRDefault="00D35A3B" w:rsidP="00223C98">
      <w:pPr>
        <w:pStyle w:val="ListParagraph"/>
        <w:numPr>
          <w:ilvl w:val="0"/>
          <w:numId w:val="11"/>
        </w:numPr>
        <w:rPr>
          <w:rFonts w:ascii="Garamond" w:hAnsi="Garamond" w:cs="Arial"/>
          <w:b/>
          <w:bCs/>
          <w:iCs/>
          <w:sz w:val="24"/>
          <w:szCs w:val="24"/>
        </w:rPr>
      </w:pPr>
      <w:r w:rsidRPr="00D35A3B">
        <w:rPr>
          <w:rFonts w:ascii="Garamond" w:hAnsi="Garamond" w:cs="Arial"/>
          <w:b/>
          <w:bCs/>
          <w:iCs/>
          <w:sz w:val="24"/>
          <w:szCs w:val="24"/>
        </w:rPr>
        <w:t>Segregation and Monitoring of Collateral at Client Level –Extension of timeline</w:t>
      </w:r>
    </w:p>
    <w:p w:rsidR="00D35A3B" w:rsidRPr="00D35A3B" w:rsidRDefault="00D35A3B" w:rsidP="00D35A3B">
      <w:pPr>
        <w:rPr>
          <w:rFonts w:ascii="Garamond" w:hAnsi="Garamond" w:cs="Arial"/>
          <w:iCs/>
        </w:rPr>
      </w:pPr>
      <w:r w:rsidRPr="00D35A3B">
        <w:rPr>
          <w:rFonts w:ascii="Garamond" w:hAnsi="Garamond" w:cs="Arial"/>
          <w:iCs/>
        </w:rPr>
        <w:t>After consideration of requests from various stakeholders, it has been decided to extend the timeline of implementation of provisions of SEBI circular dated July 20, 2021 on segregation and monitoring of collateral at client level.  The circular will come into effect from May 02, 2022.</w:t>
      </w:r>
    </w:p>
    <w:p w:rsidR="00D35A3B" w:rsidRPr="00D35A3B" w:rsidRDefault="00D35A3B" w:rsidP="00D35A3B">
      <w:pPr>
        <w:rPr>
          <w:rFonts w:ascii="Garamond" w:hAnsi="Garamond" w:cs="Arial"/>
          <w:i/>
        </w:rPr>
      </w:pPr>
      <w:r w:rsidRPr="00D35A3B">
        <w:rPr>
          <w:rFonts w:ascii="Garamond" w:hAnsi="Garamond" w:cs="Arial"/>
          <w:i/>
        </w:rPr>
        <w:t>Source: SEBI/HO/MRD2/DCAP/P/CIR/2022/0022 dated February 24, 2022.</w:t>
      </w:r>
    </w:p>
    <w:p w:rsidR="00D35A3B" w:rsidRPr="00D35A3B" w:rsidRDefault="00D35A3B" w:rsidP="00D35A3B">
      <w:pPr>
        <w:rPr>
          <w:rFonts w:ascii="Garamond" w:hAnsi="Garamond" w:cs="Arial"/>
          <w:iCs/>
        </w:rPr>
      </w:pPr>
    </w:p>
    <w:p w:rsidR="00D35A3B" w:rsidRPr="00D35A3B" w:rsidRDefault="00D35A3B" w:rsidP="00223C98">
      <w:pPr>
        <w:pStyle w:val="ListParagraph"/>
        <w:numPr>
          <w:ilvl w:val="0"/>
          <w:numId w:val="11"/>
        </w:numPr>
        <w:rPr>
          <w:rFonts w:ascii="Garamond" w:hAnsi="Garamond" w:cs="Arial"/>
          <w:b/>
          <w:bCs/>
          <w:iCs/>
          <w:sz w:val="24"/>
          <w:szCs w:val="24"/>
        </w:rPr>
      </w:pPr>
      <w:r w:rsidRPr="00D35A3B">
        <w:rPr>
          <w:rFonts w:ascii="Garamond" w:hAnsi="Garamond" w:cs="Arial"/>
          <w:b/>
          <w:bCs/>
          <w:iCs/>
          <w:sz w:val="24"/>
          <w:szCs w:val="24"/>
        </w:rPr>
        <w:t>Nomination  for  Eligible  Trading  and  Demat  Accounts – Extension  of timelines and relaxations for existing account holders</w:t>
      </w:r>
    </w:p>
    <w:p w:rsidR="00D35A3B" w:rsidRPr="00D35A3B" w:rsidRDefault="00D35A3B" w:rsidP="00D35A3B">
      <w:pPr>
        <w:jc w:val="both"/>
        <w:rPr>
          <w:rFonts w:ascii="Garamond" w:hAnsi="Garamond"/>
          <w:lang w:val="en-US"/>
        </w:rPr>
      </w:pPr>
      <w:r w:rsidRPr="00D35A3B">
        <w:rPr>
          <w:rFonts w:ascii="Garamond" w:hAnsi="Garamond"/>
          <w:lang w:val="en-US"/>
        </w:rPr>
        <w:t xml:space="preserve">With regard to SEBI circular dated July 23, 2021 on nomination for eligible trading and demat accounts, the following has been decided: </w:t>
      </w:r>
    </w:p>
    <w:p w:rsidR="00D35A3B" w:rsidRPr="00D35A3B" w:rsidRDefault="00D35A3B" w:rsidP="00D35A3B">
      <w:pPr>
        <w:jc w:val="both"/>
        <w:rPr>
          <w:rFonts w:ascii="Garamond" w:hAnsi="Garamond"/>
          <w:lang w:val="en-US"/>
        </w:rPr>
      </w:pPr>
      <w:r w:rsidRPr="00D35A3B">
        <w:rPr>
          <w:rFonts w:ascii="Garamond" w:hAnsi="Garamond"/>
          <w:lang w:val="en-US"/>
        </w:rPr>
        <w:t xml:space="preserve"> (a) Provisions w.r.t. freezing of accounts shall come into force with effect from March 31, 2023 instead of March 31, 2022.</w:t>
      </w:r>
    </w:p>
    <w:p w:rsidR="00D35A3B" w:rsidRPr="00D35A3B" w:rsidRDefault="00D35A3B" w:rsidP="00D35A3B">
      <w:pPr>
        <w:jc w:val="both"/>
        <w:rPr>
          <w:rFonts w:ascii="Garamond" w:hAnsi="Garamond"/>
          <w:lang w:val="en-US"/>
        </w:rPr>
      </w:pPr>
      <w:r w:rsidRPr="00D35A3B">
        <w:rPr>
          <w:rFonts w:ascii="Garamond" w:hAnsi="Garamond"/>
          <w:lang w:val="en-US"/>
        </w:rPr>
        <w:t xml:space="preserve">(b) Re-submission of nomination details shall be optional for the existing investors who have already provided the nomination details. </w:t>
      </w:r>
    </w:p>
    <w:p w:rsidR="00D35A3B" w:rsidRPr="00D35A3B" w:rsidRDefault="00D35A3B" w:rsidP="00D35A3B">
      <w:pPr>
        <w:jc w:val="both"/>
        <w:rPr>
          <w:rFonts w:ascii="Garamond" w:hAnsi="Garamond"/>
          <w:lang w:val="en-US"/>
        </w:rPr>
      </w:pPr>
      <w:r w:rsidRPr="00D35A3B">
        <w:rPr>
          <w:rFonts w:ascii="Garamond" w:hAnsi="Garamond"/>
          <w:lang w:val="en-US"/>
        </w:rPr>
        <w:t>(c) Existing investors who have not submitted nomination details may also be allowed to do so through internet trading platform for stock brokers/depository participants providing such services.</w:t>
      </w:r>
    </w:p>
    <w:p w:rsidR="00D35A3B" w:rsidRPr="00D35A3B" w:rsidRDefault="00D35A3B" w:rsidP="00D35A3B">
      <w:pPr>
        <w:jc w:val="both"/>
        <w:rPr>
          <w:rFonts w:ascii="Garamond" w:hAnsi="Garamond"/>
          <w:i/>
          <w:iCs/>
          <w:lang w:val="en-US"/>
        </w:rPr>
      </w:pPr>
      <w:r w:rsidRPr="00D35A3B">
        <w:rPr>
          <w:rFonts w:ascii="Garamond" w:hAnsi="Garamond"/>
          <w:i/>
          <w:iCs/>
          <w:lang w:val="en-US"/>
        </w:rPr>
        <w:t>Source: SEBI/HO/MIRSD/MIRSD_RTAMB/P/CIR/2022/23 dated February 24, 2022.</w:t>
      </w:r>
    </w:p>
    <w:p w:rsidR="00D35A3B" w:rsidRDefault="00D35A3B" w:rsidP="00D35A3B">
      <w:pPr>
        <w:jc w:val="both"/>
        <w:rPr>
          <w:rFonts w:ascii="Palatino Linotype" w:hAnsi="Palatino Linotype"/>
          <w:i/>
          <w:iCs/>
          <w:lang w:val="en-US"/>
        </w:rPr>
      </w:pPr>
    </w:p>
    <w:p w:rsidR="00D35A3B" w:rsidRDefault="00D35A3B" w:rsidP="00223C98">
      <w:pPr>
        <w:pStyle w:val="ListParagraph"/>
        <w:numPr>
          <w:ilvl w:val="0"/>
          <w:numId w:val="11"/>
        </w:numPr>
        <w:rPr>
          <w:rFonts w:ascii="Garamond" w:hAnsi="Garamond"/>
          <w:b/>
          <w:bCs/>
          <w:sz w:val="24"/>
          <w:szCs w:val="24"/>
        </w:rPr>
      </w:pPr>
      <w:r w:rsidRPr="00D35A3B">
        <w:rPr>
          <w:rFonts w:ascii="Garamond" w:hAnsi="Garamond"/>
          <w:b/>
          <w:bCs/>
          <w:sz w:val="24"/>
          <w:szCs w:val="24"/>
        </w:rPr>
        <w:t>Approach  to  securities  market  data access and  terms of  usage  of  data provided by data sources in Indian securities market</w:t>
      </w:r>
    </w:p>
    <w:p w:rsidR="00D35A3B" w:rsidRPr="00D35A3B" w:rsidRDefault="00D35A3B" w:rsidP="00D35A3B">
      <w:pPr>
        <w:rPr>
          <w:rFonts w:ascii="Garamond" w:hAnsi="Garamond"/>
        </w:rPr>
      </w:pPr>
      <w:r w:rsidRPr="00D35A3B">
        <w:rPr>
          <w:rFonts w:ascii="Garamond" w:hAnsi="Garamond"/>
        </w:rPr>
        <w:t>Keeping in view the deliberations and recommendations of MDAC on the issue of public dissemination of data, all market intermediaries including the other data sources in Indian securities markets are advised to make note of the following:</w:t>
      </w:r>
    </w:p>
    <w:p w:rsidR="00D35A3B" w:rsidRPr="00D35A3B" w:rsidRDefault="00D35A3B" w:rsidP="00D35A3B">
      <w:pPr>
        <w:rPr>
          <w:rFonts w:ascii="Garamond" w:hAnsi="Garamond"/>
        </w:rPr>
      </w:pPr>
      <w:r w:rsidRPr="00D35A3B">
        <w:rPr>
          <w:rFonts w:ascii="Garamond" w:hAnsi="Garamond"/>
        </w:rPr>
        <w:t>“As far as the data provided by various data sources in Indian securities markets pursuant to regulatory mandates for reporting and disclosure in public  domain are  concerned,  such  data  should  be  made  available to users, ‘free of charge’ both for ‘viewing’ the data as also for download in the  format  as  specified  by  regulatory  mandate  for  reporting, as  well  as their usage for the value addition purposes.”</w:t>
      </w:r>
    </w:p>
    <w:p w:rsidR="00D35A3B" w:rsidRPr="00D35A3B" w:rsidRDefault="00D35A3B" w:rsidP="00D35A3B">
      <w:pPr>
        <w:rPr>
          <w:rFonts w:ascii="Garamond" w:hAnsi="Garamond"/>
          <w:i/>
          <w:iCs/>
        </w:rPr>
      </w:pPr>
      <w:r w:rsidRPr="00D35A3B">
        <w:rPr>
          <w:rFonts w:ascii="Garamond" w:hAnsi="Garamond"/>
          <w:i/>
          <w:iCs/>
        </w:rPr>
        <w:t>Source: SEBI/HO/DEPA-III/DEPA-III_SSU/P/CIR/2022/25 dated February 25, 2022.</w:t>
      </w:r>
    </w:p>
    <w:p w:rsidR="00D35A3B" w:rsidRPr="00D35A3B" w:rsidRDefault="00D35A3B" w:rsidP="00D35A3B">
      <w:pPr>
        <w:rPr>
          <w:rFonts w:ascii="Garamond" w:hAnsi="Garamond"/>
        </w:rPr>
      </w:pPr>
    </w:p>
    <w:p w:rsidR="00D35A3B" w:rsidRPr="00D35A3B" w:rsidRDefault="00D35A3B" w:rsidP="00223C98">
      <w:pPr>
        <w:pStyle w:val="ListParagraph"/>
        <w:numPr>
          <w:ilvl w:val="0"/>
          <w:numId w:val="11"/>
        </w:numPr>
        <w:rPr>
          <w:rFonts w:ascii="Garamond" w:hAnsi="Garamond"/>
          <w:b/>
          <w:bCs/>
        </w:rPr>
      </w:pPr>
      <w:r w:rsidRPr="00D35A3B">
        <w:rPr>
          <w:rFonts w:ascii="Garamond" w:hAnsi="Garamond"/>
          <w:b/>
          <w:bCs/>
          <w:sz w:val="24"/>
          <w:szCs w:val="24"/>
        </w:rPr>
        <w:t>Swing pricing framework for mutual fund schemes – Extension of timeline</w:t>
      </w:r>
    </w:p>
    <w:p w:rsidR="00D35A3B" w:rsidRPr="00D35A3B" w:rsidRDefault="00D35A3B" w:rsidP="00D35A3B">
      <w:pPr>
        <w:rPr>
          <w:rFonts w:ascii="Garamond" w:hAnsi="Garamond"/>
        </w:rPr>
      </w:pPr>
      <w:r w:rsidRPr="00D35A3B">
        <w:rPr>
          <w:rFonts w:ascii="Garamond" w:hAnsi="Garamond"/>
        </w:rPr>
        <w:t>Based on the request received from AMFI, it has been decided to extend the implementation date of the provisions of the SEBI  circular dated September 29, 2021, which stipulated swing pricing framework for mutual fund schemes to, May 1, 2022.</w:t>
      </w:r>
    </w:p>
    <w:p w:rsidR="00D35A3B" w:rsidRDefault="00D35A3B" w:rsidP="00D35A3B">
      <w:pPr>
        <w:rPr>
          <w:rFonts w:ascii="Garamond" w:hAnsi="Garamond"/>
          <w:i/>
          <w:iCs/>
        </w:rPr>
      </w:pPr>
      <w:r w:rsidRPr="00D35A3B">
        <w:rPr>
          <w:rFonts w:ascii="Garamond" w:hAnsi="Garamond"/>
          <w:i/>
          <w:iCs/>
        </w:rPr>
        <w:t>Source: SEBI/HO/IMD/IMD-II DOF3/P/CIR/2022/24 dated February 25, 2022.</w:t>
      </w:r>
    </w:p>
    <w:p w:rsidR="00D35A3B" w:rsidRPr="00D35A3B" w:rsidRDefault="00D35A3B" w:rsidP="00D35A3B">
      <w:pPr>
        <w:rPr>
          <w:rFonts w:ascii="Garamond" w:hAnsi="Garamond"/>
          <w:i/>
          <w:iCs/>
        </w:rPr>
      </w:pPr>
    </w:p>
    <w:p w:rsidR="00D35A3B" w:rsidRDefault="00D35A3B" w:rsidP="00223C98">
      <w:pPr>
        <w:pStyle w:val="ListParagraph"/>
        <w:numPr>
          <w:ilvl w:val="0"/>
          <w:numId w:val="11"/>
        </w:numPr>
        <w:rPr>
          <w:rFonts w:ascii="Garamond" w:hAnsi="Garamond"/>
          <w:b/>
          <w:bCs/>
          <w:sz w:val="24"/>
          <w:szCs w:val="24"/>
        </w:rPr>
      </w:pPr>
      <w:r w:rsidRPr="00D35A3B">
        <w:rPr>
          <w:rFonts w:ascii="Garamond" w:hAnsi="Garamond"/>
          <w:b/>
          <w:bCs/>
          <w:sz w:val="24"/>
          <w:szCs w:val="24"/>
        </w:rPr>
        <w:t>Extension to SEBI  Circular on “Relaxation in adherence to prescribed timelines issued by SEBI due to Covid 19” dated April 13, 2020</w:t>
      </w:r>
    </w:p>
    <w:p w:rsidR="00D35A3B" w:rsidRPr="00D35A3B" w:rsidRDefault="00D35A3B" w:rsidP="00D35A3B">
      <w:pPr>
        <w:rPr>
          <w:rFonts w:ascii="Garamond" w:hAnsi="Garamond"/>
        </w:rPr>
      </w:pPr>
      <w:r w:rsidRPr="00D35A3B">
        <w:rPr>
          <w:rFonts w:ascii="Garamond" w:hAnsi="Garamond"/>
        </w:rPr>
        <w:t xml:space="preserve">Relaxation given to intermediaries/market participant’s w.r.t. compliance with the prescribed timelines has been extended to June 30, 2022. This includes processing of requests for remat, demat, transmission, duplicate share certificates, name deletion/changes, consolidation, split, replacement  of  share certificates , amalgamation of folios, handling of investor correspondence , grievances / SCORES complaint. </w:t>
      </w:r>
    </w:p>
    <w:p w:rsidR="00D35A3B" w:rsidRPr="00D35A3B" w:rsidRDefault="00D35A3B" w:rsidP="00D35A3B">
      <w:pPr>
        <w:rPr>
          <w:rFonts w:ascii="Garamond" w:hAnsi="Garamond"/>
        </w:rPr>
      </w:pPr>
      <w:r w:rsidRPr="00D35A3B">
        <w:rPr>
          <w:rFonts w:ascii="Garamond" w:hAnsi="Garamond"/>
          <w:i/>
          <w:iCs/>
        </w:rPr>
        <w:t>Source: SEBI/HO/MIRSD/MIRSD_RTAMB/P/CIR/2022/26 dated February 25,</w:t>
      </w:r>
      <w:r w:rsidRPr="00D35A3B">
        <w:rPr>
          <w:rFonts w:ascii="Garamond" w:hAnsi="Garamond"/>
        </w:rPr>
        <w:t xml:space="preserve"> </w:t>
      </w:r>
      <w:r w:rsidRPr="00D35A3B">
        <w:rPr>
          <w:rFonts w:ascii="Garamond" w:hAnsi="Garamond"/>
          <w:i/>
          <w:iCs/>
        </w:rPr>
        <w:t>2022.</w:t>
      </w:r>
    </w:p>
    <w:p w:rsidR="00D35A3B" w:rsidRPr="00D35A3B" w:rsidRDefault="00D35A3B" w:rsidP="00D35A3B">
      <w:pPr>
        <w:pStyle w:val="ListParagraph"/>
        <w:ind w:left="644"/>
        <w:jc w:val="both"/>
        <w:rPr>
          <w:rFonts w:ascii="Garamond" w:hAnsi="Garamond"/>
          <w:b/>
          <w:bCs/>
        </w:rPr>
      </w:pPr>
    </w:p>
    <w:p w:rsidR="00D80A78" w:rsidRPr="00836FD4" w:rsidRDefault="00284E34" w:rsidP="00623B25">
      <w:pPr>
        <w:spacing w:after="120"/>
        <w:jc w:val="both"/>
        <w:rPr>
          <w:rFonts w:ascii="Garamond" w:hAnsi="Garamond"/>
          <w:b/>
        </w:rPr>
      </w:pPr>
      <w:r w:rsidRPr="00836FD4">
        <w:rPr>
          <w:rFonts w:ascii="Garamond" w:hAnsi="Garamond" w:cs="Arial"/>
          <w:i/>
        </w:rPr>
        <w:t>Disclaimer: The summary has been prepared for the convenience of readers. In case of any ambiguity, please refer to the original circular</w:t>
      </w:r>
      <w:r w:rsidR="00836FD4">
        <w:rPr>
          <w:rFonts w:ascii="Garamond" w:hAnsi="Garamond" w:cs="Arial"/>
          <w:i/>
        </w:rPr>
        <w:t xml:space="preserve"> from SEBI website</w:t>
      </w:r>
      <w:r w:rsidRPr="00836FD4">
        <w:rPr>
          <w:rFonts w:ascii="Garamond" w:hAnsi="Garamond" w:cs="Arial"/>
          <w:i/>
        </w:rPr>
        <w:t>.</w:t>
      </w:r>
    </w:p>
    <w:p w:rsidR="00B43842" w:rsidRPr="009774AE" w:rsidRDefault="00B43842" w:rsidP="009774AE">
      <w:pPr>
        <w:spacing w:after="120"/>
        <w:rPr>
          <w:rFonts w:ascii="Garamond" w:hAnsi="Garamond"/>
          <w:b/>
        </w:rPr>
      </w:pPr>
    </w:p>
    <w:p w:rsidR="00836FD4" w:rsidRDefault="00836FD4" w:rsidP="00F025AD">
      <w:pPr>
        <w:spacing w:after="120"/>
        <w:jc w:val="center"/>
        <w:rPr>
          <w:rFonts w:ascii="Palatino Linotype" w:hAnsi="Palatino Linotype"/>
          <w:b/>
          <w:sz w:val="28"/>
          <w:szCs w:val="28"/>
        </w:rPr>
      </w:pPr>
    </w:p>
    <w:p w:rsidR="00836FD4" w:rsidRDefault="00836FD4" w:rsidP="00F025AD">
      <w:pPr>
        <w:spacing w:after="120"/>
        <w:jc w:val="center"/>
        <w:rPr>
          <w:rFonts w:ascii="Palatino Linotype" w:hAnsi="Palatino Linotype"/>
          <w:b/>
          <w:sz w:val="28"/>
          <w:szCs w:val="28"/>
        </w:rPr>
      </w:pPr>
    </w:p>
    <w:p w:rsidR="00836FD4" w:rsidRDefault="00836FD4" w:rsidP="00F025AD">
      <w:pPr>
        <w:spacing w:after="120"/>
        <w:jc w:val="center"/>
        <w:rPr>
          <w:rFonts w:ascii="Palatino Linotype" w:hAnsi="Palatino Linotype"/>
          <w:b/>
          <w:sz w:val="28"/>
          <w:szCs w:val="28"/>
        </w:rPr>
      </w:pPr>
    </w:p>
    <w:p w:rsidR="00836FD4" w:rsidRDefault="00836FD4" w:rsidP="00F025AD">
      <w:pPr>
        <w:spacing w:after="120"/>
        <w:jc w:val="center"/>
        <w:rPr>
          <w:rFonts w:ascii="Palatino Linotype" w:hAnsi="Palatino Linotype"/>
          <w:b/>
          <w:sz w:val="28"/>
          <w:szCs w:val="28"/>
        </w:rPr>
      </w:pPr>
    </w:p>
    <w:p w:rsidR="00836FD4" w:rsidRDefault="00836FD4" w:rsidP="00F025AD">
      <w:pPr>
        <w:spacing w:after="120"/>
        <w:jc w:val="center"/>
        <w:rPr>
          <w:rFonts w:ascii="Palatino Linotype" w:hAnsi="Palatino Linotype"/>
          <w:b/>
          <w:sz w:val="28"/>
          <w:szCs w:val="28"/>
        </w:rPr>
      </w:pPr>
    </w:p>
    <w:p w:rsidR="002522B7" w:rsidRDefault="002522B7" w:rsidP="004C6A2B">
      <w:pPr>
        <w:spacing w:after="120"/>
        <w:rPr>
          <w:rFonts w:ascii="Garamond" w:hAnsi="Garamond"/>
          <w:b/>
          <w:color w:val="1F4E79" w:themeColor="accent1" w:themeShade="80"/>
          <w:sz w:val="28"/>
          <w:szCs w:val="28"/>
        </w:rPr>
      </w:pPr>
    </w:p>
    <w:p w:rsidR="00D666EC" w:rsidRDefault="00D666EC" w:rsidP="00B5431D">
      <w:pPr>
        <w:spacing w:after="120"/>
        <w:jc w:val="center"/>
        <w:rPr>
          <w:rFonts w:ascii="Garamond" w:hAnsi="Garamond"/>
          <w:b/>
          <w:color w:val="1F4E79" w:themeColor="accent1" w:themeShade="80"/>
          <w:sz w:val="28"/>
          <w:szCs w:val="28"/>
        </w:rPr>
      </w:pPr>
    </w:p>
    <w:p w:rsidR="00D666EC" w:rsidRDefault="00D666EC" w:rsidP="00B5431D">
      <w:pPr>
        <w:spacing w:after="120"/>
        <w:jc w:val="center"/>
        <w:rPr>
          <w:rFonts w:ascii="Garamond" w:hAnsi="Garamond"/>
          <w:b/>
          <w:color w:val="1F4E79" w:themeColor="accent1" w:themeShade="80"/>
          <w:sz w:val="28"/>
          <w:szCs w:val="28"/>
        </w:rPr>
      </w:pPr>
    </w:p>
    <w:p w:rsidR="00D666EC" w:rsidRDefault="00D666EC" w:rsidP="00B5431D">
      <w:pPr>
        <w:spacing w:after="120"/>
        <w:jc w:val="center"/>
        <w:rPr>
          <w:rFonts w:ascii="Garamond" w:hAnsi="Garamond"/>
          <w:b/>
          <w:color w:val="1F4E79" w:themeColor="accent1" w:themeShade="80"/>
          <w:sz w:val="28"/>
          <w:szCs w:val="28"/>
        </w:rPr>
      </w:pPr>
    </w:p>
    <w:p w:rsidR="00D666EC" w:rsidRDefault="00D666EC" w:rsidP="00B5431D">
      <w:pPr>
        <w:spacing w:after="120"/>
        <w:jc w:val="center"/>
        <w:rPr>
          <w:rFonts w:ascii="Garamond" w:hAnsi="Garamond"/>
          <w:b/>
          <w:color w:val="1F4E79" w:themeColor="accent1" w:themeShade="80"/>
          <w:sz w:val="28"/>
          <w:szCs w:val="28"/>
        </w:rPr>
      </w:pPr>
    </w:p>
    <w:p w:rsidR="00D666EC" w:rsidRDefault="00D666EC" w:rsidP="00B5431D">
      <w:pPr>
        <w:spacing w:after="120"/>
        <w:jc w:val="center"/>
        <w:rPr>
          <w:rFonts w:ascii="Garamond" w:hAnsi="Garamond"/>
          <w:b/>
          <w:color w:val="1F4E79" w:themeColor="accent1" w:themeShade="80"/>
          <w:sz w:val="28"/>
          <w:szCs w:val="28"/>
        </w:rPr>
      </w:pPr>
    </w:p>
    <w:p w:rsidR="00272724" w:rsidRPr="00C4512E" w:rsidRDefault="00272724" w:rsidP="00B5431D">
      <w:pPr>
        <w:spacing w:after="120"/>
        <w:jc w:val="center"/>
        <w:rPr>
          <w:rFonts w:ascii="Garamond" w:hAnsi="Garamond"/>
          <w:b/>
          <w:color w:val="1F4E79" w:themeColor="accent1" w:themeShade="80"/>
          <w:sz w:val="28"/>
          <w:szCs w:val="28"/>
        </w:rPr>
      </w:pPr>
      <w:r w:rsidRPr="00C4512E">
        <w:rPr>
          <w:rFonts w:ascii="Garamond" w:hAnsi="Garamond"/>
          <w:b/>
          <w:color w:val="1F4E79" w:themeColor="accent1" w:themeShade="80"/>
          <w:sz w:val="28"/>
          <w:szCs w:val="28"/>
        </w:rPr>
        <w:lastRenderedPageBreak/>
        <w:t>REGULATORY ACTIONS TAKEN BY SEBI</w:t>
      </w:r>
    </w:p>
    <w:p w:rsidR="00272724" w:rsidRPr="000F5A2B" w:rsidRDefault="00272724" w:rsidP="00272724">
      <w:pPr>
        <w:rPr>
          <w:rFonts w:ascii="Garamond" w:hAnsi="Garamond"/>
          <w:b/>
        </w:rPr>
      </w:pPr>
    </w:p>
    <w:p w:rsidR="00272724" w:rsidRPr="000F5A2B" w:rsidRDefault="00C4512E" w:rsidP="00C4512E">
      <w:pPr>
        <w:jc w:val="center"/>
        <w:rPr>
          <w:rFonts w:ascii="Garamond" w:hAnsi="Garamond"/>
          <w:b/>
          <w:color w:val="1F4E79" w:themeColor="accent1" w:themeShade="80"/>
        </w:rPr>
      </w:pPr>
      <w:r>
        <w:rPr>
          <w:rFonts w:ascii="Garamond" w:hAnsi="Garamond"/>
          <w:b/>
          <w:color w:val="1F4E79" w:themeColor="accent1" w:themeShade="80"/>
        </w:rPr>
        <w:t>(</w:t>
      </w:r>
      <w:r w:rsidR="00836FD4" w:rsidRPr="000F5A2B">
        <w:rPr>
          <w:rFonts w:ascii="Garamond" w:hAnsi="Garamond"/>
          <w:b/>
          <w:color w:val="1F4E79" w:themeColor="accent1" w:themeShade="80"/>
        </w:rPr>
        <w:t xml:space="preserve">Summary of </w:t>
      </w:r>
      <w:r w:rsidR="00272724" w:rsidRPr="000F5A2B">
        <w:rPr>
          <w:rFonts w:ascii="Garamond" w:hAnsi="Garamond"/>
          <w:b/>
          <w:color w:val="1F4E79" w:themeColor="accent1" w:themeShade="80"/>
        </w:rPr>
        <w:t>Orders passed by Whole Time Members</w:t>
      </w:r>
      <w:r w:rsidR="00F9747C" w:rsidRPr="000F5A2B">
        <w:rPr>
          <w:rFonts w:ascii="Garamond" w:hAnsi="Garamond"/>
          <w:b/>
          <w:color w:val="1F4E79" w:themeColor="accent1" w:themeShade="80"/>
        </w:rPr>
        <w:t xml:space="preserve"> / Adjudication Officers</w:t>
      </w:r>
      <w:r>
        <w:rPr>
          <w:rFonts w:ascii="Garamond" w:hAnsi="Garamond"/>
          <w:b/>
          <w:color w:val="1F4E79" w:themeColor="accent1" w:themeShade="80"/>
        </w:rPr>
        <w:t>)</w:t>
      </w:r>
    </w:p>
    <w:p w:rsidR="00A07B14" w:rsidRDefault="00A07B14" w:rsidP="00272724">
      <w:pPr>
        <w:rPr>
          <w:rFonts w:ascii="Garamond" w:hAnsi="Garamond"/>
          <w:b/>
          <w:sz w:val="22"/>
          <w:szCs w:val="22"/>
        </w:rPr>
      </w:pPr>
    </w:p>
    <w:p w:rsidR="00956136" w:rsidRDefault="00956136" w:rsidP="00272724">
      <w:pPr>
        <w:rPr>
          <w:rFonts w:ascii="Garamond" w:hAnsi="Garamond"/>
          <w:b/>
          <w:sz w:val="22"/>
          <w:szCs w:val="22"/>
        </w:rPr>
      </w:pPr>
    </w:p>
    <w:tbl>
      <w:tblPr>
        <w:tblW w:w="10977" w:type="dxa"/>
        <w:tblInd w:w="-431" w:type="dxa"/>
        <w:tblLayout w:type="fixed"/>
        <w:tblLook w:val="04A0" w:firstRow="1" w:lastRow="0" w:firstColumn="1" w:lastColumn="0" w:noHBand="0" w:noVBand="1"/>
      </w:tblPr>
      <w:tblGrid>
        <w:gridCol w:w="771"/>
        <w:gridCol w:w="1418"/>
        <w:gridCol w:w="1701"/>
        <w:gridCol w:w="1275"/>
        <w:gridCol w:w="2127"/>
        <w:gridCol w:w="2268"/>
        <w:gridCol w:w="1417"/>
      </w:tblGrid>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Sl.</w:t>
            </w:r>
          </w:p>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No.</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Date</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Case Name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 xml:space="preserve">Action </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Entity</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Violation</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956136" w:rsidRPr="002A023C" w:rsidRDefault="00956136" w:rsidP="002A023C">
            <w:pPr>
              <w:jc w:val="both"/>
              <w:rPr>
                <w:rFonts w:ascii="Garamond" w:hAnsi="Garamond" w:cs="Calibri"/>
                <w:b/>
                <w:bCs/>
                <w:color w:val="000000"/>
                <w:lang w:val="en-IN" w:eastAsia="en-IN" w:bidi="hi-IN"/>
              </w:rPr>
            </w:pPr>
            <w:r w:rsidRPr="002A023C">
              <w:rPr>
                <w:rFonts w:ascii="Garamond" w:hAnsi="Garamond" w:cs="Calibri"/>
                <w:b/>
                <w:bCs/>
                <w:color w:val="000000"/>
                <w:lang w:val="en-IN" w:eastAsia="en-IN" w:bidi="hi-IN"/>
              </w:rPr>
              <w:t>PENALTY (`)</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522B7" w:rsidP="002A023C">
            <w:pPr>
              <w:jc w:val="both"/>
              <w:rPr>
                <w:rFonts w:ascii="Garamond" w:hAnsi="Garamond"/>
              </w:rPr>
            </w:pPr>
            <w:r w:rsidRPr="002A023C">
              <w:rPr>
                <w:rFonts w:ascii="Garamond" w:eastAsia="Calibri" w:hAnsi="Garamond" w:cs="Mangal"/>
                <w:lang w:bidi="hi-IN"/>
              </w:rPr>
              <w:t>03/02/2022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hAnsi="Garamond"/>
              </w:rPr>
              <w:t xml:space="preserve">Trading </w:t>
            </w:r>
            <w:r w:rsidR="005D3A87" w:rsidRPr="002A023C">
              <w:rPr>
                <w:rFonts w:ascii="Garamond" w:hAnsi="Garamond"/>
              </w:rPr>
              <w:t xml:space="preserve">activities of family members </w:t>
            </w:r>
            <w:r w:rsidRPr="002A023C">
              <w:rPr>
                <w:rFonts w:ascii="Garamond" w:hAnsi="Garamond"/>
              </w:rPr>
              <w:t>of Hemant Ghai</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r w:rsidRPr="002A023C">
              <w:rPr>
                <w:rFonts w:ascii="Garamond" w:eastAsia="Calibri" w:hAnsi="Garamond" w:cs="Mangal"/>
                <w:lang w:bidi="hi-IN"/>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shd w:val="clear" w:color="auto" w:fill="FFFFFF"/>
              <w:jc w:val="both"/>
              <w:rPr>
                <w:rFonts w:ascii="Garamond" w:hAnsi="Garamond"/>
              </w:rPr>
            </w:pPr>
            <w:r w:rsidRPr="002A023C">
              <w:rPr>
                <w:rFonts w:ascii="Garamond" w:hAnsi="Garamond"/>
              </w:rPr>
              <w:t>Mr. Hemant Ghai, Ms. Jaya Hemant Ghai, Ms. Shyam Mohini Ghai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D656D2" w:rsidP="002A023C">
            <w:pPr>
              <w:shd w:val="clear" w:color="auto" w:fill="FFFFFF"/>
              <w:jc w:val="both"/>
              <w:rPr>
                <w:rFonts w:ascii="Garamond" w:hAnsi="Garamond"/>
              </w:rPr>
            </w:pPr>
            <w:r w:rsidRPr="002A023C">
              <w:rPr>
                <w:rFonts w:ascii="Garamond" w:hAnsi="Garamond"/>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r w:rsidRPr="002A023C">
              <w:rPr>
                <w:rFonts w:ascii="Garamond" w:eastAsia="Calibri" w:hAnsi="Garamond" w:cs="Mangal"/>
                <w:lang w:bidi="hi-IN"/>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eastAsia="Calibri" w:hAnsi="Garamond" w:cs="Mangal"/>
                <w:lang w:bidi="hi-IN"/>
              </w:rPr>
              <w:t>08/02/2022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eastAsia="Times New Roman" w:hAnsi="Garamond" w:cs="Calibri"/>
                <w:color w:val="000000"/>
                <w:lang w:eastAsia="en-IN"/>
              </w:rPr>
              <w:t>GRS Solution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r w:rsidRPr="002A023C">
              <w:rPr>
                <w:rFonts w:ascii="Garamond" w:eastAsia="Calibri" w:hAnsi="Garamond" w:cs="Mangal"/>
                <w:lang w:bidi="hi-IN"/>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eastAsia="Times New Roman" w:hAnsi="Garamond" w:cs="Calibri"/>
                <w:color w:val="000000"/>
                <w:lang w:eastAsia="en-IN"/>
              </w:rPr>
              <w:t>Mr. Nilesh Vispute (Proprietor of the GRS Solution)</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726D83" w:rsidP="002A023C">
            <w:pPr>
              <w:shd w:val="clear" w:color="auto" w:fill="FFFFFF"/>
              <w:jc w:val="both"/>
              <w:rPr>
                <w:rFonts w:ascii="Garamond" w:hAnsi="Garamond"/>
              </w:rPr>
            </w:pPr>
            <w:r w:rsidRPr="002A023C">
              <w:rPr>
                <w:rFonts w:ascii="Garamond" w:eastAsia="Times New Roman" w:hAnsi="Garamond" w:cs="Calibri"/>
                <w:color w:val="000000"/>
                <w:lang w:eastAsia="en-IN"/>
              </w:rPr>
              <w:t>Regulations 7(2), 15(1),16, 17, and 19 and Clauses 1, 2, 3&amp; 8of the Code of Conduct for IA read with Regulation 15(9) of the IA Regulations, 2013, Section 12A(a), (b) &amp; (c) of the SEBI Act and Regulations 3(a), (b) &amp; (c), 4 (1) and 4 (2)(k), (o) &amp; (s) of the PFUTP Regulations, 2003.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EB0191" w:rsidP="002A023C">
            <w:pPr>
              <w:jc w:val="both"/>
              <w:rPr>
                <w:rFonts w:ascii="Garamond" w:hAnsi="Garamond"/>
              </w:rPr>
            </w:pPr>
            <w:r w:rsidRPr="002A023C">
              <w:rPr>
                <w:rFonts w:ascii="Garamond" w:hAnsi="Garamond"/>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eastAsia="Calibri" w:hAnsi="Garamond" w:cs="Mangal"/>
                <w:lang w:bidi="hi-IN"/>
              </w:rPr>
              <w:t>11/02/2022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eastAsia="Times New Roman" w:hAnsi="Garamond" w:cs="Calibri"/>
                <w:color w:val="000000"/>
                <w:lang w:eastAsia="en-IN"/>
              </w:rPr>
              <w:t xml:space="preserve">Reliance Home Finance </w:t>
            </w:r>
            <w:r w:rsidR="005D3A87">
              <w:rPr>
                <w:rFonts w:ascii="Garamond" w:eastAsia="Times New Roman" w:hAnsi="Garamond" w:cs="Calibri"/>
                <w:color w:val="000000"/>
                <w:lang w:eastAsia="en-IN"/>
              </w:rPr>
              <w:t>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34D6C" w:rsidP="002A023C">
            <w:pPr>
              <w:jc w:val="both"/>
              <w:rPr>
                <w:rFonts w:ascii="Garamond" w:hAnsi="Garamond"/>
              </w:rPr>
            </w:pPr>
            <w:r w:rsidRPr="002A023C">
              <w:rPr>
                <w:rFonts w:ascii="Garamond" w:eastAsia="Times New Roman" w:hAnsi="Garamond" w:cs="Calibri"/>
                <w:color w:val="000000"/>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3D44F5" w:rsidP="002A023C">
            <w:pPr>
              <w:jc w:val="both"/>
              <w:rPr>
                <w:rFonts w:ascii="Garamond" w:hAnsi="Garamond"/>
              </w:rPr>
            </w:pPr>
            <w:r w:rsidRPr="002A023C">
              <w:rPr>
                <w:rFonts w:ascii="Garamond" w:eastAsia="Times New Roman" w:hAnsi="Garamond" w:cs="Calibri"/>
                <w:color w:val="000000"/>
                <w:lang w:eastAsia="en-IN"/>
              </w:rPr>
              <w:t xml:space="preserve">Reliance Home Finance </w:t>
            </w:r>
            <w:r w:rsidR="005D3A87">
              <w:rPr>
                <w:rFonts w:ascii="Garamond" w:eastAsia="Times New Roman" w:hAnsi="Garamond" w:cs="Calibri"/>
                <w:color w:val="000000"/>
                <w:lang w:eastAsia="en-IN"/>
              </w:rPr>
              <w:t>Ltd.</w:t>
            </w:r>
            <w:r w:rsidRPr="002A023C">
              <w:rPr>
                <w:rFonts w:ascii="Garamond" w:eastAsia="Times New Roman" w:hAnsi="Garamond" w:cs="Calibri"/>
                <w:color w:val="000000"/>
                <w:lang w:eastAsia="en-IN"/>
              </w:rPr>
              <w:t xml:space="preserve"> , Anil D. Ambani, Amit Bapna, Ravindra Sudhalkar, Pinkesh R. Shah, Adhar Project Management and Consultancy Private </w:t>
            </w:r>
            <w:r w:rsidR="005D3A87">
              <w:rPr>
                <w:rFonts w:ascii="Garamond" w:eastAsia="Times New Roman" w:hAnsi="Garamond" w:cs="Calibri"/>
                <w:color w:val="000000"/>
                <w:lang w:eastAsia="en-IN"/>
              </w:rPr>
              <w:t>Ltd.</w:t>
            </w:r>
            <w:r w:rsidRPr="002A023C">
              <w:rPr>
                <w:rFonts w:ascii="Garamond" w:eastAsia="Times New Roman" w:hAnsi="Garamond" w:cs="Calibri"/>
                <w:color w:val="000000"/>
                <w:lang w:eastAsia="en-IN"/>
              </w:rPr>
              <w:t xml:space="preserve">, Indian Agri Services Private </w:t>
            </w:r>
            <w:r w:rsidR="005D3A87">
              <w:rPr>
                <w:rFonts w:ascii="Garamond" w:eastAsia="Times New Roman" w:hAnsi="Garamond" w:cs="Calibri"/>
                <w:color w:val="000000"/>
                <w:lang w:eastAsia="en-IN"/>
              </w:rPr>
              <w:t>Ltd.</w:t>
            </w:r>
            <w:r w:rsidRPr="002A023C">
              <w:rPr>
                <w:rFonts w:ascii="Garamond" w:eastAsia="Times New Roman" w:hAnsi="Garamond" w:cs="Calibri"/>
                <w:color w:val="000000"/>
                <w:lang w:eastAsia="en-IN"/>
              </w:rPr>
              <w:t xml:space="preserve">, Phi Management Solutions Private </w:t>
            </w:r>
            <w:r w:rsidR="005D3A87">
              <w:rPr>
                <w:rFonts w:ascii="Garamond" w:eastAsia="Times New Roman" w:hAnsi="Garamond" w:cs="Calibri"/>
                <w:color w:val="000000"/>
                <w:lang w:eastAsia="en-IN"/>
              </w:rPr>
              <w:t>Ltd.</w:t>
            </w:r>
            <w:r w:rsidRPr="002A023C">
              <w:rPr>
                <w:rFonts w:ascii="Garamond" w:eastAsia="Times New Roman" w:hAnsi="Garamond" w:cs="Calibri"/>
                <w:color w:val="000000"/>
                <w:lang w:eastAsia="en-IN"/>
              </w:rPr>
              <w:t xml:space="preserve"> &amp; 20 others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3D44F5" w:rsidP="002A023C">
            <w:pPr>
              <w:shd w:val="clear" w:color="auto" w:fill="FFFFFF"/>
              <w:jc w:val="both"/>
              <w:rPr>
                <w:rFonts w:ascii="Garamond" w:hAnsi="Garamond"/>
              </w:rPr>
            </w:pPr>
            <w:r w:rsidRPr="002A023C">
              <w:rPr>
                <w:rFonts w:ascii="Garamond" w:eastAsia="Times New Roman" w:hAnsi="Garamond" w:cs="Calibri"/>
                <w:color w:val="000000"/>
                <w:lang w:eastAsia="en-IN"/>
              </w:rPr>
              <w:t>Section 12A (a), (b), (c) of SEBI Act, 1992, Regulation 3 (b), (c), (d), 4 (1), 4 (2) (f), 4 (2) (k) and 4 (2) (r) of SEBI (Prohibition of Fraudulent and Unfair Trade Practices) Regulations, 2003 (“PFUTP Regulations”).</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34D6C" w:rsidP="002A023C">
            <w:pPr>
              <w:jc w:val="both"/>
              <w:rPr>
                <w:rFonts w:ascii="Garamond" w:hAnsi="Garamond"/>
              </w:rPr>
            </w:pPr>
            <w:r w:rsidRPr="002A023C">
              <w:rPr>
                <w:rFonts w:ascii="Garamond" w:eastAsia="Calibri" w:hAnsi="Garamond" w:cs="Mangal"/>
                <w:lang w:bidi="hi-IN"/>
              </w:rPr>
              <w:t xml:space="preserve">       -</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26D83" w:rsidP="002A023C">
            <w:pPr>
              <w:jc w:val="both"/>
              <w:rPr>
                <w:rFonts w:ascii="Garamond" w:hAnsi="Garamond"/>
              </w:rPr>
            </w:pPr>
            <w:r w:rsidRPr="002A023C">
              <w:rPr>
                <w:rFonts w:ascii="Garamond" w:eastAsia="Calibri" w:hAnsi="Garamond" w:cs="Mangal"/>
                <w:lang w:bidi="hi-IN"/>
              </w:rPr>
              <w:t>11/02/2022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3D44F5" w:rsidP="002A023C">
            <w:pPr>
              <w:jc w:val="both"/>
              <w:rPr>
                <w:rFonts w:ascii="Garamond" w:hAnsi="Garamond"/>
              </w:rPr>
            </w:pPr>
            <w:r w:rsidRPr="002A023C">
              <w:rPr>
                <w:rFonts w:ascii="Garamond" w:eastAsia="Times New Roman" w:hAnsi="Garamond" w:cs="Calibri"/>
                <w:color w:val="000000"/>
                <w:lang w:eastAsia="en-IN"/>
              </w:rPr>
              <w:t xml:space="preserve">Ms. Chitra Ramkrishna, National Stock Exchange of India </w:t>
            </w:r>
            <w:r w:rsidR="005D3A87">
              <w:rPr>
                <w:rFonts w:ascii="Garamond" w:eastAsia="Times New Roman" w:hAnsi="Garamond" w:cs="Calibri"/>
                <w:color w:val="000000"/>
                <w:lang w:eastAsia="en-IN"/>
              </w:rPr>
              <w:t>Ltd.</w:t>
            </w:r>
            <w:r w:rsidRPr="002A023C">
              <w:rPr>
                <w:rFonts w:ascii="Garamond" w:eastAsia="Times New Roman" w:hAnsi="Garamond" w:cs="Calibri"/>
                <w:color w:val="000000"/>
                <w:lang w:eastAsia="en-IN"/>
              </w:rPr>
              <w:t>, Mr. Ravi Narain, Mr. J Ravichandran, Mr. V.R. Narasimhan, Mr. Anand Subramanian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734D6C" w:rsidP="002A023C">
            <w:pPr>
              <w:jc w:val="both"/>
              <w:rPr>
                <w:rFonts w:ascii="Garamond" w:hAnsi="Garamond"/>
              </w:rPr>
            </w:pPr>
            <w:r w:rsidRPr="002A023C">
              <w:rPr>
                <w:rFonts w:ascii="Garamond" w:eastAsia="Times New Roman" w:hAnsi="Garamond" w:cs="Calibri"/>
                <w:color w:val="000000"/>
              </w:rPr>
              <w:t xml:space="preserve">11B </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3D44F5" w:rsidP="002A023C">
            <w:pPr>
              <w:jc w:val="both"/>
              <w:rPr>
                <w:rFonts w:ascii="Garamond" w:hAnsi="Garamond"/>
              </w:rPr>
            </w:pPr>
            <w:r w:rsidRPr="002A023C">
              <w:rPr>
                <w:rFonts w:ascii="Garamond" w:eastAsia="Times New Roman" w:hAnsi="Garamond" w:cs="Calibri"/>
                <w:color w:val="000000"/>
                <w:lang w:eastAsia="en-IN"/>
              </w:rPr>
              <w:t xml:space="preserve">Ms. Chitra Ramkrishna, National Stock Exchange of India </w:t>
            </w:r>
            <w:r w:rsidR="005D3A87">
              <w:rPr>
                <w:rFonts w:ascii="Garamond" w:eastAsia="Times New Roman" w:hAnsi="Garamond" w:cs="Calibri"/>
                <w:color w:val="000000"/>
                <w:lang w:eastAsia="en-IN"/>
              </w:rPr>
              <w:t>Ltd.</w:t>
            </w:r>
            <w:r w:rsidRPr="002A023C">
              <w:rPr>
                <w:rFonts w:ascii="Garamond" w:eastAsia="Times New Roman" w:hAnsi="Garamond" w:cs="Calibri"/>
                <w:color w:val="000000"/>
                <w:lang w:eastAsia="en-IN"/>
              </w:rPr>
              <w:t>, Mr. Ravi Narain, Mr. J Ravichandran, Mr. V.R. Narasimhan, Mr. Anand Subramanian</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3D44F5" w:rsidP="002A023C">
            <w:pPr>
              <w:shd w:val="clear" w:color="auto" w:fill="FFFFFF"/>
              <w:jc w:val="both"/>
              <w:rPr>
                <w:rFonts w:ascii="Garamond" w:hAnsi="Garamond"/>
              </w:rPr>
            </w:pPr>
            <w:r w:rsidRPr="002A023C">
              <w:rPr>
                <w:rFonts w:ascii="Garamond" w:eastAsia="Times New Roman" w:hAnsi="Garamond" w:cs="Calibri"/>
                <w:color w:val="000000"/>
                <w:lang w:eastAsia="en-IN"/>
              </w:rPr>
              <w:t>Section 6(4) of Securities Contracts (Regulation) Act, 1956 ; Regulation  27(4)  of  SECC  Regulations,  2012</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3D44F5" w:rsidP="002A023C">
            <w:pPr>
              <w:jc w:val="both"/>
              <w:rPr>
                <w:rFonts w:ascii="Garamond" w:hAnsi="Garamond"/>
              </w:rPr>
            </w:pPr>
            <w:r w:rsidRPr="002A023C">
              <w:rPr>
                <w:rFonts w:ascii="Garamond" w:eastAsia="Times New Roman" w:hAnsi="Garamond" w:cs="Calibri"/>
                <w:color w:val="000000"/>
                <w:lang w:eastAsia="en-IN"/>
              </w:rPr>
              <w:t>9,06,00,000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eastAsia="Calibri" w:hAnsi="Garamond" w:cs="Mangal"/>
                <w:lang w:bidi="hi-IN"/>
              </w:rPr>
              <w:t>14/02/2022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eastAsia="Times New Roman" w:hAnsi="Garamond" w:cs="Calibri"/>
                <w:color w:val="000000"/>
                <w:lang w:val="en-US"/>
              </w:rPr>
              <w:t>Cancellation of certificate of registration of Stock Brokers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r w:rsidRPr="002A023C">
              <w:rPr>
                <w:rFonts w:ascii="Garamond" w:eastAsia="Calibri" w:hAnsi="Garamond" w:cs="Mangal"/>
                <w:lang w:bidi="hi-IN"/>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eastAsia="Times New Roman" w:hAnsi="Garamond" w:cs="Calibri"/>
                <w:color w:val="000000"/>
                <w:lang w:val="en-US"/>
              </w:rPr>
              <w:t>Conard Securities Private Ltd., Anee Securities Private Ltd., KSBL Securities Ltd., Credential Stock Brokers Ltd.</w:t>
            </w:r>
          </w:p>
        </w:tc>
        <w:tc>
          <w:tcPr>
            <w:tcW w:w="226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shd w:val="clear" w:color="auto" w:fill="FFFFFF"/>
              <w:jc w:val="both"/>
              <w:rPr>
                <w:rFonts w:ascii="Garamond" w:hAnsi="Garamond"/>
              </w:rPr>
            </w:pPr>
            <w:r w:rsidRPr="002A023C">
              <w:rPr>
                <w:rFonts w:ascii="Garamond" w:eastAsia="Times New Roman" w:hAnsi="Garamond" w:cs="Calibri"/>
                <w:color w:val="000000"/>
                <w:lang w:val="en-US"/>
              </w:rPr>
              <w:t>Regulation  9  (a)  of  Broker  Regulations,  1992</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r w:rsidRPr="002A023C">
              <w:rPr>
                <w:rFonts w:ascii="Garamond" w:hAnsi="Garamond"/>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hAnsi="Garamond"/>
              </w:rPr>
              <w:t>14/02/2022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eastAsia="Times New Roman" w:hAnsi="Garamond" w:cs="Calibri"/>
                <w:color w:val="000000"/>
                <w:lang w:val="en-US"/>
              </w:rPr>
              <w:t>Cancellation of certificate of registration of DP</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r w:rsidRPr="002A023C">
              <w:rPr>
                <w:rFonts w:ascii="Garamond" w:hAnsi="Garamond"/>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eastAsia="Times New Roman" w:hAnsi="Garamond" w:cs="Calibri"/>
                <w:color w:val="000000"/>
                <w:lang w:val="en-US"/>
              </w:rPr>
              <w:t>Wellindia Securities Ltd., BRH   Wealth   Kreators   Ltd., Fairwealth   Securities   Ltd, Vrise  Securities  Private  Ltd. &amp; 7 others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2C23C4" w:rsidP="002A023C">
            <w:pPr>
              <w:shd w:val="clear" w:color="auto" w:fill="FFFFFF"/>
              <w:jc w:val="both"/>
              <w:rPr>
                <w:rFonts w:ascii="Garamond" w:hAnsi="Garamond"/>
              </w:rPr>
            </w:pPr>
            <w:r w:rsidRPr="002A023C">
              <w:rPr>
                <w:rFonts w:ascii="Garamond" w:eastAsia="Times New Roman" w:hAnsi="Garamond" w:cs="Calibri"/>
                <w:color w:val="000000"/>
                <w:lang w:val="en-US"/>
              </w:rPr>
              <w:t>Regulation 35(b) of DP Regulations, 2018</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hAnsi="Garamond"/>
              </w:rPr>
            </w:pPr>
            <w:r w:rsidRPr="002A023C">
              <w:rPr>
                <w:rFonts w:ascii="Garamond" w:hAnsi="Garamond"/>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rPr>
              <w:t>18/02/2022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Insider trading in the shares of Zee Entertainment Enterprises 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eastAsia="Calibri" w:hAnsi="Garamond" w:cs="Mangal"/>
              </w:rPr>
            </w:pPr>
            <w:r w:rsidRPr="002A023C">
              <w:rPr>
                <w:rFonts w:ascii="Garamond" w:hAnsi="Garamond"/>
              </w:rPr>
              <w:t>11B</w:t>
            </w:r>
            <w:r w:rsidR="002C23C4" w:rsidRPr="002A023C">
              <w:rPr>
                <w:rFonts w:ascii="Garamond" w:hAnsi="Garamond"/>
              </w:rPr>
              <w:t>- Comfirmatory</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 xml:space="preserve">Amit Bhanwarlal Jajoo, Manish Kumar Jajoo, Monika </w:t>
            </w:r>
            <w:r w:rsidR="00567A3B">
              <w:rPr>
                <w:rFonts w:ascii="Garamond" w:hAnsi="Garamond" w:cs="Calibri"/>
                <w:color w:val="000000"/>
                <w:lang w:val="en-US"/>
              </w:rPr>
              <w:t>Lakh</w:t>
            </w:r>
            <w:r w:rsidRPr="002A023C">
              <w:rPr>
                <w:rFonts w:ascii="Garamond" w:hAnsi="Garamond" w:cs="Calibri"/>
                <w:color w:val="000000"/>
                <w:lang w:val="en-US"/>
              </w:rPr>
              <w:t>otia, Pushpadevi Jajoo &amp; 6 others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2C23C4" w:rsidP="002A023C">
            <w:pPr>
              <w:shd w:val="clear" w:color="auto" w:fill="FFFFFF"/>
              <w:jc w:val="both"/>
              <w:rPr>
                <w:rFonts w:ascii="Garamond" w:eastAsia="Calibri" w:hAnsi="Garamond" w:cs="Mangal"/>
              </w:rPr>
            </w:pPr>
            <w:r w:rsidRPr="002A023C">
              <w:rPr>
                <w:rFonts w:ascii="Garamond" w:eastAsia="Calibri" w:hAnsi="Garamond" w:cs="Mangal"/>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eastAsia="Calibri" w:hAnsi="Garamond" w:cs="Mangal"/>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rPr>
              <w:t>18/02/2022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Transfer  of  mutual  fund  units  by Money Mishra  Financial Services and others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eastAsia="Calibri" w:hAnsi="Garamond" w:cs="Mangal"/>
              </w:rPr>
            </w:pPr>
            <w:r w:rsidRPr="002A023C">
              <w:rPr>
                <w:rFonts w:ascii="Garamond" w:hAnsi="Garamond"/>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Money Mishra Financial Services, Money Mishra Overseas Pvt. Ltd., Mr. Awanish Kumar Mishra, Mr. Jitendra Kumar Tiwari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2C23C4" w:rsidP="002A023C">
            <w:pPr>
              <w:shd w:val="clear" w:color="auto" w:fill="FFFFFF"/>
              <w:jc w:val="both"/>
              <w:rPr>
                <w:rFonts w:ascii="Garamond" w:eastAsia="Calibri" w:hAnsi="Garamond" w:cs="Mangal"/>
              </w:rPr>
            </w:pPr>
            <w:r w:rsidRPr="002A023C">
              <w:rPr>
                <w:rFonts w:ascii="Garamond" w:hAnsi="Garamond" w:cs="Calibri"/>
                <w:color w:val="000000"/>
                <w:lang w:val="en-US"/>
              </w:rPr>
              <w:t>Regulations 3 (a) and 4(1) of the PFUTP Regulations ; Sections 11B (2) and 11(4A) of the SEBI Act, 1992</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1,55,00,000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rPr>
              <w:t>18/02/2022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National Spot Exchange 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eastAsia="Calibri" w:hAnsi="Garamond" w:cs="Mangal"/>
              </w:rPr>
            </w:pPr>
            <w:r w:rsidRPr="002A023C">
              <w:rPr>
                <w:rFonts w:ascii="Garamond" w:hAnsi="Garamond"/>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cs="Calibri"/>
                <w:color w:val="000000"/>
                <w:lang w:val="en-US"/>
              </w:rPr>
              <w:t>K R Choksey Commodity Brokers Private Ltd.</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2C23C4" w:rsidP="002A023C">
            <w:pPr>
              <w:shd w:val="clear" w:color="auto" w:fill="FFFFFF"/>
              <w:jc w:val="both"/>
              <w:rPr>
                <w:rFonts w:ascii="Garamond" w:eastAsia="Calibri" w:hAnsi="Garamond" w:cs="Mangal"/>
              </w:rPr>
            </w:pPr>
            <w:r w:rsidRPr="002A023C">
              <w:rPr>
                <w:rFonts w:ascii="Garamond" w:hAnsi="Garamond" w:cs="Calibri"/>
                <w:color w:val="000000"/>
                <w:lang w:val="en-US"/>
              </w:rPr>
              <w:t>Regulation 5(e) read with Clauses A(1), (2) and A(5) of the Schedule II of the Stock Brokers Regulations, 1992and regulations 9(b) and 9(f) of the Stock  Brokers  Regulations,  1992read  with  Schedule  II  of  the Intermediaries Regulations, 2008</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eastAsia="Calibri" w:hAnsi="Garamond" w:cs="Mangal"/>
              </w:rPr>
            </w:pPr>
            <w:r w:rsidRPr="002A023C">
              <w:rPr>
                <w:rFonts w:ascii="Garamond" w:hAnsi="Garamond"/>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56136" w:rsidP="002A023C">
            <w:pPr>
              <w:jc w:val="both"/>
              <w:rPr>
                <w:rFonts w:ascii="Garamond" w:hAnsi="Garamond"/>
                <w:color w:val="000000"/>
                <w:lang w:val="en-IN" w:eastAsia="en-IN" w:bidi="hi-IN"/>
              </w:rPr>
            </w:pPr>
            <w:r w:rsidRPr="002A023C">
              <w:rPr>
                <w:rFonts w:ascii="Garamond" w:hAnsi="Garamond"/>
                <w:color w:val="000000"/>
                <w:lang w:val="en-IN" w:eastAsia="en-IN" w:bidi="hi-IN"/>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hAnsi="Garamond"/>
              </w:rPr>
              <w:t>18/02/2022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eastAsia="Times New Roman" w:hAnsi="Garamond" w:cs="Calibri"/>
                <w:color w:val="000000"/>
                <w:lang w:val="en-US"/>
              </w:rPr>
              <w:t>Synergy Bizcon 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eastAsia="Calibri" w:hAnsi="Garamond" w:cs="Mangal"/>
              </w:rPr>
            </w:pPr>
            <w:r w:rsidRPr="002A023C">
              <w:rPr>
                <w:rFonts w:ascii="Garamond" w:hAnsi="Garamond"/>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2C23C4" w:rsidP="002A023C">
            <w:pPr>
              <w:jc w:val="both"/>
              <w:rPr>
                <w:rFonts w:ascii="Garamond" w:eastAsia="Calibri" w:hAnsi="Garamond" w:cs="Mangal"/>
              </w:rPr>
            </w:pPr>
            <w:r w:rsidRPr="002A023C">
              <w:rPr>
                <w:rFonts w:ascii="Garamond" w:eastAsia="Times New Roman" w:hAnsi="Garamond" w:cs="Calibri"/>
                <w:color w:val="000000"/>
                <w:lang w:val="en-US"/>
              </w:rPr>
              <w:t>Jinesh Devendra Bhatt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2C23C4" w:rsidP="002A023C">
            <w:pPr>
              <w:shd w:val="clear" w:color="auto" w:fill="FFFFFF"/>
              <w:jc w:val="both"/>
              <w:rPr>
                <w:rFonts w:ascii="Garamond" w:eastAsia="Calibri" w:hAnsi="Garamond" w:cs="Mangal"/>
              </w:rPr>
            </w:pPr>
            <w:r w:rsidRPr="002A023C">
              <w:rPr>
                <w:rFonts w:ascii="Garamond" w:eastAsia="Times New Roman" w:hAnsi="Garamond" w:cs="Calibri"/>
                <w:color w:val="000000"/>
                <w:lang w:val="en-US"/>
              </w:rPr>
              <w:t>Section 12A (a), (b), (c) of SEBI Act, 1992 and regulations 3(a), (b), (c), (d) and regulations 4(1), 4(2) (a), (e) and (g) of the PFUTP Regulations, 2003.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40001" w:rsidP="002A023C">
            <w:pPr>
              <w:jc w:val="both"/>
              <w:rPr>
                <w:rFonts w:ascii="Garamond" w:eastAsia="Calibri" w:hAnsi="Garamond" w:cs="Mangal"/>
              </w:rPr>
            </w:pPr>
            <w:r w:rsidRPr="002A023C">
              <w:rPr>
                <w:rFonts w:ascii="Garamond" w:eastAsia="Times New Roman" w:hAnsi="Garamond" w:cs="Calibri"/>
                <w:color w:val="000000"/>
              </w:rPr>
              <w:t>-</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6C68FF" w:rsidP="002A023C">
            <w:pPr>
              <w:jc w:val="both"/>
              <w:rPr>
                <w:rFonts w:ascii="Garamond" w:hAnsi="Garamond"/>
                <w:color w:val="000000"/>
                <w:lang w:val="en-IN" w:eastAsia="en-IN" w:bidi="hi-IN"/>
              </w:rPr>
            </w:pPr>
            <w:r w:rsidRPr="002A023C">
              <w:rPr>
                <w:rFonts w:ascii="Garamond" w:hAnsi="Garamond"/>
                <w:color w:val="000000"/>
                <w:lang w:val="en-IN" w:eastAsia="en-IN" w:bidi="hi-IN"/>
              </w:rPr>
              <w:t>11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eastAsia="Calibri" w:hAnsi="Garamond" w:cs="Mangal"/>
              </w:rPr>
            </w:pPr>
            <w:r w:rsidRPr="002A023C">
              <w:rPr>
                <w:rFonts w:ascii="Garamond" w:eastAsia="Calibri" w:hAnsi="Garamond" w:cs="Mangal"/>
              </w:rPr>
              <w:t>24/02/2022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eastAsia="Calibri" w:hAnsi="Garamond" w:cs="Mangal"/>
              </w:rPr>
            </w:pPr>
            <w:r w:rsidRPr="002A023C">
              <w:rPr>
                <w:rFonts w:ascii="Garamond" w:eastAsia="Calibri" w:hAnsi="Garamond" w:cs="Mangal"/>
              </w:rPr>
              <w:t xml:space="preserve">Unregistered  investment  advisory  </w:t>
            </w:r>
            <w:r w:rsidRPr="002A023C">
              <w:rPr>
                <w:rFonts w:ascii="Garamond" w:eastAsia="Calibri" w:hAnsi="Garamond" w:cs="Mangal"/>
              </w:rPr>
              <w:lastRenderedPageBreak/>
              <w:t>services  by  Simply  Earn Research</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eastAsia="Calibri" w:hAnsi="Garamond" w:cs="Mangal"/>
              </w:rPr>
            </w:pPr>
            <w:r w:rsidRPr="002A023C">
              <w:rPr>
                <w:rFonts w:ascii="Garamond" w:eastAsia="Calibri" w:hAnsi="Garamond" w:cs="Mangal"/>
              </w:rPr>
              <w:lastRenderedPageBreak/>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eastAsia="Calibri" w:hAnsi="Garamond" w:cs="Mangal"/>
              </w:rPr>
            </w:pPr>
            <w:r w:rsidRPr="002A023C">
              <w:rPr>
                <w:rFonts w:ascii="Garamond" w:eastAsia="Calibri" w:hAnsi="Garamond" w:cs="Mangal"/>
              </w:rPr>
              <w:t xml:space="preserve">Simply Earn Research, Mr. </w:t>
            </w:r>
            <w:r w:rsidRPr="002A023C">
              <w:rPr>
                <w:rFonts w:ascii="Garamond" w:eastAsia="Calibri" w:hAnsi="Garamond" w:cs="Mangal"/>
              </w:rPr>
              <w:lastRenderedPageBreak/>
              <w:t>Animesh Parida, Mr. Parth R Trivedi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D666EC" w:rsidP="002A023C">
            <w:pPr>
              <w:shd w:val="clear" w:color="auto" w:fill="FFFFFF"/>
              <w:jc w:val="both"/>
              <w:rPr>
                <w:rFonts w:ascii="Garamond" w:eastAsia="Calibri" w:hAnsi="Garamond" w:cs="Mangal"/>
              </w:rPr>
            </w:pPr>
            <w:r w:rsidRPr="002A023C">
              <w:rPr>
                <w:rFonts w:ascii="Garamond" w:eastAsia="Calibri" w:hAnsi="Garamond" w:cs="Mangal"/>
              </w:rPr>
              <w:lastRenderedPageBreak/>
              <w:t xml:space="preserve">Section 12(1) of SEBI Act, 1992 read with </w:t>
            </w:r>
            <w:r w:rsidRPr="002A023C">
              <w:rPr>
                <w:rFonts w:ascii="Garamond" w:eastAsia="Calibri" w:hAnsi="Garamond" w:cs="Mangal"/>
              </w:rPr>
              <w:lastRenderedPageBreak/>
              <w:t>regulation 3(1) of the IA Regulations, 2013.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eastAsia="Calibri" w:hAnsi="Garamond" w:cs="Mangal"/>
              </w:rPr>
            </w:pP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6C68FF"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12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25/02/2022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Sanraa Media 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Mrs. Uma Karthikeyan</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D666EC" w:rsidP="002A023C">
            <w:pPr>
              <w:shd w:val="clear" w:color="auto" w:fill="FFFFFF"/>
              <w:jc w:val="both"/>
              <w:rPr>
                <w:rFonts w:ascii="Garamond" w:hAnsi="Garamond"/>
              </w:rPr>
            </w:pPr>
            <w:r w:rsidRPr="002A023C">
              <w:rPr>
                <w:rFonts w:ascii="Garamond" w:hAnsi="Garamond"/>
              </w:rPr>
              <w:t>Regulations 3(a), (b), (c), (d) and 4(1) of PFUTP Regulations, 2003.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956136" w:rsidP="002A023C">
            <w:pPr>
              <w:jc w:val="both"/>
              <w:rPr>
                <w:rFonts w:ascii="Garamond" w:hAnsi="Garamond"/>
              </w:rPr>
            </w:pP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6C68FF" w:rsidP="002A023C">
            <w:pPr>
              <w:jc w:val="both"/>
              <w:rPr>
                <w:rFonts w:ascii="Garamond" w:hAnsi="Garamond"/>
                <w:color w:val="000000"/>
                <w:lang w:val="en-IN" w:eastAsia="en-IN" w:bidi="hi-IN"/>
              </w:rPr>
            </w:pPr>
            <w:r w:rsidRPr="002A023C">
              <w:rPr>
                <w:rFonts w:ascii="Garamond" w:hAnsi="Garamond"/>
                <w:color w:val="000000"/>
                <w:lang w:val="en-IN" w:eastAsia="en-IN" w:bidi="hi-IN"/>
              </w:rPr>
              <w:t>13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28/02/2022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Hit Kit Global Solution 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11B</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Hit Kit Global Solutions Ltd., Mr. Amit Khandelwal, Mr. Arvind Sharma, Mr. Pavan Kale &amp; 4 others</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D666EC" w:rsidP="002A023C">
            <w:pPr>
              <w:shd w:val="clear" w:color="auto" w:fill="FFFFFF"/>
              <w:jc w:val="both"/>
              <w:rPr>
                <w:rFonts w:ascii="Garamond" w:hAnsi="Garamond"/>
              </w:rPr>
            </w:pPr>
            <w:r w:rsidRPr="002A023C">
              <w:rPr>
                <w:rFonts w:ascii="Garamond" w:hAnsi="Garamond"/>
              </w:rPr>
              <w:t>Regulation 4(2)(f)(ii)(1)(6) &amp; (7) and 4(2)(f)(iii)(1),(3), (6)  &amp;  (12)of  LODR  Regulations. ; Regulation  17(8)  read  Part  B  of  Schedule  II  of  LODR Regulations.</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D666EC" w:rsidP="002A023C">
            <w:pPr>
              <w:jc w:val="both"/>
              <w:rPr>
                <w:rFonts w:ascii="Garamond" w:hAnsi="Garamond"/>
              </w:rPr>
            </w:pPr>
            <w:r w:rsidRPr="002A023C">
              <w:rPr>
                <w:rFonts w:ascii="Garamond" w:hAnsi="Garamond"/>
              </w:rPr>
              <w:t>88,00,000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01/02/2022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Mindtree Ltd</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Adjudication</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Nitin Kumar Gupta</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5205FF" w:rsidP="002A023C">
            <w:pPr>
              <w:shd w:val="clear" w:color="auto" w:fill="FFFFFF"/>
              <w:jc w:val="both"/>
              <w:rPr>
                <w:rFonts w:ascii="Garamond" w:eastAsia="Calibri" w:hAnsi="Garamond"/>
                <w:lang w:val="en-IN"/>
              </w:rPr>
            </w:pPr>
            <w:r w:rsidRPr="002A023C">
              <w:rPr>
                <w:rFonts w:ascii="Garamond" w:eastAsia="Calibri" w:hAnsi="Garamond"/>
                <w:lang w:val="en-IN"/>
              </w:rPr>
              <w:t>Regulation 7(2)(a) of the PIT Regulations on two occasions</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1,00,000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01/02/2022</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Dealings in Illiquid Stock Options at BSE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Adjudication</w:t>
            </w:r>
          </w:p>
        </w:tc>
        <w:tc>
          <w:tcPr>
            <w:tcW w:w="212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Manoharlal Agarwal HUF</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6136" w:rsidRPr="002A023C" w:rsidRDefault="005205FF" w:rsidP="002A023C">
            <w:pPr>
              <w:shd w:val="clear" w:color="auto" w:fill="FFFFFF"/>
              <w:jc w:val="both"/>
              <w:rPr>
                <w:rFonts w:ascii="Garamond" w:eastAsia="Calibri" w:hAnsi="Garamond"/>
                <w:lang w:val="en-IN"/>
              </w:rPr>
            </w:pPr>
            <w:r w:rsidRPr="002A023C">
              <w:rPr>
                <w:rFonts w:ascii="Garamond" w:eastAsia="Calibri" w:hAnsi="Garamond"/>
                <w:lang w:val="en-IN"/>
              </w:rPr>
              <w:t>Regulations 3(a), (b), (c), (d),  4(1)  and  4(2)(a)  of PFUTP Regulations, 2003</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16</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01/02/2022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Rajiv Changoiwala</w:t>
            </w:r>
          </w:p>
        </w:tc>
        <w:tc>
          <w:tcPr>
            <w:tcW w:w="2268" w:type="dxa"/>
            <w:tcBorders>
              <w:top w:val="nil"/>
              <w:left w:val="nil"/>
              <w:bottom w:val="single" w:sz="4" w:space="0" w:color="auto"/>
              <w:right w:val="single" w:sz="4" w:space="0" w:color="auto"/>
            </w:tcBorders>
            <w:shd w:val="clear" w:color="auto" w:fill="auto"/>
          </w:tcPr>
          <w:p w:rsidR="00956136" w:rsidRPr="002A023C" w:rsidRDefault="005205FF" w:rsidP="002A023C">
            <w:pPr>
              <w:shd w:val="clear" w:color="auto" w:fill="FFFFFF"/>
              <w:jc w:val="both"/>
              <w:rPr>
                <w:rFonts w:ascii="Garamond" w:eastAsia="Calibri" w:hAnsi="Garamond"/>
                <w:lang w:val="en-IN"/>
              </w:rPr>
            </w:pPr>
            <w:r w:rsidRPr="002A023C">
              <w:rPr>
                <w:rFonts w:ascii="Garamond" w:eastAsia="Calibri" w:hAnsi="Garamond"/>
                <w:lang w:val="en-IN"/>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17</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02/02/2022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Trading in Illiquid Stock Options at BSE Ltd</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hAnsi="Garamond"/>
              </w:rPr>
            </w:pPr>
            <w:r w:rsidRPr="002A023C">
              <w:rPr>
                <w:rFonts w:ascii="Garamond" w:eastAsia="Calibri" w:hAnsi="Garamond" w:cs="Mangal"/>
                <w:lang w:val="en-IN"/>
              </w:rPr>
              <w:t>Sourabh Goenka</w:t>
            </w:r>
          </w:p>
        </w:tc>
        <w:tc>
          <w:tcPr>
            <w:tcW w:w="2268" w:type="dxa"/>
            <w:tcBorders>
              <w:top w:val="nil"/>
              <w:left w:val="nil"/>
              <w:bottom w:val="single" w:sz="4" w:space="0" w:color="auto"/>
              <w:right w:val="single" w:sz="4" w:space="0" w:color="auto"/>
            </w:tcBorders>
            <w:shd w:val="clear" w:color="auto" w:fill="auto"/>
          </w:tcPr>
          <w:p w:rsidR="00956136" w:rsidRPr="002A023C" w:rsidRDefault="005205FF" w:rsidP="002A023C">
            <w:pPr>
              <w:shd w:val="clear" w:color="auto" w:fill="FFFFFF"/>
              <w:jc w:val="both"/>
              <w:rPr>
                <w:rFonts w:ascii="Garamond" w:eastAsia="Calibri" w:hAnsi="Garamond"/>
                <w:lang w:val="en-IN"/>
              </w:rPr>
            </w:pPr>
            <w:r w:rsidRPr="002A023C">
              <w:rPr>
                <w:rFonts w:ascii="Garamond" w:eastAsia="Calibri" w:hAnsi="Garamond"/>
                <w:lang w:val="en-IN"/>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18</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03/02/2022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eastAsia="Calibri" w:hAnsi="Garamond"/>
                <w:lang w:val="en-IN"/>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5205FF" w:rsidRPr="002A023C" w:rsidRDefault="005205FF" w:rsidP="002A023C">
            <w:pPr>
              <w:jc w:val="both"/>
              <w:rPr>
                <w:rFonts w:ascii="Garamond" w:eastAsia="Calibri" w:hAnsi="Garamond"/>
                <w:lang w:val="en-IN"/>
              </w:rPr>
            </w:pPr>
            <w:r w:rsidRPr="002A023C">
              <w:rPr>
                <w:rFonts w:ascii="Garamond" w:eastAsia="Calibri" w:hAnsi="Garamond"/>
                <w:lang w:val="en-IN"/>
              </w:rPr>
              <w:t>Manohari Devi Dhandharia</w:t>
            </w:r>
          </w:p>
          <w:p w:rsidR="00956136" w:rsidRPr="002A023C" w:rsidRDefault="00956136" w:rsidP="002A023C">
            <w:pPr>
              <w:jc w:val="both"/>
              <w:rPr>
                <w:rFonts w:ascii="Garamond" w:eastAsia="Calibri" w:hAnsi="Garamond"/>
                <w:lang w:val="en-IN"/>
              </w:rPr>
            </w:pPr>
          </w:p>
        </w:tc>
        <w:tc>
          <w:tcPr>
            <w:tcW w:w="2268" w:type="dxa"/>
            <w:tcBorders>
              <w:top w:val="nil"/>
              <w:left w:val="nil"/>
              <w:bottom w:val="single" w:sz="4" w:space="0" w:color="auto"/>
              <w:right w:val="single" w:sz="4" w:space="0" w:color="auto"/>
            </w:tcBorders>
            <w:shd w:val="clear" w:color="auto" w:fill="auto"/>
          </w:tcPr>
          <w:p w:rsidR="00956136" w:rsidRPr="002A023C" w:rsidRDefault="005205FF" w:rsidP="002A023C">
            <w:pPr>
              <w:shd w:val="clear" w:color="auto" w:fill="FFFFFF"/>
              <w:jc w:val="both"/>
              <w:rPr>
                <w:rFonts w:ascii="Garamond" w:eastAsia="Calibri" w:hAnsi="Garamond"/>
                <w:lang w:val="en-IN"/>
              </w:rPr>
            </w:pPr>
            <w:r w:rsidRPr="002A023C">
              <w:rPr>
                <w:rFonts w:ascii="Garamond" w:eastAsia="Calibri" w:hAnsi="Garamond"/>
                <w:lang w:val="en-IN"/>
              </w:rPr>
              <w:t>Regulation 3(a),(b),(c),(d),4(1) and 4(2)(a) of PFTUP</w:t>
            </w:r>
          </w:p>
        </w:tc>
        <w:tc>
          <w:tcPr>
            <w:tcW w:w="1417" w:type="dxa"/>
            <w:tcBorders>
              <w:top w:val="nil"/>
              <w:left w:val="nil"/>
              <w:bottom w:val="single" w:sz="4" w:space="0" w:color="auto"/>
              <w:right w:val="single" w:sz="4" w:space="0" w:color="auto"/>
            </w:tcBorders>
            <w:shd w:val="clear" w:color="auto" w:fill="auto"/>
            <w:noWrap/>
          </w:tcPr>
          <w:p w:rsidR="00956136" w:rsidRPr="002A023C" w:rsidRDefault="005205FF" w:rsidP="002A023C">
            <w:pPr>
              <w:jc w:val="both"/>
              <w:rPr>
                <w:rFonts w:ascii="Garamond" w:eastAsia="Calibri" w:hAnsi="Garamond"/>
                <w:lang w:val="en-IN"/>
              </w:rPr>
            </w:pPr>
            <w:r w:rsidRPr="002A023C">
              <w:rPr>
                <w:rFonts w:ascii="Garamond" w:eastAsia="Calibri" w:hAnsi="Garamond"/>
                <w:lang w:val="en-IN"/>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19</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B5B92" w:rsidP="002A023C">
            <w:pPr>
              <w:jc w:val="both"/>
              <w:rPr>
                <w:rFonts w:ascii="Garamond" w:hAnsi="Garamond"/>
              </w:rPr>
            </w:pPr>
            <w:r w:rsidRPr="002A023C">
              <w:rPr>
                <w:rFonts w:ascii="Garamond" w:hAnsi="Garamond"/>
              </w:rPr>
              <w:t>08/02/2022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815D54" w:rsidP="002A023C">
            <w:pPr>
              <w:jc w:val="both"/>
              <w:rPr>
                <w:rFonts w:ascii="Garamond" w:hAnsi="Garamond"/>
              </w:rPr>
            </w:pPr>
            <w:r w:rsidRPr="002A023C">
              <w:rPr>
                <w:rFonts w:ascii="Garamond" w:hAnsi="Garamond"/>
              </w:rPr>
              <w:t>Mindtree Ltd</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815D54" w:rsidP="002A023C">
            <w:pPr>
              <w:jc w:val="both"/>
              <w:rPr>
                <w:rFonts w:ascii="Garamond" w:hAnsi="Garamond"/>
              </w:rPr>
            </w:pPr>
            <w:r w:rsidRPr="002A023C">
              <w:rPr>
                <w:rFonts w:ascii="Garamond" w:hAnsi="Garamond"/>
              </w:rPr>
              <w:t>Puvanesh Pandi</w:t>
            </w:r>
          </w:p>
        </w:tc>
        <w:tc>
          <w:tcPr>
            <w:tcW w:w="2268" w:type="dxa"/>
            <w:tcBorders>
              <w:top w:val="nil"/>
              <w:left w:val="nil"/>
              <w:bottom w:val="single" w:sz="4" w:space="0" w:color="auto"/>
              <w:right w:val="single" w:sz="4" w:space="0" w:color="auto"/>
            </w:tcBorders>
            <w:shd w:val="clear" w:color="auto" w:fill="auto"/>
          </w:tcPr>
          <w:p w:rsidR="00956136" w:rsidRPr="002A023C" w:rsidRDefault="00815D54" w:rsidP="002A023C">
            <w:pPr>
              <w:shd w:val="clear" w:color="auto" w:fill="FFFFFF"/>
              <w:jc w:val="both"/>
              <w:rPr>
                <w:rFonts w:ascii="Garamond" w:hAnsi="Garamond"/>
              </w:rPr>
            </w:pPr>
            <w:r w:rsidRPr="002A023C">
              <w:rPr>
                <w:rFonts w:ascii="Garamond" w:hAnsi="Garamond"/>
              </w:rPr>
              <w:t>Regulation 7(2)(a)  of  the  PIT  Regulations  on nineteen occasions  during  the  Investigation  Period.</w:t>
            </w:r>
          </w:p>
        </w:tc>
        <w:tc>
          <w:tcPr>
            <w:tcW w:w="1417" w:type="dxa"/>
            <w:tcBorders>
              <w:top w:val="nil"/>
              <w:left w:val="nil"/>
              <w:bottom w:val="single" w:sz="4" w:space="0" w:color="auto"/>
              <w:right w:val="single" w:sz="4" w:space="0" w:color="auto"/>
            </w:tcBorders>
            <w:shd w:val="clear" w:color="auto" w:fill="auto"/>
            <w:noWrap/>
          </w:tcPr>
          <w:p w:rsidR="00956136" w:rsidRPr="002A023C" w:rsidRDefault="00815D54" w:rsidP="002A023C">
            <w:pPr>
              <w:jc w:val="both"/>
              <w:rPr>
                <w:rFonts w:ascii="Garamond" w:hAnsi="Garamond"/>
              </w:rPr>
            </w:pPr>
            <w:r w:rsidRPr="002A023C">
              <w:rPr>
                <w:rFonts w:ascii="Garamond" w:hAnsi="Garamond"/>
              </w:rPr>
              <w:t>1,00,000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20</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B5B92" w:rsidP="002A023C">
            <w:pPr>
              <w:jc w:val="both"/>
              <w:rPr>
                <w:rFonts w:ascii="Garamond" w:hAnsi="Garamond"/>
              </w:rPr>
            </w:pPr>
            <w:r w:rsidRPr="002A023C">
              <w:rPr>
                <w:rFonts w:ascii="Garamond" w:hAnsi="Garamond"/>
              </w:rPr>
              <w:t>08/02/2022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815D54" w:rsidP="002A023C">
            <w:pPr>
              <w:jc w:val="both"/>
              <w:rPr>
                <w:rFonts w:ascii="Garamond" w:hAnsi="Garamond"/>
              </w:rPr>
            </w:pPr>
            <w:r w:rsidRPr="002A023C">
              <w:rPr>
                <w:rFonts w:ascii="Garamond" w:hAnsi="Garamond"/>
              </w:rPr>
              <w:t xml:space="preserve">Ashapura Intimates Fashion </w:t>
            </w:r>
            <w:r w:rsidR="005D3A87">
              <w:rPr>
                <w:rFonts w:ascii="Garamond" w:hAnsi="Garamond"/>
              </w:rPr>
              <w:t>Ltd.</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Mrs. HarshabenHirji Thakkar</w:t>
            </w:r>
          </w:p>
        </w:tc>
        <w:tc>
          <w:tcPr>
            <w:tcW w:w="2268" w:type="dxa"/>
            <w:tcBorders>
              <w:top w:val="nil"/>
              <w:left w:val="nil"/>
              <w:bottom w:val="single" w:sz="4" w:space="0" w:color="auto"/>
              <w:right w:val="single" w:sz="4" w:space="0" w:color="auto"/>
            </w:tcBorders>
            <w:shd w:val="clear" w:color="auto" w:fill="auto"/>
          </w:tcPr>
          <w:p w:rsidR="00956136" w:rsidRPr="002A023C" w:rsidRDefault="001F2AD1" w:rsidP="002A023C">
            <w:pPr>
              <w:shd w:val="clear" w:color="auto" w:fill="FFFFFF"/>
              <w:jc w:val="both"/>
              <w:rPr>
                <w:rFonts w:ascii="Garamond" w:hAnsi="Garamond"/>
              </w:rPr>
            </w:pPr>
            <w:r w:rsidRPr="002A023C">
              <w:rPr>
                <w:rFonts w:ascii="Garamond" w:hAnsi="Garamond"/>
              </w:rPr>
              <w:t>Regulation 29(2) read with Regulation 29 (3) and Regulation 31(1) read with Regulation 31(3) of the SAST Regulations.</w:t>
            </w: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3,00,000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21</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B5B92" w:rsidP="002A023C">
            <w:pPr>
              <w:jc w:val="both"/>
              <w:rPr>
                <w:rFonts w:ascii="Garamond" w:hAnsi="Garamond"/>
              </w:rPr>
            </w:pPr>
            <w:r w:rsidRPr="002A023C">
              <w:rPr>
                <w:rFonts w:ascii="Garamond" w:hAnsi="Garamond"/>
              </w:rPr>
              <w:t>08/02/2022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Dealings in Illiquid Stock Options at the Bombay Stock Exchange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Abhishek Kayan HUF</w:t>
            </w:r>
          </w:p>
        </w:tc>
        <w:tc>
          <w:tcPr>
            <w:tcW w:w="2268" w:type="dxa"/>
            <w:tcBorders>
              <w:top w:val="nil"/>
              <w:left w:val="nil"/>
              <w:bottom w:val="single" w:sz="4" w:space="0" w:color="auto"/>
              <w:right w:val="single" w:sz="4" w:space="0" w:color="auto"/>
            </w:tcBorders>
            <w:shd w:val="clear" w:color="auto" w:fill="auto"/>
          </w:tcPr>
          <w:p w:rsidR="00956136" w:rsidRPr="002A023C" w:rsidRDefault="001F2AD1" w:rsidP="002A023C">
            <w:pPr>
              <w:shd w:val="clear" w:color="auto" w:fill="FFFFFF"/>
              <w:jc w:val="both"/>
              <w:rPr>
                <w:rFonts w:ascii="Garamond" w:hAnsi="Garamond"/>
              </w:rPr>
            </w:pPr>
            <w:r w:rsidRPr="002A023C">
              <w:rPr>
                <w:rFonts w:ascii="Garamond" w:hAnsi="Garamond"/>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22</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B5B92" w:rsidP="002A023C">
            <w:pPr>
              <w:jc w:val="both"/>
              <w:rPr>
                <w:rFonts w:ascii="Garamond" w:hAnsi="Garamond"/>
              </w:rPr>
            </w:pPr>
            <w:r w:rsidRPr="002A023C">
              <w:rPr>
                <w:rFonts w:ascii="Garamond" w:hAnsi="Garamond"/>
              </w:rPr>
              <w:t>08/02/2022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 xml:space="preserve">Dealings in Illiquid Stock </w:t>
            </w:r>
            <w:r w:rsidRPr="002A023C">
              <w:rPr>
                <w:rFonts w:ascii="Garamond" w:hAnsi="Garamond"/>
              </w:rPr>
              <w:lastRenderedPageBreak/>
              <w:t>Options at the Bombay Stock Exchange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lastRenderedPageBreak/>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Abhishek Family Trust</w:t>
            </w:r>
          </w:p>
        </w:tc>
        <w:tc>
          <w:tcPr>
            <w:tcW w:w="2268" w:type="dxa"/>
            <w:tcBorders>
              <w:top w:val="nil"/>
              <w:left w:val="nil"/>
              <w:bottom w:val="single" w:sz="4" w:space="0" w:color="auto"/>
              <w:right w:val="single" w:sz="4" w:space="0" w:color="auto"/>
            </w:tcBorders>
            <w:shd w:val="clear" w:color="auto" w:fill="auto"/>
          </w:tcPr>
          <w:p w:rsidR="00956136" w:rsidRPr="002A023C" w:rsidRDefault="001F2AD1" w:rsidP="002A023C">
            <w:pPr>
              <w:shd w:val="clear" w:color="auto" w:fill="FFFFFF"/>
              <w:jc w:val="both"/>
              <w:rPr>
                <w:rFonts w:ascii="Garamond" w:hAnsi="Garamond"/>
              </w:rPr>
            </w:pPr>
            <w:r w:rsidRPr="002A023C">
              <w:rPr>
                <w:rFonts w:ascii="Garamond" w:hAnsi="Garamond"/>
              </w:rPr>
              <w:t xml:space="preserve">Regulations 3(a), (b), (c), (d) ,4(1) and </w:t>
            </w:r>
            <w:r w:rsidRPr="002A023C">
              <w:rPr>
                <w:rFonts w:ascii="Garamond" w:hAnsi="Garamond"/>
              </w:rPr>
              <w:lastRenderedPageBreak/>
              <w:t>4(2)(a) of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lastRenderedPageBreak/>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23</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5B5B92" w:rsidP="002A023C">
            <w:pPr>
              <w:jc w:val="both"/>
              <w:rPr>
                <w:rFonts w:ascii="Garamond" w:hAnsi="Garamond"/>
              </w:rPr>
            </w:pPr>
            <w:r w:rsidRPr="002A023C">
              <w:rPr>
                <w:rFonts w:ascii="Garamond" w:hAnsi="Garamond"/>
              </w:rPr>
              <w:t>08/02/2022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Arun Kapoor HUF</w:t>
            </w:r>
          </w:p>
        </w:tc>
        <w:tc>
          <w:tcPr>
            <w:tcW w:w="2268" w:type="dxa"/>
            <w:tcBorders>
              <w:top w:val="nil"/>
              <w:left w:val="nil"/>
              <w:bottom w:val="single" w:sz="4" w:space="0" w:color="auto"/>
              <w:right w:val="single" w:sz="4" w:space="0" w:color="auto"/>
            </w:tcBorders>
            <w:shd w:val="clear" w:color="auto" w:fill="auto"/>
          </w:tcPr>
          <w:p w:rsidR="00956136" w:rsidRPr="002A023C" w:rsidRDefault="001F2AD1" w:rsidP="002A023C">
            <w:pPr>
              <w:shd w:val="clear" w:color="auto" w:fill="FFFFFF"/>
              <w:jc w:val="both"/>
              <w:rPr>
                <w:rFonts w:ascii="Garamond" w:hAnsi="Garamond"/>
              </w:rPr>
            </w:pPr>
            <w:r w:rsidRPr="002A023C">
              <w:rPr>
                <w:rFonts w:ascii="Garamond" w:hAnsi="Garamond"/>
              </w:rPr>
              <w:t>Regulations  3(a),  (b),  (c),  (d),4(1)  and  4(2)(a)  of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24</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09/02/2022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Dealings in Illiquid Stock Options at the BSE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Mr. Sudhir Kumar Gupta</w:t>
            </w:r>
          </w:p>
        </w:tc>
        <w:tc>
          <w:tcPr>
            <w:tcW w:w="2268" w:type="dxa"/>
            <w:tcBorders>
              <w:top w:val="nil"/>
              <w:left w:val="nil"/>
              <w:bottom w:val="single" w:sz="4" w:space="0" w:color="auto"/>
              <w:right w:val="single" w:sz="4" w:space="0" w:color="auto"/>
            </w:tcBorders>
            <w:shd w:val="clear" w:color="auto" w:fill="auto"/>
          </w:tcPr>
          <w:p w:rsidR="00956136" w:rsidRPr="002A023C" w:rsidRDefault="001F2AD1" w:rsidP="002A023C">
            <w:pPr>
              <w:shd w:val="clear" w:color="auto" w:fill="FFFFFF"/>
              <w:jc w:val="both"/>
              <w:rPr>
                <w:rFonts w:ascii="Garamond" w:hAnsi="Garamond"/>
              </w:rPr>
            </w:pPr>
            <w:r w:rsidRPr="002A023C">
              <w:rPr>
                <w:rFonts w:ascii="Garamond" w:hAnsi="Garamond"/>
              </w:rPr>
              <w:t>Regulations  3(a),  (b),  (c),  (d), 4(1) and 4(2)(a) of the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25</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09/02/2022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Shubham Singhal</w:t>
            </w:r>
          </w:p>
          <w:p w:rsidR="001F2AD1" w:rsidRPr="002A023C" w:rsidRDefault="001F2AD1" w:rsidP="002A023C">
            <w:pPr>
              <w:jc w:val="both"/>
              <w:rPr>
                <w:rFonts w:ascii="Garamond" w:hAnsi="Garamond"/>
              </w:rPr>
            </w:pPr>
          </w:p>
        </w:tc>
        <w:tc>
          <w:tcPr>
            <w:tcW w:w="2268" w:type="dxa"/>
            <w:tcBorders>
              <w:top w:val="nil"/>
              <w:left w:val="nil"/>
              <w:bottom w:val="single" w:sz="4" w:space="0" w:color="auto"/>
              <w:right w:val="single" w:sz="4" w:space="0" w:color="auto"/>
            </w:tcBorders>
            <w:shd w:val="clear" w:color="auto" w:fill="auto"/>
          </w:tcPr>
          <w:p w:rsidR="001F2AD1" w:rsidRPr="002A023C" w:rsidRDefault="001F2AD1" w:rsidP="002A023C">
            <w:pPr>
              <w:shd w:val="clear" w:color="auto" w:fill="FFFFFF"/>
              <w:jc w:val="both"/>
              <w:rPr>
                <w:rFonts w:ascii="Garamond" w:hAnsi="Garamond"/>
              </w:rPr>
            </w:pPr>
            <w:r w:rsidRPr="002A023C">
              <w:rPr>
                <w:rFonts w:ascii="Garamond" w:hAnsi="Garamond"/>
              </w:rPr>
              <w:t>Regulations  3(a),  (b),  (c),  (d),  4(1)  and  4(2)  (a)  of  the PFUTP Regulations, 2003</w:t>
            </w:r>
          </w:p>
          <w:p w:rsidR="001F2AD1" w:rsidRPr="002A023C" w:rsidRDefault="001F2AD1" w:rsidP="002A023C">
            <w:pPr>
              <w:shd w:val="clear" w:color="auto" w:fill="FFFFFF"/>
              <w:jc w:val="both"/>
              <w:rPr>
                <w:rFonts w:ascii="Garamond" w:hAnsi="Garamond"/>
              </w:rPr>
            </w:pP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5,00,000</w:t>
            </w:r>
          </w:p>
        </w:tc>
      </w:tr>
      <w:tr w:rsidR="00956136"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56136"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26</w:t>
            </w:r>
          </w:p>
        </w:tc>
        <w:tc>
          <w:tcPr>
            <w:tcW w:w="1418" w:type="dxa"/>
            <w:tcBorders>
              <w:top w:val="nil"/>
              <w:left w:val="single" w:sz="4" w:space="0" w:color="auto"/>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09/02/2022</w:t>
            </w:r>
          </w:p>
        </w:tc>
        <w:tc>
          <w:tcPr>
            <w:tcW w:w="1701"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956136"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Shruti Saraf</w:t>
            </w:r>
          </w:p>
        </w:tc>
        <w:tc>
          <w:tcPr>
            <w:tcW w:w="2268" w:type="dxa"/>
            <w:tcBorders>
              <w:top w:val="nil"/>
              <w:left w:val="nil"/>
              <w:bottom w:val="single" w:sz="4" w:space="0" w:color="auto"/>
              <w:right w:val="single" w:sz="4" w:space="0" w:color="auto"/>
            </w:tcBorders>
            <w:shd w:val="clear" w:color="auto" w:fill="auto"/>
          </w:tcPr>
          <w:p w:rsidR="00956136" w:rsidRPr="002A023C" w:rsidRDefault="001F2AD1" w:rsidP="002A023C">
            <w:pPr>
              <w:shd w:val="clear" w:color="auto" w:fill="FFFFFF"/>
              <w:jc w:val="both"/>
              <w:rPr>
                <w:rFonts w:ascii="Garamond" w:hAnsi="Garamond"/>
              </w:rPr>
            </w:pPr>
            <w:r w:rsidRPr="002A023C">
              <w:rPr>
                <w:rFonts w:ascii="Garamond" w:hAnsi="Garamond"/>
              </w:rPr>
              <w:t>Regulations 3(a), (b), (c), (d), 4(1) and 4(2) (a) of the PFUTP Regulations, 2003</w:t>
            </w:r>
          </w:p>
        </w:tc>
        <w:tc>
          <w:tcPr>
            <w:tcW w:w="1417" w:type="dxa"/>
            <w:tcBorders>
              <w:top w:val="nil"/>
              <w:left w:val="nil"/>
              <w:bottom w:val="single" w:sz="4" w:space="0" w:color="auto"/>
              <w:right w:val="single" w:sz="4" w:space="0" w:color="auto"/>
            </w:tcBorders>
            <w:shd w:val="clear" w:color="auto" w:fill="auto"/>
            <w:noWrap/>
          </w:tcPr>
          <w:p w:rsidR="00956136" w:rsidRPr="002A023C" w:rsidRDefault="001F2AD1" w:rsidP="002A023C">
            <w:pPr>
              <w:jc w:val="both"/>
              <w:rPr>
                <w:rFonts w:ascii="Garamond" w:hAnsi="Garamond"/>
              </w:rPr>
            </w:pPr>
            <w:r w:rsidRPr="002A023C">
              <w:rPr>
                <w:rFonts w:ascii="Garamond" w:hAnsi="Garamond"/>
              </w:rPr>
              <w:t>5,00,000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27</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09/02/2022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 xml:space="preserve">Titan Company </w:t>
            </w:r>
            <w:r w:rsidR="005D3A87">
              <w:rPr>
                <w:rFonts w:ascii="Garamond" w:hAnsi="Garamond"/>
              </w:rPr>
              <w:t>Ltd.</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eastAsia="Times New Roman" w:hAnsi="Garamond" w:cs="Calibri"/>
                <w:color w:val="000000"/>
              </w:rPr>
            </w:pPr>
            <w:r w:rsidRPr="002A023C">
              <w:rPr>
                <w:rFonts w:ascii="Garamond" w:eastAsia="Times New Roman" w:hAnsi="Garamond" w:cs="Calibri"/>
                <w:color w:val="000000"/>
              </w:rPr>
              <w:t>Mr. M. S. Babu</w:t>
            </w:r>
          </w:p>
        </w:tc>
        <w:tc>
          <w:tcPr>
            <w:tcW w:w="2268" w:type="dxa"/>
            <w:tcBorders>
              <w:top w:val="nil"/>
              <w:left w:val="nil"/>
              <w:bottom w:val="single" w:sz="4" w:space="0" w:color="auto"/>
              <w:right w:val="single" w:sz="4" w:space="0" w:color="auto"/>
            </w:tcBorders>
            <w:shd w:val="clear" w:color="auto" w:fill="auto"/>
          </w:tcPr>
          <w:p w:rsidR="00AE18BE" w:rsidRPr="002A023C" w:rsidRDefault="001F2AD1" w:rsidP="002A023C">
            <w:pPr>
              <w:shd w:val="clear" w:color="auto" w:fill="FFFFFF"/>
              <w:jc w:val="both"/>
              <w:rPr>
                <w:rFonts w:ascii="Garamond" w:hAnsi="Garamond"/>
              </w:rPr>
            </w:pPr>
            <w:r w:rsidRPr="002A023C">
              <w:rPr>
                <w:rFonts w:ascii="Garamond" w:hAnsi="Garamond"/>
              </w:rPr>
              <w:t>Regulation 7(2)(a) of PIT Regulations on three (3) occasions.</w:t>
            </w:r>
          </w:p>
        </w:tc>
        <w:tc>
          <w:tcPr>
            <w:tcW w:w="141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1,00,000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28</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09/02/2022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 xml:space="preserve">Titan Company </w:t>
            </w:r>
            <w:r w:rsidR="005D3A87">
              <w:rPr>
                <w:rFonts w:ascii="Garamond" w:hAnsi="Garamond"/>
              </w:rPr>
              <w:t>Ltd.</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Mr. Johnson Victorarockiaraj</w:t>
            </w:r>
          </w:p>
        </w:tc>
        <w:tc>
          <w:tcPr>
            <w:tcW w:w="2268" w:type="dxa"/>
            <w:tcBorders>
              <w:top w:val="nil"/>
              <w:left w:val="nil"/>
              <w:bottom w:val="single" w:sz="4" w:space="0" w:color="auto"/>
              <w:right w:val="single" w:sz="4" w:space="0" w:color="auto"/>
            </w:tcBorders>
            <w:shd w:val="clear" w:color="auto" w:fill="auto"/>
          </w:tcPr>
          <w:p w:rsidR="00AE18BE" w:rsidRPr="002A023C" w:rsidRDefault="001F2AD1" w:rsidP="002A023C">
            <w:pPr>
              <w:shd w:val="clear" w:color="auto" w:fill="FFFFFF"/>
              <w:jc w:val="both"/>
              <w:rPr>
                <w:rFonts w:ascii="Garamond" w:hAnsi="Garamond"/>
              </w:rPr>
            </w:pPr>
            <w:r w:rsidRPr="002A023C">
              <w:rPr>
                <w:rFonts w:ascii="Garamond" w:hAnsi="Garamond"/>
              </w:rPr>
              <w:t>Regulation 7(2)(a) of PIT Regulations on three(3) occasions.</w:t>
            </w:r>
          </w:p>
        </w:tc>
        <w:tc>
          <w:tcPr>
            <w:tcW w:w="141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1,00,000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29</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10/02/2022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Sangita Nilesh Kothari</w:t>
            </w:r>
          </w:p>
        </w:tc>
        <w:tc>
          <w:tcPr>
            <w:tcW w:w="2268" w:type="dxa"/>
            <w:tcBorders>
              <w:top w:val="nil"/>
              <w:left w:val="nil"/>
              <w:bottom w:val="single" w:sz="4" w:space="0" w:color="auto"/>
              <w:right w:val="single" w:sz="4" w:space="0" w:color="auto"/>
            </w:tcBorders>
            <w:shd w:val="clear" w:color="auto" w:fill="auto"/>
          </w:tcPr>
          <w:p w:rsidR="00AE18BE" w:rsidRPr="002A023C" w:rsidRDefault="001F2AD1" w:rsidP="002A023C">
            <w:pPr>
              <w:shd w:val="clear" w:color="auto" w:fill="FFFFFF"/>
              <w:jc w:val="both"/>
              <w:rPr>
                <w:rFonts w:ascii="Garamond" w:hAnsi="Garamond"/>
              </w:rPr>
            </w:pPr>
            <w:r w:rsidRPr="002A023C">
              <w:rPr>
                <w:rFonts w:ascii="Garamond" w:hAnsi="Garamond"/>
              </w:rPr>
              <w:t>Regulations 3(a), (b), (c), (d), 4(1) and 4(2) (a) of the PFUTP Regulations, 2003</w:t>
            </w:r>
          </w:p>
        </w:tc>
        <w:tc>
          <w:tcPr>
            <w:tcW w:w="141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5,00,000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30</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10/02/2022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301479" w:rsidP="002A023C">
            <w:pPr>
              <w:jc w:val="both"/>
              <w:rPr>
                <w:rFonts w:ascii="Garamond" w:hAnsi="Garamond"/>
              </w:rPr>
            </w:pPr>
            <w:r>
              <w:rPr>
                <w:rFonts w:ascii="Garamond" w:hAnsi="Garamond"/>
              </w:rPr>
              <w:t>I</w:t>
            </w:r>
            <w:r w:rsidR="001F2AD1" w:rsidRPr="002A023C">
              <w:rPr>
                <w:rFonts w:ascii="Garamond" w:hAnsi="Garamond"/>
              </w:rPr>
              <w:t xml:space="preserve">lliquid Stock Options at BSE </w:t>
            </w:r>
            <w:r w:rsidR="005D3A87">
              <w:rPr>
                <w:rFonts w:ascii="Garamond" w:hAnsi="Garamond"/>
              </w:rPr>
              <w:t>Ltd.</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Suraj Mal Manoj Kumar HUF</w:t>
            </w:r>
          </w:p>
        </w:tc>
        <w:tc>
          <w:tcPr>
            <w:tcW w:w="2268" w:type="dxa"/>
            <w:tcBorders>
              <w:top w:val="nil"/>
              <w:left w:val="nil"/>
              <w:bottom w:val="single" w:sz="4" w:space="0" w:color="auto"/>
              <w:right w:val="single" w:sz="4" w:space="0" w:color="auto"/>
            </w:tcBorders>
            <w:shd w:val="clear" w:color="auto" w:fill="auto"/>
          </w:tcPr>
          <w:p w:rsidR="00AE18BE" w:rsidRPr="002A023C" w:rsidRDefault="0068187A" w:rsidP="002A023C">
            <w:pPr>
              <w:shd w:val="clear" w:color="auto" w:fill="FFFFFF"/>
              <w:jc w:val="both"/>
              <w:rPr>
                <w:rFonts w:ascii="Garamond" w:hAnsi="Garamond"/>
              </w:rPr>
            </w:pPr>
            <w:r w:rsidRPr="002A023C">
              <w:rPr>
                <w:rFonts w:ascii="Garamond" w:hAnsi="Garamond"/>
              </w:rPr>
              <w:t>Regulations 3(a), 3(b), 3(c), 3(d), 4(1) and 4 (2)(a) of the Securities and Exchange Board of India (Prohibition of  Fraudulent  and  Unfair  Trade  Practices  Relating  to  Securities  Market) Regulations, 2003.</w:t>
            </w:r>
          </w:p>
        </w:tc>
        <w:tc>
          <w:tcPr>
            <w:tcW w:w="141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5,00,000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31</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10/02/2022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Manoj Agarwal</w:t>
            </w:r>
          </w:p>
        </w:tc>
        <w:tc>
          <w:tcPr>
            <w:tcW w:w="2268" w:type="dxa"/>
            <w:tcBorders>
              <w:top w:val="nil"/>
              <w:left w:val="nil"/>
              <w:bottom w:val="single" w:sz="4" w:space="0" w:color="auto"/>
              <w:right w:val="single" w:sz="4" w:space="0" w:color="auto"/>
            </w:tcBorders>
            <w:shd w:val="clear" w:color="auto" w:fill="auto"/>
          </w:tcPr>
          <w:p w:rsidR="00AE18BE" w:rsidRPr="002A023C" w:rsidRDefault="0068187A" w:rsidP="002A023C">
            <w:pPr>
              <w:shd w:val="clear" w:color="auto" w:fill="FFFFFF"/>
              <w:jc w:val="both"/>
              <w:rPr>
                <w:rFonts w:ascii="Garamond" w:hAnsi="Garamond"/>
              </w:rPr>
            </w:pPr>
            <w:r w:rsidRPr="002A023C">
              <w:rPr>
                <w:rFonts w:ascii="Garamond" w:hAnsi="Garamond"/>
              </w:rPr>
              <w:t>Regulation 3(a), (b) ,(c), (d), 4(1) and 4(2)(a) of PFTUP Regulations,2003.</w:t>
            </w:r>
          </w:p>
        </w:tc>
        <w:tc>
          <w:tcPr>
            <w:tcW w:w="141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5,00,000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32</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1F2AD1" w:rsidP="002A023C">
            <w:pPr>
              <w:jc w:val="both"/>
              <w:rPr>
                <w:rFonts w:ascii="Garamond" w:hAnsi="Garamond"/>
              </w:rPr>
            </w:pPr>
            <w:r w:rsidRPr="002A023C">
              <w:rPr>
                <w:rFonts w:ascii="Garamond" w:hAnsi="Garamond"/>
              </w:rPr>
              <w:t>10/02/2022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Dealings in Illiquid Stock Options at BSE Ltd</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Sourabh Agarwal HUF</w:t>
            </w:r>
          </w:p>
        </w:tc>
        <w:tc>
          <w:tcPr>
            <w:tcW w:w="2268" w:type="dxa"/>
            <w:tcBorders>
              <w:top w:val="nil"/>
              <w:left w:val="nil"/>
              <w:bottom w:val="single" w:sz="4" w:space="0" w:color="auto"/>
              <w:right w:val="single" w:sz="4" w:space="0" w:color="auto"/>
            </w:tcBorders>
            <w:shd w:val="clear" w:color="auto" w:fill="auto"/>
          </w:tcPr>
          <w:p w:rsidR="00AE18BE" w:rsidRPr="002A023C" w:rsidRDefault="0068187A" w:rsidP="002A023C">
            <w:pPr>
              <w:shd w:val="clear" w:color="auto" w:fill="FFFFFF"/>
              <w:jc w:val="both"/>
              <w:rPr>
                <w:rFonts w:ascii="Garamond" w:hAnsi="Garamond"/>
              </w:rPr>
            </w:pPr>
            <w:r w:rsidRPr="002A023C">
              <w:rPr>
                <w:rFonts w:ascii="Garamond" w:hAnsi="Garamond"/>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5,00,000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33</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11/02/2022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 xml:space="preserve">Angel Fibers </w:t>
            </w:r>
            <w:r w:rsidR="005D3A87">
              <w:rPr>
                <w:rFonts w:ascii="Garamond" w:hAnsi="Garamond"/>
              </w:rPr>
              <w:t>Ltd.</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 xml:space="preserve">Ashok Mavjibhai Dudhagara, Prafulaben </w:t>
            </w:r>
            <w:r w:rsidRPr="002A023C">
              <w:rPr>
                <w:rFonts w:ascii="Garamond" w:hAnsi="Garamond"/>
              </w:rPr>
              <w:lastRenderedPageBreak/>
              <w:t>Ashokbhai Dudhagara</w:t>
            </w:r>
          </w:p>
        </w:tc>
        <w:tc>
          <w:tcPr>
            <w:tcW w:w="2268" w:type="dxa"/>
            <w:tcBorders>
              <w:top w:val="nil"/>
              <w:left w:val="nil"/>
              <w:bottom w:val="single" w:sz="4" w:space="0" w:color="auto"/>
              <w:right w:val="single" w:sz="4" w:space="0" w:color="auto"/>
            </w:tcBorders>
            <w:shd w:val="clear" w:color="auto" w:fill="auto"/>
          </w:tcPr>
          <w:p w:rsidR="00AE18BE" w:rsidRPr="002A023C" w:rsidRDefault="0068187A" w:rsidP="002A023C">
            <w:pPr>
              <w:shd w:val="clear" w:color="auto" w:fill="FFFFFF"/>
              <w:jc w:val="both"/>
              <w:rPr>
                <w:rFonts w:ascii="Garamond" w:hAnsi="Garamond"/>
              </w:rPr>
            </w:pPr>
            <w:r w:rsidRPr="002A023C">
              <w:rPr>
                <w:rFonts w:ascii="Garamond" w:hAnsi="Garamond"/>
              </w:rPr>
              <w:lastRenderedPageBreak/>
              <w:t>Regulation 31(1) read with 31(3) of SAST Regulations, 2011</w:t>
            </w:r>
          </w:p>
        </w:tc>
        <w:tc>
          <w:tcPr>
            <w:tcW w:w="141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2,00,000</w:t>
            </w:r>
          </w:p>
        </w:tc>
      </w:tr>
      <w:tr w:rsidR="00AE18B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E18B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34</w:t>
            </w:r>
          </w:p>
        </w:tc>
        <w:tc>
          <w:tcPr>
            <w:tcW w:w="1418" w:type="dxa"/>
            <w:tcBorders>
              <w:top w:val="nil"/>
              <w:left w:val="single" w:sz="4" w:space="0" w:color="auto"/>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11/02/2022</w:t>
            </w:r>
          </w:p>
        </w:tc>
        <w:tc>
          <w:tcPr>
            <w:tcW w:w="1701"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Dealings in Illiquid Stock Options at the BSE</w:t>
            </w:r>
          </w:p>
        </w:tc>
        <w:tc>
          <w:tcPr>
            <w:tcW w:w="1275" w:type="dxa"/>
            <w:tcBorders>
              <w:top w:val="nil"/>
              <w:left w:val="nil"/>
              <w:bottom w:val="single" w:sz="4" w:space="0" w:color="auto"/>
              <w:right w:val="single" w:sz="4" w:space="0" w:color="auto"/>
            </w:tcBorders>
            <w:shd w:val="clear" w:color="auto" w:fill="auto"/>
            <w:noWrap/>
          </w:tcPr>
          <w:p w:rsidR="00AE18B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Sudhir Kumar Gupta HUF</w:t>
            </w:r>
          </w:p>
        </w:tc>
        <w:tc>
          <w:tcPr>
            <w:tcW w:w="2268" w:type="dxa"/>
            <w:tcBorders>
              <w:top w:val="nil"/>
              <w:left w:val="nil"/>
              <w:bottom w:val="single" w:sz="4" w:space="0" w:color="auto"/>
              <w:right w:val="single" w:sz="4" w:space="0" w:color="auto"/>
            </w:tcBorders>
            <w:shd w:val="clear" w:color="auto" w:fill="auto"/>
          </w:tcPr>
          <w:p w:rsidR="00AE18BE" w:rsidRPr="002A023C" w:rsidRDefault="0068187A" w:rsidP="002A023C">
            <w:pPr>
              <w:shd w:val="clear" w:color="auto" w:fill="FFFFFF"/>
              <w:jc w:val="both"/>
              <w:rPr>
                <w:rFonts w:ascii="Garamond" w:hAnsi="Garamond"/>
              </w:rPr>
            </w:pPr>
            <w:r w:rsidRPr="002A023C">
              <w:rPr>
                <w:rFonts w:ascii="Garamond" w:hAnsi="Garamond"/>
              </w:rPr>
              <w:t>Regulations 3(a), (b), (c), (d), 4(1)  and  4(2)(a) of  the PFUTP Regulations.</w:t>
            </w:r>
          </w:p>
        </w:tc>
        <w:tc>
          <w:tcPr>
            <w:tcW w:w="1417" w:type="dxa"/>
            <w:tcBorders>
              <w:top w:val="nil"/>
              <w:left w:val="nil"/>
              <w:bottom w:val="single" w:sz="4" w:space="0" w:color="auto"/>
              <w:right w:val="single" w:sz="4" w:space="0" w:color="auto"/>
            </w:tcBorders>
            <w:shd w:val="clear" w:color="auto" w:fill="auto"/>
            <w:noWrap/>
          </w:tcPr>
          <w:p w:rsidR="00AE18BE" w:rsidRPr="002A023C" w:rsidRDefault="0068187A" w:rsidP="002A023C">
            <w:pPr>
              <w:jc w:val="both"/>
              <w:rPr>
                <w:rFonts w:ascii="Garamond" w:hAnsi="Garamond"/>
              </w:rPr>
            </w:pPr>
            <w:r w:rsidRPr="002A023C">
              <w:rPr>
                <w:rFonts w:ascii="Garamond" w:hAnsi="Garamond"/>
              </w:rPr>
              <w:t>5,00,000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11/02/2022</w:t>
            </w:r>
          </w:p>
        </w:tc>
        <w:tc>
          <w:tcPr>
            <w:tcW w:w="1701" w:type="dxa"/>
            <w:tcBorders>
              <w:top w:val="single" w:sz="4" w:space="0" w:color="auto"/>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 xml:space="preserve">Titan Company </w:t>
            </w:r>
            <w:r w:rsidR="005D3A87">
              <w:rPr>
                <w:rFonts w:ascii="Garamond" w:hAnsi="Garamond"/>
              </w:rPr>
              <w:t>Ltd.</w:t>
            </w:r>
          </w:p>
        </w:tc>
        <w:tc>
          <w:tcPr>
            <w:tcW w:w="1275" w:type="dxa"/>
            <w:tcBorders>
              <w:top w:val="single" w:sz="4" w:space="0" w:color="auto"/>
              <w:left w:val="nil"/>
              <w:bottom w:val="single" w:sz="4" w:space="0" w:color="auto"/>
              <w:right w:val="single" w:sz="4" w:space="0" w:color="auto"/>
            </w:tcBorders>
            <w:shd w:val="clear" w:color="auto" w:fill="auto"/>
            <w:noWrap/>
          </w:tcPr>
          <w:p w:rsidR="00120ED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eastAsia="Times New Roman" w:hAnsi="Garamond" w:cs="Calibri"/>
                <w:color w:val="000000"/>
              </w:rPr>
            </w:pPr>
            <w:r w:rsidRPr="002A023C">
              <w:rPr>
                <w:rFonts w:ascii="Garamond" w:eastAsia="Times New Roman" w:hAnsi="Garamond" w:cs="Calibri"/>
                <w:color w:val="000000"/>
              </w:rPr>
              <w:t>Mr. Deepak Kumar</w:t>
            </w:r>
          </w:p>
        </w:tc>
        <w:tc>
          <w:tcPr>
            <w:tcW w:w="2268" w:type="dxa"/>
            <w:tcBorders>
              <w:top w:val="single" w:sz="4" w:space="0" w:color="auto"/>
              <w:left w:val="nil"/>
              <w:bottom w:val="single" w:sz="4" w:space="0" w:color="auto"/>
              <w:right w:val="single" w:sz="4" w:space="0" w:color="auto"/>
            </w:tcBorders>
            <w:shd w:val="clear" w:color="auto" w:fill="auto"/>
          </w:tcPr>
          <w:p w:rsidR="00120EDE" w:rsidRPr="002A023C" w:rsidRDefault="0068187A" w:rsidP="002A023C">
            <w:pPr>
              <w:jc w:val="both"/>
              <w:rPr>
                <w:rFonts w:ascii="Garamond" w:eastAsia="Times New Roman" w:hAnsi="Garamond" w:cs="Calibri"/>
                <w:color w:val="000000"/>
              </w:rPr>
            </w:pPr>
            <w:r w:rsidRPr="002A023C">
              <w:rPr>
                <w:rFonts w:ascii="Garamond" w:eastAsia="Times New Roman" w:hAnsi="Garamond" w:cs="Calibri"/>
                <w:color w:val="000000"/>
              </w:rPr>
              <w:t>Regulation 7(2)(a)of PIT Regulations on three(3) occasions.</w:t>
            </w:r>
          </w:p>
        </w:tc>
        <w:tc>
          <w:tcPr>
            <w:tcW w:w="1417" w:type="dxa"/>
            <w:tcBorders>
              <w:top w:val="single" w:sz="4" w:space="0" w:color="auto"/>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1,00,000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11/02/2022</w:t>
            </w:r>
          </w:p>
        </w:tc>
        <w:tc>
          <w:tcPr>
            <w:tcW w:w="1701" w:type="dxa"/>
            <w:tcBorders>
              <w:top w:val="single" w:sz="4" w:space="0" w:color="auto"/>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120EDE" w:rsidRPr="002A023C" w:rsidRDefault="006C68FF" w:rsidP="002A023C">
            <w:pPr>
              <w:jc w:val="both"/>
              <w:rPr>
                <w:rFonts w:ascii="Garamond" w:hAnsi="Garamond"/>
              </w:rPr>
            </w:pPr>
            <w:r w:rsidRPr="002A023C">
              <w:rPr>
                <w:rFonts w:ascii="Garamond" w:eastAsia="Calibri" w:hAnsi="Garamond"/>
                <w:lang w:val="en-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Shri Ankit Kumar Bihani</w:t>
            </w:r>
          </w:p>
        </w:tc>
        <w:tc>
          <w:tcPr>
            <w:tcW w:w="2268" w:type="dxa"/>
            <w:tcBorders>
              <w:top w:val="single" w:sz="4" w:space="0" w:color="auto"/>
              <w:left w:val="nil"/>
              <w:bottom w:val="single" w:sz="4" w:space="0" w:color="auto"/>
              <w:right w:val="single" w:sz="4" w:space="0" w:color="auto"/>
            </w:tcBorders>
            <w:shd w:val="clear" w:color="auto" w:fill="auto"/>
          </w:tcPr>
          <w:p w:rsidR="00120EDE" w:rsidRPr="002A023C" w:rsidRDefault="0068187A" w:rsidP="002A023C">
            <w:pPr>
              <w:shd w:val="clear" w:color="auto" w:fill="FFFFFF"/>
              <w:jc w:val="both"/>
              <w:rPr>
                <w:rFonts w:ascii="Garamond" w:hAnsi="Garamond"/>
              </w:rPr>
            </w:pPr>
            <w:r w:rsidRPr="002A023C">
              <w:rPr>
                <w:rFonts w:ascii="Garamond" w:hAnsi="Garamond"/>
              </w:rPr>
              <w:t>Regulation 3(a), (b), (c), (d), 4(1) and 4(2)(a)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5,00,000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37</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11/02/2022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eastAsia="Times New Roman" w:hAnsi="Garamond" w:cs="Calibri"/>
                <w:color w:val="000000"/>
                <w:lang w:val="en-US"/>
              </w:rPr>
            </w:pPr>
            <w:r w:rsidRPr="002A023C">
              <w:rPr>
                <w:rFonts w:ascii="Garamond" w:eastAsia="Times New Roman" w:hAnsi="Garamond" w:cs="Calibri"/>
                <w:color w:val="000000"/>
                <w:lang w:val="en-US"/>
              </w:rPr>
              <w:t xml:space="preserve">Titan Company </w:t>
            </w:r>
            <w:r w:rsidR="005D3A87">
              <w:rPr>
                <w:rFonts w:ascii="Garamond" w:eastAsia="Times New Roman" w:hAnsi="Garamond" w:cs="Calibri"/>
                <w:color w:val="000000"/>
                <w:lang w:val="en-US"/>
              </w:rPr>
              <w:t>Ltd.</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Mr. D. Arun Kumar</w:t>
            </w:r>
          </w:p>
        </w:tc>
        <w:tc>
          <w:tcPr>
            <w:tcW w:w="2268" w:type="dxa"/>
            <w:tcBorders>
              <w:top w:val="nil"/>
              <w:left w:val="nil"/>
              <w:bottom w:val="single" w:sz="4" w:space="0" w:color="auto"/>
              <w:right w:val="single" w:sz="4" w:space="0" w:color="auto"/>
            </w:tcBorders>
            <w:shd w:val="clear" w:color="auto" w:fill="auto"/>
          </w:tcPr>
          <w:p w:rsidR="00120EDE" w:rsidRPr="002A023C" w:rsidRDefault="0068187A" w:rsidP="002A023C">
            <w:pPr>
              <w:jc w:val="both"/>
              <w:rPr>
                <w:rFonts w:ascii="Garamond" w:eastAsia="Times New Roman" w:hAnsi="Garamond" w:cs="Calibri"/>
                <w:color w:val="000000"/>
              </w:rPr>
            </w:pPr>
            <w:r w:rsidRPr="002A023C">
              <w:rPr>
                <w:rFonts w:ascii="Garamond" w:eastAsia="Times New Roman" w:hAnsi="Garamond" w:cs="Calibri"/>
                <w:color w:val="000000"/>
              </w:rPr>
              <w:t>Regulation 7(2)(a) of PIT Regulationson three(3) occasions.</w:t>
            </w:r>
          </w:p>
        </w:tc>
        <w:tc>
          <w:tcPr>
            <w:tcW w:w="1417" w:type="dxa"/>
            <w:tcBorders>
              <w:top w:val="nil"/>
              <w:left w:val="nil"/>
              <w:bottom w:val="single" w:sz="4" w:space="0" w:color="auto"/>
              <w:right w:val="single" w:sz="4" w:space="0" w:color="auto"/>
            </w:tcBorders>
            <w:shd w:val="clear" w:color="auto" w:fill="auto"/>
            <w:noWrap/>
          </w:tcPr>
          <w:p w:rsidR="00120EDE" w:rsidRPr="002A023C" w:rsidRDefault="0068187A" w:rsidP="002A023C">
            <w:pPr>
              <w:jc w:val="both"/>
              <w:rPr>
                <w:rFonts w:ascii="Garamond" w:hAnsi="Garamond"/>
              </w:rPr>
            </w:pPr>
            <w:r w:rsidRPr="002A023C">
              <w:rPr>
                <w:rFonts w:ascii="Garamond" w:hAnsi="Garamond"/>
              </w:rPr>
              <w:t>1,00,000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38</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14/02/2022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Jyoti Structures Ltd.</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Jyoti Structures Ltd.</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Regulations 51(1), 51(2) r/w Part B of schedule III (Clauses A1, A4, A9), 52(4), 52(5), 54(2), 57(1), 60(2), 40(10) r/w 40(9) and 13(3) LODR Regulations, 2015</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6,00,000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39</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14/02/2022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Dealing in Illiquid Stock Options on BSE</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Indrani Gupta</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5,00,000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40</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14/02/2022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Gaekwad Plantations Ltd.</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Gaekwad Plantations Ltd.</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Section 12(1) of SEBI Act, 1992</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10,00,000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41</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14/02/2022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Bhushan Steel Ltd (now known as Tata BSL Ltd.)</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Bhushan Steel Ltd.</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Regulations 51(1), 51(2) r/w Part B of schedule III (Clauses A1, A4, A9), 52(4), 52(5), 54(2), 57(1), and 13(3) LODR Regulations, 2015</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2,00,000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42</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15/02/2022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Highlights Investments Research</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Ms.  Shilpa Garg,  Proprietor,Highlight  Investment  Research</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SEBI  Circular  CIR/OIAE/2014  dated  December  18,  2014  read  with Regulation 21(1)  of Securities  and  Exchange  Board  of India  (Investment  Advisers)  Regulations, 2013.</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43</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15/02/2022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Religare Enterprises Ltd.</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Shri Mohammad Rashid, R K Stockholding Pvt. Ltd</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Regulations 3(a) to (d), 4(1), 4(2)(a) and (g) of PFUTP Regulations.</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5,00,000</w:t>
            </w:r>
          </w:p>
        </w:tc>
      </w:tr>
      <w:tr w:rsidR="00120EDE"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120EDE"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44</w:t>
            </w:r>
          </w:p>
        </w:tc>
        <w:tc>
          <w:tcPr>
            <w:tcW w:w="1418" w:type="dxa"/>
            <w:tcBorders>
              <w:top w:val="nil"/>
              <w:left w:val="single" w:sz="4" w:space="0" w:color="auto"/>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15/02/2022</w:t>
            </w:r>
          </w:p>
        </w:tc>
        <w:tc>
          <w:tcPr>
            <w:tcW w:w="1701"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Dealings in Illiquid Stock Options at the BSE</w:t>
            </w:r>
          </w:p>
        </w:tc>
        <w:tc>
          <w:tcPr>
            <w:tcW w:w="1275" w:type="dxa"/>
            <w:tcBorders>
              <w:top w:val="nil"/>
              <w:left w:val="nil"/>
              <w:bottom w:val="single" w:sz="4" w:space="0" w:color="auto"/>
              <w:right w:val="single" w:sz="4" w:space="0" w:color="auto"/>
            </w:tcBorders>
            <w:shd w:val="clear" w:color="auto" w:fill="auto"/>
            <w:noWrap/>
          </w:tcPr>
          <w:p w:rsidR="00120EDE" w:rsidRPr="002A023C" w:rsidRDefault="005205FF" w:rsidP="002A023C">
            <w:pPr>
              <w:jc w:val="both"/>
              <w:rPr>
                <w:rFonts w:ascii="Garamond" w:hAnsi="Garamond"/>
              </w:rPr>
            </w:pPr>
            <w:r w:rsidRPr="002A023C">
              <w:rPr>
                <w:rFonts w:ascii="Garamond" w:eastAsia="Calibri" w:hAnsi="Garamond"/>
                <w:lang w:val="en-IN"/>
              </w:rPr>
              <w:t>Adjudication</w:t>
            </w:r>
          </w:p>
        </w:tc>
        <w:tc>
          <w:tcPr>
            <w:tcW w:w="212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Sanjay Samaiya</w:t>
            </w:r>
          </w:p>
        </w:tc>
        <w:tc>
          <w:tcPr>
            <w:tcW w:w="2268" w:type="dxa"/>
            <w:tcBorders>
              <w:top w:val="nil"/>
              <w:left w:val="nil"/>
              <w:bottom w:val="single" w:sz="4" w:space="0" w:color="auto"/>
              <w:right w:val="single" w:sz="4" w:space="0" w:color="auto"/>
            </w:tcBorders>
            <w:shd w:val="clear" w:color="auto" w:fill="auto"/>
          </w:tcPr>
          <w:p w:rsidR="00120EDE" w:rsidRPr="002A023C" w:rsidRDefault="00631D1C" w:rsidP="002A023C">
            <w:pPr>
              <w:shd w:val="clear" w:color="auto" w:fill="FFFFFF"/>
              <w:jc w:val="both"/>
              <w:rPr>
                <w:rFonts w:ascii="Garamond" w:hAnsi="Garamond"/>
              </w:rPr>
            </w:pPr>
            <w:r w:rsidRPr="002A023C">
              <w:rPr>
                <w:rFonts w:ascii="Garamond" w:hAnsi="Garamond"/>
              </w:rPr>
              <w:t>Regulations 3(a), (b), (c), (d), 4(1) and 4(2)(a) of the PFUTP Regulations</w:t>
            </w:r>
          </w:p>
        </w:tc>
        <w:tc>
          <w:tcPr>
            <w:tcW w:w="1417" w:type="dxa"/>
            <w:tcBorders>
              <w:top w:val="nil"/>
              <w:left w:val="nil"/>
              <w:bottom w:val="single" w:sz="4" w:space="0" w:color="auto"/>
              <w:right w:val="single" w:sz="4" w:space="0" w:color="auto"/>
            </w:tcBorders>
            <w:shd w:val="clear" w:color="auto" w:fill="auto"/>
            <w:noWrap/>
          </w:tcPr>
          <w:p w:rsidR="00120EDE" w:rsidRPr="002A023C" w:rsidRDefault="00631D1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45</w:t>
            </w:r>
          </w:p>
        </w:tc>
        <w:tc>
          <w:tcPr>
            <w:tcW w:w="1418" w:type="dxa"/>
            <w:tcBorders>
              <w:top w:val="nil"/>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Sanjana Bohra</w:t>
            </w:r>
          </w:p>
        </w:tc>
        <w:tc>
          <w:tcPr>
            <w:tcW w:w="2268" w:type="dxa"/>
            <w:tcBorders>
              <w:top w:val="nil"/>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 xml:space="preserve"> Regulations 3(a), (b), (c), (d), 4(1) and 4(2)(a) of the PFUTP Regulations.</w:t>
            </w:r>
          </w:p>
        </w:tc>
        <w:tc>
          <w:tcPr>
            <w:tcW w:w="1417" w:type="dxa"/>
            <w:tcBorders>
              <w:top w:val="nil"/>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Pr>
                <w:rFonts w:ascii="Garamond" w:hAnsi="Garamond"/>
              </w:rPr>
              <w:t xml:space="preserve"> </w:t>
            </w:r>
            <w:r w:rsidRPr="002A023C">
              <w:rPr>
                <w:rFonts w:ascii="Garamond" w:hAnsi="Garamond"/>
              </w:rPr>
              <w:t>5,00,000</w:t>
            </w:r>
            <w:r>
              <w:rPr>
                <w:rFonts w:ascii="Garamond" w:hAnsi="Garamond"/>
              </w:rPr>
              <w:t xml:space="preserve">           </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46</w:t>
            </w:r>
          </w:p>
        </w:tc>
        <w:tc>
          <w:tcPr>
            <w:tcW w:w="1418" w:type="dxa"/>
            <w:tcBorders>
              <w:top w:val="nil"/>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the BSE</w:t>
            </w:r>
          </w:p>
        </w:tc>
        <w:tc>
          <w:tcPr>
            <w:tcW w:w="1275"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Sudhir Agarwal HUF</w:t>
            </w:r>
          </w:p>
        </w:tc>
        <w:tc>
          <w:tcPr>
            <w:tcW w:w="2268" w:type="dxa"/>
            <w:tcBorders>
              <w:top w:val="nil"/>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(b), (c), (d), 4(1)    and    4(2)(a)    of    the PFUTP Regulations.</w:t>
            </w:r>
          </w:p>
        </w:tc>
        <w:tc>
          <w:tcPr>
            <w:tcW w:w="1417" w:type="dxa"/>
            <w:tcBorders>
              <w:top w:val="nil"/>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r w:rsidR="00A846A4" w:rsidRPr="002A023C">
              <w:rPr>
                <w:rFonts w:ascii="Garamond" w:hAnsi="Garamond"/>
              </w:rPr>
              <w:t xml:space="preserve">               </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47</w:t>
            </w:r>
          </w:p>
        </w:tc>
        <w:tc>
          <w:tcPr>
            <w:tcW w:w="1418" w:type="dxa"/>
            <w:tcBorders>
              <w:top w:val="nil"/>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the Bombay Stock Exchange</w:t>
            </w:r>
          </w:p>
        </w:tc>
        <w:tc>
          <w:tcPr>
            <w:tcW w:w="1275"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Mahabir Prasad Garg HUF</w:t>
            </w:r>
          </w:p>
        </w:tc>
        <w:tc>
          <w:tcPr>
            <w:tcW w:w="2268" w:type="dxa"/>
            <w:tcBorders>
              <w:top w:val="nil"/>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r w:rsidR="00A846A4" w:rsidRPr="002A023C">
              <w:rPr>
                <w:rFonts w:ascii="Garamond" w:hAnsi="Garamond"/>
              </w:rPr>
              <w:t xml:space="preserve">             </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48</w:t>
            </w:r>
          </w:p>
        </w:tc>
        <w:tc>
          <w:tcPr>
            <w:tcW w:w="1418" w:type="dxa"/>
            <w:tcBorders>
              <w:top w:val="nil"/>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Trading in Illiquid Stock Options on BSE</w:t>
            </w:r>
          </w:p>
        </w:tc>
        <w:tc>
          <w:tcPr>
            <w:tcW w:w="1275"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Harsh Vardhan Maheshwari</w:t>
            </w:r>
          </w:p>
        </w:tc>
        <w:tc>
          <w:tcPr>
            <w:tcW w:w="2268" w:type="dxa"/>
            <w:tcBorders>
              <w:top w:val="nil"/>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(b),   (c), (d),   4(1)   and   4(2)(a)   of PFUTP Regulations, 2003</w:t>
            </w:r>
          </w:p>
        </w:tc>
        <w:tc>
          <w:tcPr>
            <w:tcW w:w="1417" w:type="dxa"/>
            <w:tcBorders>
              <w:top w:val="nil"/>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r w:rsidR="00A846A4" w:rsidRPr="002A023C">
              <w:rPr>
                <w:rFonts w:ascii="Garamond" w:hAnsi="Garamond"/>
              </w:rPr>
              <w:t xml:space="preserve">             </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49</w:t>
            </w:r>
          </w:p>
        </w:tc>
        <w:tc>
          <w:tcPr>
            <w:tcW w:w="1418" w:type="dxa"/>
            <w:tcBorders>
              <w:top w:val="nil"/>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the BSE</w:t>
            </w:r>
          </w:p>
        </w:tc>
        <w:tc>
          <w:tcPr>
            <w:tcW w:w="1275"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nil"/>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 xml:space="preserve">Rajendra Prasad Singnodia </w:t>
            </w:r>
          </w:p>
        </w:tc>
        <w:tc>
          <w:tcPr>
            <w:tcW w:w="2268" w:type="dxa"/>
            <w:tcBorders>
              <w:top w:val="nil"/>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 3(a), (b), (c), (d), 4(1)and4(2)(a)of the SEBI (PFUTP)Regulations.</w:t>
            </w:r>
          </w:p>
        </w:tc>
        <w:tc>
          <w:tcPr>
            <w:tcW w:w="1417" w:type="dxa"/>
            <w:tcBorders>
              <w:top w:val="nil"/>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NSE Co-Location</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Silver Stream Equities Private Ltd.</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Point 2(a) of Chapter V of NSE bye-laws r/w clause A(5) of the Code of Conduct specified under Schedule II r/w regulation 9(f) of the Stock Broker Regulations, 1992, clause A(2) of the Code of Conduct specified under Schedule II r/w regulation 9(f) of  the  Stock  Broker  Regulations,  1992  and  regulation  4(1)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Pr>
                <w:rFonts w:ascii="Garamond" w:hAnsi="Garamond"/>
              </w:rPr>
              <w:t>6</w:t>
            </w:r>
            <w:r w:rsidRPr="002A023C">
              <w:rPr>
                <w:rFonts w:ascii="Garamond" w:hAnsi="Garamond"/>
              </w:rPr>
              <w:t>,00,000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16,2022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NSE Co-Location</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Adroit Financial Services Private Ltd.</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 xml:space="preserve">Point 2(a) of Chapter V of NSE bye-laws r/w clause A(5) of the Code of Conduct specified under Schedule II r/w </w:t>
            </w:r>
            <w:r w:rsidRPr="002A023C">
              <w:rPr>
                <w:rFonts w:ascii="Garamond" w:hAnsi="Garamond"/>
              </w:rPr>
              <w:lastRenderedPageBreak/>
              <w:t>regulation 9(f) of the Stock Broker Regulations, 1992, clause A(2) of the Code of Conduct specified under Schedule II r/w regulation 9(f) of the Stock Broker  Regulations,  1992  and  regulation  4(1)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Pr>
                <w:rFonts w:ascii="Garamond" w:hAnsi="Garamond"/>
              </w:rPr>
              <w:lastRenderedPageBreak/>
              <w:t>6</w:t>
            </w:r>
            <w:r w:rsidRPr="002A023C">
              <w:rPr>
                <w:rFonts w:ascii="Garamond" w:hAnsi="Garamond"/>
              </w:rPr>
              <w:t>,00,000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52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Shri Ankit Modi</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 3(a), (b), (c), (d), and 4(1),4(2)(a)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 xml:space="preserve">Dealings in illiquid stock options at BSE Ltd. </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Sarita Gupta</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 (a), (b),  (c),  (d)  and  4  (1),  4 (2)  (a)  of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the Bombay Stock Exchange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Ms.Mandeep Kaur</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 3(a) ,4(1) and 4(2)(a) of PFTUP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Kalpana Agarwala</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 3(a), (b), (c), (d), 4(1) and 4(2)(a) of SEBI (Prohibition of Fraudulent and Unfair Trading Practices related to Securities Markets)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Kala Patodia</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Regulations3(a), (b),  (c),  (d),  4(1)  and  4(2)(a)  of the    SEBI  (Prohibition  of  Fraudulent  and  Unfair Trading  Practices  related  to  Securities  Markets)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Sterling International Enterprises Ltd</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Sterling International Enterprises Ltd</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 xml:space="preserve">Section 12A (a), (b) and (c) ofthe SEBI Act r/w Regulation 3 (a), (b), (c) and (d), Regulation 4(1), 4(2)(a)  and  4(g)  of  SEBI  (Prohibition  of  </w:t>
            </w:r>
            <w:r w:rsidRPr="002A023C">
              <w:rPr>
                <w:rFonts w:ascii="Garamond" w:hAnsi="Garamond"/>
              </w:rPr>
              <w:lastRenderedPageBreak/>
              <w:t>Fraudulent  and  Unfair  Trade  Practices Relating  to  Securities  Markets)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Pr>
                <w:rFonts w:ascii="Garamond" w:hAnsi="Garamond"/>
              </w:rPr>
              <w:lastRenderedPageBreak/>
              <w:t>2</w:t>
            </w:r>
            <w:r w:rsidRPr="002A023C">
              <w:rPr>
                <w:rFonts w:ascii="Garamond" w:hAnsi="Garamond"/>
              </w:rPr>
              <w:t>,00,000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58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Seema  Agarwal</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4(1), 4(2)(a)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59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Armour Commotrade Pvt. Ltd</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 xml:space="preserve">Regulations 3(a), (b), (c), (d), 4(1) and 4(2)(a) of PFUTP Regulations </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Seema  Choraria</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4(1), 4(2)(a)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40263B" w:rsidP="0040263B">
            <w:pPr>
              <w:jc w:val="both"/>
              <w:rPr>
                <w:rFonts w:ascii="Garamond" w:hAnsi="Garamond"/>
              </w:rPr>
            </w:pPr>
            <w:r w:rsidRPr="0040263B">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17,2022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Seema    Bagree</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4(1), 4(2)(a)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40263B" w:rsidP="0040263B">
            <w:pPr>
              <w:jc w:val="both"/>
              <w:rPr>
                <w:rFonts w:ascii="Garamond" w:hAnsi="Garamond"/>
              </w:rPr>
            </w:pPr>
            <w:r w:rsidRPr="0040263B">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18,2022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Varun Beverages Ltd.</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Mr. Rajesh Chopra</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 xml:space="preserve"> Regulation 7(2)(a) of SEBI PIT Regulations, 2015.</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Pr>
                <w:rFonts w:ascii="Garamond" w:hAnsi="Garamond"/>
              </w:rPr>
              <w:t>3,00,000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18,2022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Dealings in Illiquid Stock Options at the Bombay Stock Exchange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Manish Kandhari HUF</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18,2022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Nidhi Kunj Baheti (Earlier known as Nidhi Biyani)</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p>
        </w:tc>
      </w:tr>
      <w:tr w:rsidR="00A846A4"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A846A4"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February 18,2022</w:t>
            </w:r>
          </w:p>
        </w:tc>
        <w:tc>
          <w:tcPr>
            <w:tcW w:w="1701"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A846A4" w:rsidRPr="002A023C" w:rsidRDefault="00A846A4" w:rsidP="002A023C">
            <w:pPr>
              <w:jc w:val="both"/>
              <w:rPr>
                <w:rFonts w:ascii="Garamond" w:hAnsi="Garamond"/>
              </w:rPr>
            </w:pPr>
            <w:r w:rsidRPr="002A023C">
              <w:rPr>
                <w:rFonts w:ascii="Garamond" w:hAnsi="Garamond"/>
              </w:rPr>
              <w:t>Karuna Retails Pvt. Ltd.</w:t>
            </w:r>
          </w:p>
        </w:tc>
        <w:tc>
          <w:tcPr>
            <w:tcW w:w="2268" w:type="dxa"/>
            <w:tcBorders>
              <w:top w:val="single" w:sz="4" w:space="0" w:color="auto"/>
              <w:left w:val="nil"/>
              <w:bottom w:val="single" w:sz="4" w:space="0" w:color="auto"/>
              <w:right w:val="single" w:sz="4" w:space="0" w:color="auto"/>
            </w:tcBorders>
            <w:shd w:val="clear" w:color="auto" w:fill="auto"/>
          </w:tcPr>
          <w:p w:rsidR="00A846A4" w:rsidRPr="002A023C" w:rsidRDefault="00A846A4" w:rsidP="002A023C">
            <w:pPr>
              <w:jc w:val="both"/>
              <w:rPr>
                <w:rFonts w:ascii="Garamond" w:hAnsi="Garamond"/>
              </w:rPr>
            </w:pPr>
            <w:r w:rsidRPr="002A023C">
              <w:rPr>
                <w:rFonts w:ascii="Garamond" w:hAnsi="Garamond"/>
              </w:rPr>
              <w:t>Regulations  3(a),  (b),  (c),(d),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A846A4" w:rsidRPr="002A023C" w:rsidRDefault="002A023C" w:rsidP="002A023C">
            <w:pPr>
              <w:jc w:val="both"/>
              <w:rPr>
                <w:rFonts w:ascii="Garamond" w:hAnsi="Garamond"/>
              </w:rPr>
            </w:pPr>
            <w:r w:rsidRPr="002A023C">
              <w:rPr>
                <w:rFonts w:ascii="Garamond" w:hAnsi="Garamond"/>
              </w:rPr>
              <w:t>5,00,000</w:t>
            </w:r>
            <w:r w:rsidR="00A846A4" w:rsidRPr="002A023C">
              <w:rPr>
                <w:rFonts w:ascii="Garamond" w:hAnsi="Garamond"/>
              </w:rPr>
              <w:t xml:space="preserve">               </w:t>
            </w:r>
          </w:p>
        </w:tc>
      </w:tr>
      <w:tr w:rsidR="0030113D"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30113D"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0113D" w:rsidRPr="002A023C" w:rsidRDefault="003A5021" w:rsidP="002A023C">
            <w:pPr>
              <w:jc w:val="both"/>
              <w:rPr>
                <w:rFonts w:ascii="Garamond" w:hAnsi="Garamond"/>
              </w:rPr>
            </w:pPr>
            <w:r w:rsidRPr="002A023C">
              <w:rPr>
                <w:rFonts w:ascii="Garamond" w:hAnsi="Garamond"/>
              </w:rPr>
              <w:t>February 21,2022</w:t>
            </w:r>
          </w:p>
        </w:tc>
        <w:tc>
          <w:tcPr>
            <w:tcW w:w="1701" w:type="dxa"/>
            <w:tcBorders>
              <w:top w:val="single" w:sz="4" w:space="0" w:color="auto"/>
              <w:left w:val="nil"/>
              <w:bottom w:val="single" w:sz="4" w:space="0" w:color="auto"/>
              <w:right w:val="single" w:sz="4" w:space="0" w:color="auto"/>
            </w:tcBorders>
            <w:shd w:val="clear" w:color="auto" w:fill="auto"/>
            <w:noWrap/>
          </w:tcPr>
          <w:p w:rsidR="0030113D" w:rsidRPr="002A023C" w:rsidRDefault="003A5021" w:rsidP="002A023C">
            <w:pPr>
              <w:jc w:val="both"/>
              <w:rPr>
                <w:rFonts w:ascii="Garamond" w:hAnsi="Garamond"/>
              </w:rPr>
            </w:pPr>
            <w:r w:rsidRPr="002A023C">
              <w:rPr>
                <w:rFonts w:ascii="Garamond" w:hAnsi="Garamond"/>
              </w:rPr>
              <w:t>Dealings in Illiquid Stock Options at BSE Ltd.</w:t>
            </w:r>
          </w:p>
        </w:tc>
        <w:tc>
          <w:tcPr>
            <w:tcW w:w="1275" w:type="dxa"/>
            <w:tcBorders>
              <w:top w:val="single" w:sz="4" w:space="0" w:color="auto"/>
              <w:left w:val="nil"/>
              <w:bottom w:val="single" w:sz="4" w:space="0" w:color="auto"/>
              <w:right w:val="single" w:sz="4" w:space="0" w:color="auto"/>
            </w:tcBorders>
            <w:shd w:val="clear" w:color="auto" w:fill="auto"/>
            <w:noWrap/>
          </w:tcPr>
          <w:p w:rsidR="0030113D"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30113D" w:rsidRPr="002A023C" w:rsidRDefault="003A5021" w:rsidP="002A023C">
            <w:pPr>
              <w:jc w:val="both"/>
              <w:rPr>
                <w:rFonts w:ascii="Garamond" w:hAnsi="Garamond"/>
              </w:rPr>
            </w:pPr>
            <w:r w:rsidRPr="002A023C">
              <w:rPr>
                <w:rFonts w:ascii="Garamond" w:hAnsi="Garamond"/>
              </w:rPr>
              <w:t>Sonu Srimal</w:t>
            </w:r>
          </w:p>
        </w:tc>
        <w:tc>
          <w:tcPr>
            <w:tcW w:w="2268" w:type="dxa"/>
            <w:tcBorders>
              <w:top w:val="single" w:sz="4" w:space="0" w:color="auto"/>
              <w:left w:val="nil"/>
              <w:bottom w:val="single" w:sz="4" w:space="0" w:color="auto"/>
              <w:right w:val="single" w:sz="4" w:space="0" w:color="auto"/>
            </w:tcBorders>
            <w:shd w:val="clear" w:color="auto" w:fill="auto"/>
          </w:tcPr>
          <w:p w:rsidR="0030113D" w:rsidRPr="002A023C" w:rsidRDefault="003A5021" w:rsidP="002A023C">
            <w:pPr>
              <w:shd w:val="clear" w:color="auto" w:fill="FFFFFF"/>
              <w:jc w:val="both"/>
              <w:rPr>
                <w:rFonts w:ascii="Garamond" w:hAnsi="Garamond"/>
              </w:rPr>
            </w:pPr>
            <w:r w:rsidRPr="002A023C">
              <w:rPr>
                <w:rFonts w:ascii="Garamond" w:hAnsi="Garamond"/>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30113D" w:rsidRPr="002A023C" w:rsidRDefault="002A023C" w:rsidP="002A023C">
            <w:pPr>
              <w:jc w:val="both"/>
              <w:rPr>
                <w:rFonts w:ascii="Garamond" w:hAnsi="Garamond"/>
              </w:rPr>
            </w:pPr>
            <w:r w:rsidRPr="002A023C">
              <w:rPr>
                <w:rFonts w:ascii="Garamond" w:hAnsi="Garamond"/>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February 21,2022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 xml:space="preserve">Ashapura Intimates Fashion </w:t>
            </w:r>
            <w:r w:rsidR="005D3A87">
              <w:rPr>
                <w:rFonts w:ascii="Garamond" w:hAnsi="Garamond"/>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Mr. Harshad Hirji Thakkar</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3A5021" w:rsidP="002A023C">
            <w:pPr>
              <w:jc w:val="both"/>
              <w:rPr>
                <w:rFonts w:ascii="Garamond" w:hAnsi="Garamond"/>
              </w:rPr>
            </w:pPr>
            <w:r w:rsidRPr="002A023C">
              <w:rPr>
                <w:rFonts w:ascii="Garamond" w:hAnsi="Garamond"/>
              </w:rPr>
              <w:t>Regulation 29(2)  read  with  Regulation  29  (3) and  Regulation  31(1)  read  with  Regulation  31(3)  of  the SAST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3,00,000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68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February 21,2022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eastAsia="Times New Roman" w:hAnsi="Garamond" w:cs="Calibri"/>
                <w:color w:val="000000"/>
                <w:lang w:eastAsia="en-IN"/>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eastAsia="Times New Roman" w:hAnsi="Garamond" w:cs="Calibri"/>
                <w:color w:val="000000"/>
                <w:lang w:eastAsia="en-IN"/>
              </w:rPr>
              <w:t>Beena Agarwal</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hAnsi="Garamond"/>
              </w:rPr>
            </w:pPr>
            <w:r w:rsidRPr="002A023C">
              <w:rPr>
                <w:rFonts w:ascii="Garamond" w:hAnsi="Garamond"/>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69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February 21,2022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Shiva I Jaiswal HUF</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hAnsi="Garamond"/>
              </w:rPr>
            </w:pPr>
            <w:r w:rsidRPr="002A023C">
              <w:rPr>
                <w:rFonts w:ascii="Garamond" w:hAnsi="Garamond"/>
              </w:rPr>
              <w:t>Regulation 3 (a),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February 22,2022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 xml:space="preserve">Kushal Tradelink </w:t>
            </w:r>
            <w:r w:rsidR="005D3A87">
              <w:rPr>
                <w:rFonts w:ascii="Garamond" w:hAnsi="Garamond"/>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Mr. Dhananjay Kumar</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hAnsi="Garamond"/>
              </w:rPr>
            </w:pPr>
            <w:r w:rsidRPr="002A023C">
              <w:rPr>
                <w:rFonts w:ascii="Garamond" w:hAnsi="Garamond"/>
              </w:rPr>
              <w:t>Regulations 3(a), 3(b), 3(c), 3(d), 4(1), 4(2)(a), (e) and (g) of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 xml:space="preserve">               20,00,000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February 22,2022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Nikhil Agrawal HUF</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hAnsi="Garamond"/>
              </w:rPr>
            </w:pPr>
            <w:r w:rsidRPr="002A023C">
              <w:rPr>
                <w:rFonts w:ascii="Garamond" w:hAnsi="Garamond"/>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February 22,2022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Nikhil Sarda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hAnsi="Garamond"/>
              </w:rPr>
            </w:pPr>
            <w:r w:rsidRPr="002A023C">
              <w:rPr>
                <w:rFonts w:ascii="Garamond" w:hAnsi="Garamond"/>
              </w:rPr>
              <w:t>Regulations 3(a), (b), (c), (d),  4(1)  and  4(2)(a)  of PFUTP Regulations, 2004</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rPr>
            </w:pPr>
            <w:r w:rsidRPr="002A023C">
              <w:rPr>
                <w:rFonts w:ascii="Garamond" w:hAnsi="Garamond"/>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cs="Calibri"/>
                <w:color w:val="000000"/>
                <w:lang w:bidi="hi-IN"/>
              </w:rPr>
              <w:t>February 22,2022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eastAsia="Times New Roman" w:hAnsi="Garamond" w:cs="Calibri"/>
                <w:color w:val="000000"/>
              </w:rPr>
            </w:pPr>
            <w:r w:rsidRPr="002A023C">
              <w:rPr>
                <w:rFonts w:ascii="Garamond" w:eastAsia="Times New Roman" w:hAnsi="Garamond" w:cs="Calibri"/>
                <w:color w:val="000000"/>
              </w:rPr>
              <w:t>Ashoke Agarwal &amp; Others  HUF</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(b), (c) &amp; (d) and Regulation 4(1) &amp;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cs="Calibri"/>
                <w:color w:val="000000"/>
                <w:lang w:bidi="hi-IN"/>
              </w:rPr>
              <w:t>February 22,2022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eastAsia="Times New Roman" w:hAnsi="Garamond" w:cs="Calibri"/>
                <w:color w:val="000000"/>
              </w:rPr>
            </w:pPr>
            <w:r w:rsidRPr="002A023C">
              <w:rPr>
                <w:rFonts w:ascii="Garamond" w:eastAsia="Times New Roman" w:hAnsi="Garamond" w:cs="Calibri"/>
                <w:color w:val="000000"/>
              </w:rPr>
              <w:t>Rajendra Prasad Gupta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421FB5"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421FB5"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"Inspection of Dwarka Prasad Gupta (Proprietor of “HNI Research"</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Dwarka Prasad Gupta (Proprietor of HNI Research)</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21(1)   of   SEBI (Investment  Advisers)  Regulations,  2013  and  Regulation  9(1)(c)  &amp;  13(1)  of  SEBI (Intermediaries) Regulations, 2008.</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1,00,000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Arun Shivaji Patil HUF</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Bombay Stock Exchange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Madhumita Dutta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Titan Company </w:t>
            </w:r>
            <w:r w:rsidR="005D3A87">
              <w:rPr>
                <w:rFonts w:ascii="Garamond" w:eastAsia="Times New Roman" w:hAnsi="Garamond" w:cs="Calibri"/>
                <w:color w:val="000000"/>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Mr. Ganesan Muthusamy</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7(2)(a) of PIT Regulations on three (3) occasions.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1,00,000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79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Nishul Jain</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Varun Beverages </w:t>
            </w:r>
            <w:r w:rsidR="005D3A87">
              <w:rPr>
                <w:rFonts w:ascii="Garamond" w:eastAsia="Times New Roman" w:hAnsi="Garamond" w:cs="Calibri"/>
                <w:color w:val="000000"/>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Mr. Bagga Rajinder Jeet Singh</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7(2)(a) of SEBI PIT Regulations, 2015.</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3,00,000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81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23,2022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Varun Beverages </w:t>
            </w:r>
            <w:r w:rsidR="005D3A87">
              <w:rPr>
                <w:rFonts w:ascii="Garamond" w:eastAsia="Times New Roman" w:hAnsi="Garamond" w:cs="Calibri"/>
                <w:color w:val="000000"/>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Ms. Monika Arora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7(2)(a) of SEBI PIT Regulations, 2015.</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3,00,000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lang w:eastAsia="en-IN"/>
              </w:rPr>
              <w:t>Kakali Mitra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 xml:space="preserve">Regulation  3(a),  (b),  (c),  (d),  4(1)  and  4(2)(a)  of  PFTUP Regulations,  2003.  </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Goodfaith Infra Ventures Private </w:t>
            </w:r>
            <w:r w:rsidR="005D3A87">
              <w:rPr>
                <w:rFonts w:ascii="Garamond" w:eastAsia="Times New Roman" w:hAnsi="Garamond" w:cs="Calibri"/>
                <w:color w:val="000000"/>
              </w:rPr>
              <w:t>Ltd.</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lang w:eastAsia="en-IN"/>
              </w:rPr>
              <w:t>Dau Lal Daga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Mohota Industries 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Vaibhav Kumar Mohota, Vibha Mohota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5(2)(ii) of the PIT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2,00,000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Rishav Agarwal</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A65C2"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(b), (c), (d), 4(1) and 4(2)(a) of the SEBI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9A65C2"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Rinky Vishal Poddar</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(b), (c), (d), 4(1) and 4(2)(a)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Mohota Industries 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b/>
                <w:bCs/>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Ranchhoddas Mohota HUF, Vinod Kumar Mohota HUF, Vinay Kumar Mohota, Vinay Kumar Mohota HUF, Swati Mohota</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5(2)(ii) of the PIT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89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Varun Beverages </w:t>
            </w:r>
            <w:r w:rsidR="005D3A87">
              <w:rPr>
                <w:rFonts w:ascii="Garamond" w:eastAsia="Times New Roman" w:hAnsi="Garamond" w:cs="Calibri"/>
                <w:color w:val="000000"/>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Mr. Sanjeev Anand</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7(2)(a) of SEBI PIT Regulations, 2015.</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3,00,000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Beena Devi Sadani</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Moral Devcon 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Moral  Devcon  Ltd. , Mr. Arun Kumar , Mr. Ajay Kumar Sharma , Mr.   Gyaneshwar   Sharma , Ms.  Santu  Kumari</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 xml:space="preserve">Sections  56,  60,  73  readwith  Sections  67  and  2(36)  and  Sections 117 A, 117 B and 117 C of the Companies Act, 1956 provisions of regulations 4,5,6,7,8,9,14,15,16,17,19, &amp; 26 of SEBI ILDS Regulations; </w:t>
            </w:r>
            <w:r w:rsidRPr="002A023C">
              <w:rPr>
                <w:rFonts w:ascii="Garamond" w:eastAsia="Times New Roman" w:hAnsi="Garamond" w:cs="Calibri"/>
                <w:color w:val="000000"/>
              </w:rPr>
              <w:lastRenderedPageBreak/>
              <w:t>Regulation 7 of SEBI Debenture Trustees Regulations read with Section 12 of the SEBI Act.</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lastRenderedPageBreak/>
              <w:t>2,50,000</w:t>
            </w: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92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Polar Pharma India </w:t>
            </w:r>
            <w:r w:rsidR="005D3A87">
              <w:rPr>
                <w:rFonts w:ascii="Garamond" w:eastAsia="Times New Roman" w:hAnsi="Garamond" w:cs="Calibri"/>
                <w:color w:val="000000"/>
              </w:rPr>
              <w:t>Ltd.</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b/>
                <w:bCs/>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Peeyush Agarwal</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9E6012" w:rsidP="002A023C">
            <w:pPr>
              <w:shd w:val="clear" w:color="auto" w:fill="FFFFFF"/>
              <w:jc w:val="both"/>
              <w:rPr>
                <w:rFonts w:ascii="Garamond" w:eastAsia="Times New Roman" w:hAnsi="Garamond" w:cs="Calibri"/>
                <w:color w:val="000000"/>
              </w:rPr>
            </w:pP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9E6012" w:rsidP="002A023C">
            <w:pPr>
              <w:jc w:val="both"/>
              <w:rPr>
                <w:rFonts w:ascii="Garamond" w:hAnsi="Garamond" w:cs="Calibri"/>
                <w:color w:val="000000"/>
                <w:lang w:bidi="hi-IN"/>
              </w:rPr>
            </w:pPr>
          </w:p>
        </w:tc>
      </w:tr>
      <w:tr w:rsidR="009E6012"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9E6012"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9E6012"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9E6012"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M  K  Aggarwal  HUF</w:t>
            </w:r>
          </w:p>
        </w:tc>
        <w:tc>
          <w:tcPr>
            <w:tcW w:w="2268" w:type="dxa"/>
            <w:tcBorders>
              <w:top w:val="single" w:sz="4" w:space="0" w:color="auto"/>
              <w:left w:val="nil"/>
              <w:bottom w:val="single" w:sz="4" w:space="0" w:color="auto"/>
              <w:right w:val="single" w:sz="4" w:space="0" w:color="auto"/>
            </w:tcBorders>
            <w:shd w:val="clear" w:color="auto" w:fill="auto"/>
          </w:tcPr>
          <w:p w:rsidR="009E6012"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  (a),  4(1)and  4(2)(a)of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9E6012"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3A5021" w:rsidP="002A023C">
            <w:pPr>
              <w:jc w:val="both"/>
              <w:rPr>
                <w:rFonts w:ascii="Garamond" w:hAnsi="Garamond" w:cs="Calibri"/>
                <w:color w:val="000000"/>
                <w:lang w:bidi="hi-IN"/>
              </w:rPr>
            </w:pPr>
            <w:r w:rsidRPr="002A023C">
              <w:rPr>
                <w:rFonts w:ascii="Garamond" w:hAnsi="Garamond"/>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Karuna Rasik Jaitha</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February 24,2022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Shivanand Dubey</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 (a)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w:t>
            </w:r>
            <w:r w:rsidR="009A65C2" w:rsidRPr="002A023C">
              <w:rPr>
                <w:rFonts w:ascii="Garamond" w:hAnsi="Garamond" w:cs="Calibri"/>
                <w:color w:val="000000"/>
                <w:lang w:bidi="hi-IN"/>
              </w:rPr>
              <w:t>,2022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HPC Biosciences Ltd</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9A65C2"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Goldline International Finvest Ltd., Madhukar  Dubey  and  his  proprietorship firms viz.N V Sales Corporation, Magnum Industrial and Alliance Traders  , Satendra  Kumar  and  his  proprietorship firm viz.Nisha Traders, Avisha Credit Capital Pvt. Ltd. &amp; 9 others</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BD3CE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and    4(1)    of    the    PFUTP Regulations read with section 12A(a),   (b)   and   (c)   of   the SEBI Act. ; Section 11 (3) and 11 C(3) of the SEBI Act. ; Regulation   57(1)   of   ICDR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1,56,00,000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eastAsia="Times New Roman" w:hAnsi="Garamond" w:cs="Calibri"/>
                <w:color w:val="000000"/>
              </w:rPr>
            </w:pPr>
            <w:r w:rsidRPr="002A023C">
              <w:rPr>
                <w:rFonts w:ascii="Garamond" w:eastAsia="Times New Roman" w:hAnsi="Garamond" w:cs="Calibri"/>
                <w:color w:val="000000"/>
              </w:rPr>
              <w:t>Sudhir Kumar Saha</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Sudhir Kumar Agarwal HUF</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6E2B5C" w:rsidP="002A023C">
            <w:pPr>
              <w:jc w:val="both"/>
              <w:rPr>
                <w:rFonts w:ascii="Garamond" w:eastAsia="Times New Roman" w:hAnsi="Garamond" w:cs="Calibri"/>
              </w:rPr>
            </w:pPr>
            <w:r w:rsidRPr="002A023C">
              <w:rPr>
                <w:rFonts w:ascii="Garamond" w:eastAsia="Times New Roman" w:hAnsi="Garamond" w:cs="Calibri"/>
              </w:rPr>
              <w:t>Regulations  3(a),  (b),  (c), (d), 4(1)  and  4(2)(a)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99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Shruti Deora</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 (a)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lang w:eastAsia="en-IN"/>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Aruna Modi</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101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Shubhra Gupta</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  (a)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Mr. Baijnath Goel HUF</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63979"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63979"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M/s Global Infratech and Finance Ltd</w:t>
            </w:r>
          </w:p>
        </w:tc>
        <w:tc>
          <w:tcPr>
            <w:tcW w:w="1275" w:type="dxa"/>
            <w:tcBorders>
              <w:top w:val="single" w:sz="4" w:space="0" w:color="auto"/>
              <w:left w:val="nil"/>
              <w:bottom w:val="single" w:sz="4" w:space="0" w:color="auto"/>
              <w:right w:val="single" w:sz="4" w:space="0" w:color="auto"/>
            </w:tcBorders>
            <w:shd w:val="clear" w:color="auto" w:fill="auto"/>
            <w:noWrap/>
          </w:tcPr>
          <w:p w:rsidR="00263979"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63979"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Mr. Ashok Bothra</w:t>
            </w:r>
          </w:p>
        </w:tc>
        <w:tc>
          <w:tcPr>
            <w:tcW w:w="2268" w:type="dxa"/>
            <w:tcBorders>
              <w:top w:val="single" w:sz="4" w:space="0" w:color="auto"/>
              <w:left w:val="nil"/>
              <w:bottom w:val="single" w:sz="4" w:space="0" w:color="auto"/>
              <w:right w:val="single" w:sz="4" w:space="0" w:color="auto"/>
            </w:tcBorders>
            <w:shd w:val="clear" w:color="auto" w:fill="auto"/>
          </w:tcPr>
          <w:p w:rsidR="00263979" w:rsidRPr="002A023C" w:rsidRDefault="00263979" w:rsidP="002A023C">
            <w:pPr>
              <w:shd w:val="clear" w:color="auto" w:fill="FFFFFF"/>
              <w:jc w:val="both"/>
              <w:rPr>
                <w:rFonts w:ascii="Garamond" w:eastAsia="Times New Roman" w:hAnsi="Garamond" w:cs="Calibri"/>
                <w:color w:val="000000"/>
              </w:rPr>
            </w:pPr>
          </w:p>
        </w:tc>
        <w:tc>
          <w:tcPr>
            <w:tcW w:w="1417" w:type="dxa"/>
            <w:tcBorders>
              <w:top w:val="single" w:sz="4" w:space="0" w:color="auto"/>
              <w:left w:val="nil"/>
              <w:bottom w:val="single" w:sz="4" w:space="0" w:color="auto"/>
              <w:right w:val="single" w:sz="4" w:space="0" w:color="auto"/>
            </w:tcBorders>
            <w:shd w:val="clear" w:color="auto" w:fill="auto"/>
            <w:noWrap/>
          </w:tcPr>
          <w:p w:rsidR="00263979" w:rsidRPr="002A023C" w:rsidRDefault="00263979" w:rsidP="002A023C">
            <w:pPr>
              <w:jc w:val="both"/>
              <w:rPr>
                <w:rFonts w:ascii="Garamond" w:eastAsia="Times New Roman" w:hAnsi="Garamond" w:cs="Calibri"/>
                <w:color w:val="000000"/>
              </w:rPr>
            </w:pPr>
          </w:p>
        </w:tc>
      </w:tr>
      <w:tr w:rsidR="00BD3CE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BD3CE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BD3CE7"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Initial Public Offer of Vaswani Industries Ltd.</w:t>
            </w:r>
          </w:p>
        </w:tc>
        <w:tc>
          <w:tcPr>
            <w:tcW w:w="1275" w:type="dxa"/>
            <w:tcBorders>
              <w:top w:val="single" w:sz="4" w:space="0" w:color="auto"/>
              <w:left w:val="nil"/>
              <w:bottom w:val="single" w:sz="4" w:space="0" w:color="auto"/>
              <w:right w:val="single" w:sz="4" w:space="0" w:color="auto"/>
            </w:tcBorders>
            <w:shd w:val="clear" w:color="auto" w:fill="auto"/>
            <w:noWrap/>
          </w:tcPr>
          <w:p w:rsidR="00BD3CE7" w:rsidRPr="002A023C" w:rsidRDefault="00BD3CE7" w:rsidP="002A023C">
            <w:pPr>
              <w:jc w:val="both"/>
              <w:rPr>
                <w:rFonts w:ascii="Garamond" w:hAnsi="Garamond" w:cs="Calibri"/>
                <w:b/>
                <w:bCs/>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4G IT Solutions (India) Pvt. Ltd. (previously Rikhav Brokers Pvt. Ltd.) ; AHL Investment Consultants Pvt. Ltd. ; Manba Investments &amp; Securities Pvt. Ltd. ; Manba Broking Services Pvt. Ltd.</w:t>
            </w:r>
          </w:p>
        </w:tc>
        <w:tc>
          <w:tcPr>
            <w:tcW w:w="2268" w:type="dxa"/>
            <w:tcBorders>
              <w:top w:val="single" w:sz="4" w:space="0" w:color="auto"/>
              <w:left w:val="nil"/>
              <w:bottom w:val="single" w:sz="4" w:space="0" w:color="auto"/>
              <w:right w:val="single" w:sz="4" w:space="0" w:color="auto"/>
            </w:tcBorders>
            <w:shd w:val="clear" w:color="auto" w:fill="auto"/>
          </w:tcPr>
          <w:p w:rsidR="00BD3CE7" w:rsidRPr="002A023C" w:rsidRDefault="00BD3CE7" w:rsidP="002A023C">
            <w:pPr>
              <w:shd w:val="clear" w:color="auto" w:fill="FFFFFF"/>
              <w:jc w:val="both"/>
              <w:rPr>
                <w:rFonts w:ascii="Garamond" w:eastAsia="Times New Roman" w:hAnsi="Garamond" w:cs="Calibri"/>
                <w:color w:val="000000"/>
              </w:rPr>
            </w:pPr>
          </w:p>
        </w:tc>
        <w:tc>
          <w:tcPr>
            <w:tcW w:w="1417" w:type="dxa"/>
            <w:tcBorders>
              <w:top w:val="single" w:sz="4" w:space="0" w:color="auto"/>
              <w:left w:val="nil"/>
              <w:bottom w:val="single" w:sz="4" w:space="0" w:color="auto"/>
              <w:right w:val="single" w:sz="4" w:space="0" w:color="auto"/>
            </w:tcBorders>
            <w:shd w:val="clear" w:color="auto" w:fill="auto"/>
            <w:noWrap/>
          </w:tcPr>
          <w:p w:rsidR="00BD3CE7" w:rsidRPr="002A023C" w:rsidRDefault="00BD3CE7" w:rsidP="002A023C">
            <w:pPr>
              <w:jc w:val="both"/>
              <w:rPr>
                <w:rFonts w:ascii="Garamond" w:eastAsia="Times New Roman" w:hAnsi="Garamond" w:cs="Calibri"/>
                <w:color w:val="000000"/>
              </w:rPr>
            </w:pPr>
          </w:p>
        </w:tc>
      </w:tr>
      <w:tr w:rsidR="00BD3CE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BD3CE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BD3CE7"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URO Agro India Ltd.</w:t>
            </w:r>
          </w:p>
        </w:tc>
        <w:tc>
          <w:tcPr>
            <w:tcW w:w="1275" w:type="dxa"/>
            <w:tcBorders>
              <w:top w:val="single" w:sz="4" w:space="0" w:color="auto"/>
              <w:left w:val="nil"/>
              <w:bottom w:val="single" w:sz="4" w:space="0" w:color="auto"/>
              <w:right w:val="single" w:sz="4" w:space="0" w:color="auto"/>
            </w:tcBorders>
            <w:shd w:val="clear" w:color="auto" w:fill="auto"/>
            <w:noWrap/>
          </w:tcPr>
          <w:p w:rsidR="00BD3CE7"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Prasun Mandal, Sanjoy Chowhan, Ajit  Kumar  Routh</w:t>
            </w:r>
          </w:p>
        </w:tc>
        <w:tc>
          <w:tcPr>
            <w:tcW w:w="2268" w:type="dxa"/>
            <w:tcBorders>
              <w:top w:val="single" w:sz="4" w:space="0" w:color="auto"/>
              <w:left w:val="nil"/>
              <w:bottom w:val="single" w:sz="4" w:space="0" w:color="auto"/>
              <w:right w:val="single" w:sz="4" w:space="0" w:color="auto"/>
            </w:tcBorders>
            <w:shd w:val="clear" w:color="auto" w:fill="auto"/>
          </w:tcPr>
          <w:p w:rsidR="00BD3CE7"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Section 11C (3) and 11C (5) of the SEBI Act</w:t>
            </w:r>
          </w:p>
        </w:tc>
        <w:tc>
          <w:tcPr>
            <w:tcW w:w="1417"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1,00,000</w:t>
            </w:r>
          </w:p>
        </w:tc>
      </w:tr>
      <w:tr w:rsidR="00BD3CE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BD3CE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BD3CE7"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BD3CE7" w:rsidRPr="002A023C" w:rsidRDefault="00BD3CE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Advantech Traders Private </w:t>
            </w:r>
            <w:r w:rsidR="005D3A87">
              <w:rPr>
                <w:rFonts w:ascii="Garamond" w:eastAsia="Times New Roman" w:hAnsi="Garamond" w:cs="Calibri"/>
                <w:color w:val="000000"/>
              </w:rPr>
              <w:t>Ltd.</w:t>
            </w:r>
          </w:p>
        </w:tc>
        <w:tc>
          <w:tcPr>
            <w:tcW w:w="2268" w:type="dxa"/>
            <w:tcBorders>
              <w:top w:val="single" w:sz="4" w:space="0" w:color="auto"/>
              <w:left w:val="nil"/>
              <w:bottom w:val="single" w:sz="4" w:space="0" w:color="auto"/>
              <w:right w:val="single" w:sz="4" w:space="0" w:color="auto"/>
            </w:tcBorders>
            <w:shd w:val="clear" w:color="auto" w:fill="auto"/>
          </w:tcPr>
          <w:p w:rsidR="00BD3CE7"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BD3CE7"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6E2B5C"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6E2B5C"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E2B5C" w:rsidRPr="002A023C" w:rsidRDefault="006E2B5C"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Bombay Stock Exchange</w:t>
            </w:r>
          </w:p>
        </w:tc>
        <w:tc>
          <w:tcPr>
            <w:tcW w:w="1275"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Bimla Devi Kedia</w:t>
            </w:r>
          </w:p>
        </w:tc>
        <w:tc>
          <w:tcPr>
            <w:tcW w:w="2268" w:type="dxa"/>
            <w:tcBorders>
              <w:top w:val="single" w:sz="4" w:space="0" w:color="auto"/>
              <w:left w:val="nil"/>
              <w:bottom w:val="single" w:sz="4" w:space="0" w:color="auto"/>
              <w:right w:val="single" w:sz="4" w:space="0" w:color="auto"/>
            </w:tcBorders>
            <w:shd w:val="clear" w:color="auto" w:fill="auto"/>
          </w:tcPr>
          <w:p w:rsidR="006E2B5C"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6E2B5C"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6E2B5C"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E2B5C" w:rsidRPr="002A023C" w:rsidRDefault="006E2B5C" w:rsidP="002A023C">
            <w:pPr>
              <w:jc w:val="both"/>
              <w:rPr>
                <w:rFonts w:ascii="Garamond" w:hAnsi="Garamond" w:cs="Calibri"/>
                <w:color w:val="000000"/>
                <w:lang w:bidi="hi-IN"/>
              </w:rPr>
            </w:pPr>
            <w:r w:rsidRPr="002A023C">
              <w:rPr>
                <w:rFonts w:ascii="Garamond" w:hAnsi="Garamond" w:cs="Calibri"/>
                <w:color w:val="000000"/>
                <w:lang w:bidi="hi-IN"/>
              </w:rPr>
              <w:t>February 25,2022</w:t>
            </w:r>
          </w:p>
        </w:tc>
        <w:tc>
          <w:tcPr>
            <w:tcW w:w="1701"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Ms. Achla Jain</w:t>
            </w:r>
          </w:p>
        </w:tc>
        <w:tc>
          <w:tcPr>
            <w:tcW w:w="2268" w:type="dxa"/>
            <w:tcBorders>
              <w:top w:val="single" w:sz="4" w:space="0" w:color="auto"/>
              <w:left w:val="nil"/>
              <w:bottom w:val="single" w:sz="4" w:space="0" w:color="auto"/>
              <w:right w:val="single" w:sz="4" w:space="0" w:color="auto"/>
            </w:tcBorders>
            <w:shd w:val="clear" w:color="auto" w:fill="auto"/>
          </w:tcPr>
          <w:p w:rsidR="006E2B5C" w:rsidRPr="002A023C" w:rsidRDefault="006E2B5C"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6E2B5C" w:rsidRPr="002A023C" w:rsidRDefault="006E2B5C"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109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Pragya Dairies &amp; Agro Ltd.</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Pragya Diaries and Agro Ltd., Punam Chand Patidar, Nana Lal Patidar, Pooja Patidar, Durga Patidar, Ansar Ahmed</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4(2)(t)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60,00,000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IPO of Channel Nine Entertainment Ltd.</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Sumit  Kumar  &amp;  his  Proprietorship  firm  viz.  Vijay  Bhagwandas  &amp;  Co., Madhukar   Dubey   &amp;   his   Proprietorship   firm   </w:t>
            </w:r>
            <w:r w:rsidRPr="002A023C">
              <w:rPr>
                <w:rFonts w:ascii="Garamond" w:eastAsia="Times New Roman" w:hAnsi="Garamond" w:cs="Calibri"/>
                <w:color w:val="000000"/>
              </w:rPr>
              <w:lastRenderedPageBreak/>
              <w:t>viz.   Magnum   Industrial Corporation, Satendra    Kumar    &amp;    his    Proprietorship    firm    viz.    A    R    Enterprise, Goldline  International  Finvest  Ltd &amp; 9 others</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lastRenderedPageBreak/>
              <w:t>Section  12A  (a),(b)  and  (c)  of  SEBI  Act and  Regulations  3  (a),  (b),  (c)  and  (d)  and  4  (1), (2)  (c),  (f),  (k),  (r)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22,00,000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111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Minakshi Bagaria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  (a),  4(1)and  4(2)(a)of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Shubhi Khanna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b/>
                <w:bCs/>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lang w:eastAsia="en-IN"/>
              </w:rPr>
              <w:t>Ashutosh Gadodia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(b), (c) &amp; (d) and Regulation 4(1) &amp;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Titan Company Ltd.</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Mr. Kuppuswamy Kanivel</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7(2)(a) of PIT Regulations on three (3) occasions.</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1,00,000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Nishil Surendrabhai Marfatia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Octant Interactive Technologies Ltd.</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Girraj Kishore Agarwal, Tanu Girraj Kishore Agarwal, Radha Lashkari, Radha Govind Lashkari(HUF) &amp; 11 others</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  and  4 of  the  PFUTP  Regulations ; Regulations  3(a),  3(b),  3(c),  3(d),  4(1),  4(2)(a),  4(2)(b),4(2)(d),  4(2)(e)  and 4(2)(g) of PFUTP Regulations,2003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28,00,000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lang w:eastAsia="en-IN"/>
              </w:rPr>
              <w:t>Sanjanna Mehra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lang w:eastAsia="en-IN"/>
              </w:rPr>
              <w:t>Regulations 3(a), (b), (c), (d), 4(1)and4(2)(a)of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118</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Dealings in Illiquid Stock Options at the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Sanjay Agrawal HUF</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the PFUTP Regulations.</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119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Coral Hub Ltd.</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 xml:space="preserve">Shushma  Kapur, APM  Financial  Consultants  Private  , Panther Finvest P. </w:t>
            </w:r>
            <w:r w:rsidRPr="002A023C">
              <w:rPr>
                <w:rFonts w:ascii="Garamond" w:eastAsia="Times New Roman" w:hAnsi="Garamond" w:cs="Calibri"/>
                <w:color w:val="000000"/>
              </w:rPr>
              <w:lastRenderedPageBreak/>
              <w:t>Ltd. , Pee  Dee  Kapur  Stock  and  Securities  Ltd.</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lastRenderedPageBreak/>
              <w:t xml:space="preserve">Regulation 3(a),(b),(c),(d) and Regulations 4(1), 4(2) (a), (e)and (g)of </w:t>
            </w:r>
            <w:r w:rsidRPr="002A023C">
              <w:rPr>
                <w:rFonts w:ascii="Garamond" w:eastAsia="Times New Roman" w:hAnsi="Garamond" w:cs="Calibri"/>
                <w:color w:val="000000"/>
              </w:rPr>
              <w:lastRenderedPageBreak/>
              <w:t>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lastRenderedPageBreak/>
              <w:t>6,00,000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lastRenderedPageBreak/>
              <w:t>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eastAsia="Times New Roman" w:hAnsi="Garamond" w:cs="Calibri"/>
                <w:color w:val="000000"/>
              </w:rPr>
            </w:pPr>
            <w:r w:rsidRPr="002A023C">
              <w:rPr>
                <w:rFonts w:ascii="Garamond" w:eastAsia="Times New Roman" w:hAnsi="Garamond" w:cs="Calibri"/>
                <w:color w:val="000000"/>
              </w:rPr>
              <w:t>Adarsh Agarwalla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2926F7"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  3(a),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121</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Manappuram Finance Ltd.</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Pankaj Agarwal</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Regulation12(1)(e)  of  the PIT Regulations,  1992read  with  clause  2.1  and  2.2-1  of  the Code  of  Conduct  for  Prevention  of  Insider  Trading  for  Other  Entities  as specified in Part B of Schedule I of PIT Regulations, 1992 read with Regulation12(2) of PIT Regulations, 2015</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15,00,000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122</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Amaresh Chandra Khowala HUF</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Niren Champaklal Ajmera</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Trading in Illiquid Stock Options on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Nirupama Gandhi</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  3(a),  (b),  (c), (d),   4(1)   and   4(2)(a)   of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ABN Global Securities Private Ltd.</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Regulations3(a),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Abhishek Vedprakash Agarwal HUF</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Regulations3(a),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r w:rsidR="002926F7" w:rsidRPr="00956136" w:rsidTr="005D3A87">
        <w:trPr>
          <w:trHeight w:val="300"/>
        </w:trPr>
        <w:tc>
          <w:tcPr>
            <w:tcW w:w="771" w:type="dxa"/>
            <w:tcBorders>
              <w:top w:val="single" w:sz="4" w:space="0" w:color="auto"/>
              <w:left w:val="single" w:sz="4" w:space="0" w:color="auto"/>
              <w:bottom w:val="single" w:sz="4" w:space="0" w:color="auto"/>
              <w:right w:val="single" w:sz="4" w:space="0" w:color="auto"/>
            </w:tcBorders>
          </w:tcPr>
          <w:p w:rsidR="002926F7" w:rsidRPr="002A023C" w:rsidRDefault="009D42D9" w:rsidP="002A023C">
            <w:pPr>
              <w:jc w:val="both"/>
              <w:rPr>
                <w:rFonts w:ascii="Garamond" w:hAnsi="Garamond"/>
                <w:color w:val="000000"/>
                <w:lang w:val="en-IN" w:eastAsia="en-IN" w:bidi="hi-IN"/>
              </w:rPr>
            </w:pPr>
            <w:r w:rsidRPr="002A023C">
              <w:rPr>
                <w:rFonts w:ascii="Garamond" w:hAnsi="Garamond"/>
                <w:color w:val="000000"/>
                <w:lang w:val="en-IN" w:eastAsia="en-IN" w:bidi="hi-IN"/>
              </w:rPr>
              <w:t>127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February 28,2022</w:t>
            </w:r>
          </w:p>
        </w:tc>
        <w:tc>
          <w:tcPr>
            <w:tcW w:w="1701"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Dealing in illiquid stock options at BSE</w:t>
            </w:r>
          </w:p>
        </w:tc>
        <w:tc>
          <w:tcPr>
            <w:tcW w:w="1275" w:type="dxa"/>
            <w:tcBorders>
              <w:top w:val="single" w:sz="4" w:space="0" w:color="auto"/>
              <w:left w:val="nil"/>
              <w:bottom w:val="single" w:sz="4" w:space="0" w:color="auto"/>
              <w:right w:val="single" w:sz="4" w:space="0" w:color="auto"/>
            </w:tcBorders>
            <w:shd w:val="clear" w:color="auto" w:fill="auto"/>
            <w:noWrap/>
          </w:tcPr>
          <w:p w:rsidR="002926F7" w:rsidRPr="002A023C" w:rsidRDefault="002926F7" w:rsidP="002A023C">
            <w:pPr>
              <w:jc w:val="both"/>
              <w:rPr>
                <w:rFonts w:ascii="Garamond" w:hAnsi="Garamond" w:cs="Calibri"/>
                <w:color w:val="000000"/>
                <w:lang w:bidi="hi-IN"/>
              </w:rPr>
            </w:pPr>
            <w:r w:rsidRPr="002A023C">
              <w:rPr>
                <w:rFonts w:ascii="Garamond" w:hAnsi="Garamond" w:cs="Calibri"/>
                <w:color w:val="000000"/>
                <w:lang w:bidi="hi-IN"/>
              </w:rPr>
              <w:t>Adjudication</w:t>
            </w:r>
          </w:p>
        </w:tc>
        <w:tc>
          <w:tcPr>
            <w:tcW w:w="212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Abhishek Poddar HUF</w:t>
            </w:r>
          </w:p>
        </w:tc>
        <w:tc>
          <w:tcPr>
            <w:tcW w:w="2268" w:type="dxa"/>
            <w:tcBorders>
              <w:top w:val="single" w:sz="4" w:space="0" w:color="auto"/>
              <w:left w:val="nil"/>
              <w:bottom w:val="single" w:sz="4" w:space="0" w:color="auto"/>
              <w:right w:val="single" w:sz="4" w:space="0" w:color="auto"/>
            </w:tcBorders>
            <w:shd w:val="clear" w:color="auto" w:fill="auto"/>
          </w:tcPr>
          <w:p w:rsidR="002926F7" w:rsidRPr="002A023C" w:rsidRDefault="009D42D9" w:rsidP="002A023C">
            <w:pPr>
              <w:shd w:val="clear" w:color="auto" w:fill="FFFFFF"/>
              <w:jc w:val="both"/>
              <w:rPr>
                <w:rFonts w:ascii="Garamond" w:eastAsia="Times New Roman" w:hAnsi="Garamond" w:cs="Calibri"/>
                <w:color w:val="000000"/>
              </w:rPr>
            </w:pPr>
            <w:r w:rsidRPr="002A023C">
              <w:rPr>
                <w:rFonts w:ascii="Garamond" w:eastAsia="Times New Roman" w:hAnsi="Garamond" w:cs="Calibri"/>
                <w:color w:val="000000"/>
              </w:rPr>
              <w:t>Regulations3(a), 4(1) and 4(2) (a) of the PFUTP Regulations, 2003</w:t>
            </w:r>
          </w:p>
        </w:tc>
        <w:tc>
          <w:tcPr>
            <w:tcW w:w="1417" w:type="dxa"/>
            <w:tcBorders>
              <w:top w:val="single" w:sz="4" w:space="0" w:color="auto"/>
              <w:left w:val="nil"/>
              <w:bottom w:val="single" w:sz="4" w:space="0" w:color="auto"/>
              <w:right w:val="single" w:sz="4" w:space="0" w:color="auto"/>
            </w:tcBorders>
            <w:shd w:val="clear" w:color="auto" w:fill="auto"/>
            <w:noWrap/>
          </w:tcPr>
          <w:p w:rsidR="002926F7" w:rsidRPr="002A023C" w:rsidRDefault="009D42D9" w:rsidP="002A023C">
            <w:pPr>
              <w:jc w:val="both"/>
              <w:rPr>
                <w:rFonts w:ascii="Garamond" w:eastAsia="Times New Roman" w:hAnsi="Garamond" w:cs="Calibri"/>
                <w:color w:val="000000"/>
              </w:rPr>
            </w:pPr>
            <w:r w:rsidRPr="002A023C">
              <w:rPr>
                <w:rFonts w:ascii="Garamond" w:eastAsia="Times New Roman" w:hAnsi="Garamond" w:cs="Calibri"/>
                <w:color w:val="000000"/>
              </w:rPr>
              <w:t>5,00,000</w:t>
            </w:r>
          </w:p>
        </w:tc>
      </w:tr>
    </w:tbl>
    <w:p w:rsidR="00956136" w:rsidRDefault="00956136" w:rsidP="00432430">
      <w:pPr>
        <w:jc w:val="both"/>
        <w:rPr>
          <w:rFonts w:ascii="Garamond" w:hAnsi="Garamond"/>
          <w:b/>
          <w:sz w:val="22"/>
          <w:szCs w:val="22"/>
        </w:rPr>
      </w:pPr>
    </w:p>
    <w:p w:rsidR="00956136" w:rsidRPr="001D1888" w:rsidRDefault="00956136" w:rsidP="00272724">
      <w:pPr>
        <w:rPr>
          <w:rFonts w:ascii="Garamond" w:hAnsi="Garamond"/>
          <w:b/>
          <w:sz w:val="22"/>
          <w:szCs w:val="22"/>
        </w:rPr>
      </w:pPr>
    </w:p>
    <w:p w:rsidR="009B4A70" w:rsidRPr="005A614C" w:rsidRDefault="00272724" w:rsidP="005A614C">
      <w:pPr>
        <w:spacing w:after="120"/>
        <w:ind w:left="-709"/>
        <w:rPr>
          <w:rFonts w:ascii="Garamond" w:hAnsi="Garamond" w:cs="Arial"/>
          <w:i/>
          <w:sz w:val="22"/>
          <w:szCs w:val="22"/>
        </w:rPr>
      </w:pPr>
      <w:r w:rsidRPr="001D1888">
        <w:rPr>
          <w:rFonts w:ascii="Garamond" w:hAnsi="Garamond" w:cs="Arial"/>
          <w:i/>
          <w:sz w:val="22"/>
          <w:szCs w:val="22"/>
        </w:rPr>
        <w:t xml:space="preserve">Disclaimer: </w:t>
      </w:r>
      <w:r w:rsidR="00D22F0B" w:rsidRPr="001D1888">
        <w:rPr>
          <w:rFonts w:ascii="Garamond" w:hAnsi="Garamond" w:cs="Arial"/>
          <w:i/>
          <w:sz w:val="22"/>
          <w:szCs w:val="22"/>
        </w:rPr>
        <w:t xml:space="preserve">Regulatory actions consist of orders passed by Whole Time Member/Adjudication Officer.  Please refer SEBI website for exhaustive list.  </w:t>
      </w:r>
      <w:r w:rsidRPr="001D1888">
        <w:rPr>
          <w:rFonts w:ascii="Garamond" w:hAnsi="Garamond" w:cs="Arial"/>
          <w:i/>
          <w:sz w:val="22"/>
          <w:szCs w:val="22"/>
        </w:rPr>
        <w:t>The summary has been prepared for the convenience of readers. In case of any ambiguity, please refer to the original order.</w:t>
      </w:r>
    </w:p>
    <w:p w:rsidR="00567A3B" w:rsidRDefault="00567A3B" w:rsidP="009B4A70">
      <w:pPr>
        <w:spacing w:after="120"/>
        <w:jc w:val="center"/>
        <w:rPr>
          <w:rFonts w:ascii="Garamond" w:hAnsi="Garamond"/>
          <w:b/>
          <w:bCs/>
          <w:color w:val="1F4E79" w:themeColor="accent1" w:themeShade="80"/>
          <w:sz w:val="28"/>
          <w:szCs w:val="28"/>
        </w:rPr>
      </w:pPr>
    </w:p>
    <w:p w:rsidR="00567A3B" w:rsidRDefault="00567A3B" w:rsidP="009B4A70">
      <w:pPr>
        <w:spacing w:after="120"/>
        <w:jc w:val="center"/>
        <w:rPr>
          <w:rFonts w:ascii="Garamond" w:hAnsi="Garamond"/>
          <w:b/>
          <w:bCs/>
          <w:color w:val="1F4E79" w:themeColor="accent1" w:themeShade="80"/>
          <w:sz w:val="28"/>
          <w:szCs w:val="28"/>
        </w:rPr>
      </w:pPr>
    </w:p>
    <w:p w:rsidR="00555598" w:rsidRDefault="00555598" w:rsidP="009B4A70">
      <w:pPr>
        <w:spacing w:after="120"/>
        <w:jc w:val="center"/>
        <w:rPr>
          <w:rFonts w:ascii="Garamond" w:hAnsi="Garamond"/>
          <w:b/>
          <w:bCs/>
          <w:color w:val="1F4E79" w:themeColor="accent1" w:themeShade="80"/>
          <w:sz w:val="28"/>
          <w:szCs w:val="28"/>
        </w:rPr>
      </w:pPr>
    </w:p>
    <w:p w:rsidR="00E77B3E" w:rsidRPr="00C4512E" w:rsidRDefault="00E77B3E" w:rsidP="009B4A70">
      <w:pPr>
        <w:spacing w:after="120"/>
        <w:jc w:val="center"/>
        <w:rPr>
          <w:rFonts w:ascii="Garamond" w:hAnsi="Garamond"/>
          <w:b/>
          <w:bCs/>
          <w:color w:val="1F4E79" w:themeColor="accent1" w:themeShade="80"/>
          <w:sz w:val="28"/>
          <w:szCs w:val="28"/>
        </w:rPr>
      </w:pPr>
      <w:r w:rsidRPr="00C4512E">
        <w:rPr>
          <w:rFonts w:ascii="Garamond" w:hAnsi="Garamond"/>
          <w:b/>
          <w:bCs/>
          <w:color w:val="1F4E79" w:themeColor="accent1" w:themeShade="80"/>
          <w:sz w:val="28"/>
          <w:szCs w:val="28"/>
        </w:rPr>
        <w:lastRenderedPageBreak/>
        <w:t>LATEST PUBLICATIONS</w:t>
      </w:r>
    </w:p>
    <w:p w:rsidR="00E77B3E" w:rsidRDefault="00E77B3E" w:rsidP="00E77B3E">
      <w:pPr>
        <w:spacing w:after="120"/>
        <w:ind w:left="-709"/>
        <w:jc w:val="center"/>
        <w:rPr>
          <w:rFonts w:ascii="Garamond" w:hAnsi="Garamond"/>
          <w:b/>
          <w:bCs/>
        </w:rPr>
      </w:pPr>
    </w:p>
    <w:p w:rsidR="00E77B3E" w:rsidRPr="00E77B3E" w:rsidRDefault="00E77B3E" w:rsidP="00E77B3E">
      <w:pPr>
        <w:spacing w:after="120"/>
        <w:ind w:left="-709"/>
        <w:jc w:val="center"/>
        <w:rPr>
          <w:rFonts w:ascii="Garamond" w:hAnsi="Garamond"/>
          <w:b/>
          <w:bCs/>
        </w:rPr>
      </w:pPr>
    </w:p>
    <w:p w:rsidR="00E77B3E" w:rsidRPr="00E77B3E" w:rsidRDefault="00E77B3E" w:rsidP="00E77B3E">
      <w:pPr>
        <w:spacing w:after="120"/>
        <w:ind w:left="-709"/>
        <w:rPr>
          <w:rFonts w:ascii="Garamond" w:hAnsi="Garamond"/>
        </w:rPr>
      </w:pPr>
      <w:r w:rsidRPr="00E77B3E">
        <w:rPr>
          <w:rFonts w:ascii="Garamond" w:hAnsi="Garamond"/>
        </w:rPr>
        <w:t xml:space="preserve"> </w:t>
      </w:r>
      <w:r w:rsidR="00B522A6">
        <w:rPr>
          <w:rFonts w:ascii="Garamond" w:hAnsi="Garamond"/>
        </w:rPr>
        <w:t xml:space="preserve">1. SEBI Annual Report: </w:t>
      </w:r>
      <w:r w:rsidRPr="00E77B3E">
        <w:rPr>
          <w:rFonts w:ascii="Garamond" w:hAnsi="Garamond"/>
        </w:rPr>
        <w:t>2020-21</w:t>
      </w:r>
    </w:p>
    <w:p w:rsidR="00E77B3E" w:rsidRPr="00E77B3E" w:rsidRDefault="00E77B3E" w:rsidP="00E77B3E">
      <w:pPr>
        <w:spacing w:after="120"/>
        <w:ind w:left="-709"/>
        <w:rPr>
          <w:rFonts w:ascii="Garamond" w:hAnsi="Garamond"/>
        </w:rPr>
      </w:pPr>
      <w:r w:rsidRPr="00E77B3E">
        <w:rPr>
          <w:rFonts w:ascii="Garamond" w:hAnsi="Garamond"/>
        </w:rPr>
        <w:t xml:space="preserve"> 2. Handbook of Statistics</w:t>
      </w:r>
      <w:r>
        <w:rPr>
          <w:rFonts w:ascii="Garamond" w:hAnsi="Garamond"/>
        </w:rPr>
        <w:t xml:space="preserve"> on Indian Securities Market:</w:t>
      </w:r>
      <w:r w:rsidRPr="00E77B3E">
        <w:rPr>
          <w:rFonts w:ascii="Garamond" w:hAnsi="Garamond"/>
        </w:rPr>
        <w:t xml:space="preserve"> 2020</w:t>
      </w:r>
    </w:p>
    <w:p w:rsidR="00E77B3E" w:rsidRPr="00E77B3E" w:rsidRDefault="00E77B3E" w:rsidP="00E77B3E">
      <w:pPr>
        <w:spacing w:after="120"/>
        <w:ind w:left="-709"/>
        <w:rPr>
          <w:rFonts w:ascii="Garamond" w:hAnsi="Garamond"/>
        </w:rPr>
      </w:pPr>
    </w:p>
    <w:p w:rsidR="00B522A6" w:rsidRDefault="00E77B3E" w:rsidP="00E77B3E">
      <w:pPr>
        <w:spacing w:after="120"/>
        <w:ind w:left="-709"/>
        <w:rPr>
          <w:rFonts w:ascii="Garamond" w:hAnsi="Garamond"/>
        </w:rPr>
      </w:pPr>
      <w:r w:rsidRPr="00E77B3E">
        <w:rPr>
          <w:rFonts w:ascii="Garamond" w:hAnsi="Garamond"/>
        </w:rPr>
        <w:t xml:space="preserve"> Please visit </w:t>
      </w:r>
      <w:r w:rsidR="00B522A6">
        <w:rPr>
          <w:rFonts w:ascii="Garamond" w:hAnsi="Garamond"/>
        </w:rPr>
        <w:t xml:space="preserve">SEBI website at the </w:t>
      </w:r>
      <w:r w:rsidRPr="00E77B3E">
        <w:rPr>
          <w:rFonts w:ascii="Garamond" w:hAnsi="Garamond"/>
        </w:rPr>
        <w:t xml:space="preserve">following URL to </w:t>
      </w:r>
      <w:r w:rsidR="00B522A6">
        <w:rPr>
          <w:rFonts w:ascii="Garamond" w:hAnsi="Garamond"/>
        </w:rPr>
        <w:t>refer/download</w:t>
      </w:r>
      <w:r w:rsidRPr="00E77B3E">
        <w:rPr>
          <w:rFonts w:ascii="Garamond" w:hAnsi="Garamond"/>
        </w:rPr>
        <w:t xml:space="preserve"> </w:t>
      </w:r>
      <w:r w:rsidR="00B522A6">
        <w:rPr>
          <w:rFonts w:ascii="Garamond" w:hAnsi="Garamond"/>
        </w:rPr>
        <w:t>the publications.</w:t>
      </w:r>
    </w:p>
    <w:p w:rsidR="00E77B3E" w:rsidRDefault="00B522A6" w:rsidP="00E77B3E">
      <w:pPr>
        <w:spacing w:after="120"/>
        <w:ind w:left="-709"/>
        <w:rPr>
          <w:rFonts w:ascii="Palatino Linotype" w:hAnsi="Palatino Linotype"/>
          <w:bCs/>
          <w:sz w:val="22"/>
          <w:szCs w:val="22"/>
        </w:rPr>
      </w:pPr>
      <w:r>
        <w:rPr>
          <w:rFonts w:ascii="Garamond" w:hAnsi="Garamond"/>
        </w:rPr>
        <w:t xml:space="preserve"> </w:t>
      </w:r>
      <w:hyperlink r:id="rId39" w:history="1">
        <w:r w:rsidRPr="00385DA6">
          <w:rPr>
            <w:rStyle w:val="Hyperlink"/>
            <w:rFonts w:ascii="Palatino Linotype" w:hAnsi="Palatino Linotype"/>
            <w:bCs/>
            <w:sz w:val="22"/>
            <w:szCs w:val="22"/>
          </w:rPr>
          <w:t>https://www.sebi.gov.in/reports-and-statistics.html</w:t>
        </w:r>
      </w:hyperlink>
    </w:p>
    <w:p w:rsidR="00B522A6" w:rsidRPr="00E77B3E" w:rsidRDefault="00B522A6" w:rsidP="00E77B3E">
      <w:pPr>
        <w:spacing w:after="120"/>
        <w:ind w:left="-709"/>
        <w:rPr>
          <w:rFonts w:ascii="Garamond" w:hAnsi="Garamond"/>
        </w:rPr>
      </w:pPr>
    </w:p>
    <w:sectPr w:rsidR="00B522A6" w:rsidRPr="00E77B3E" w:rsidSect="00147C3C">
      <w:headerReference w:type="even" r:id="rId40"/>
      <w:headerReference w:type="default" r:id="rId41"/>
      <w:footerReference w:type="even" r:id="rId42"/>
      <w:footerReference w:type="default" r:id="rId43"/>
      <w:pgSz w:w="11906" w:h="16838" w:code="9"/>
      <w:pgMar w:top="0" w:right="1009" w:bottom="142" w:left="1009" w:header="113"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0AB" w:rsidRDefault="00C220AB" w:rsidP="00E07645">
      <w:r>
        <w:separator/>
      </w:r>
    </w:p>
  </w:endnote>
  <w:endnote w:type="continuationSeparator" w:id="0">
    <w:p w:rsidR="00C220AB" w:rsidRDefault="00C220AB" w:rsidP="00E0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rinda">
    <w:panose1 w:val="01010600010101010101"/>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WCDV-Prakash">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hnschrift SemiLight SemiConde">
    <w:panose1 w:val="020B0502040204020203"/>
    <w:charset w:val="00"/>
    <w:family w:val="swiss"/>
    <w:pitch w:val="variable"/>
    <w:sig w:usb0="A00002C7"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87" w:rsidRDefault="005D3A87">
    <w:pPr>
      <w:pStyle w:val="Footer"/>
    </w:pPr>
  </w:p>
  <w:p w:rsidR="005D3A87" w:rsidRDefault="005D3A87"/>
  <w:p w:rsidR="005D3A87" w:rsidRDefault="005D3A87"/>
  <w:p w:rsidR="005D3A87" w:rsidRDefault="005D3A8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946548"/>
      <w:docPartObj>
        <w:docPartGallery w:val="Page Numbers (Bottom of Page)"/>
        <w:docPartUnique/>
      </w:docPartObj>
    </w:sdtPr>
    <w:sdtEndPr>
      <w:rPr>
        <w:color w:val="7F7F7F" w:themeColor="background1" w:themeShade="7F"/>
        <w:spacing w:val="60"/>
      </w:rPr>
    </w:sdtEndPr>
    <w:sdtContent>
      <w:p w:rsidR="005D3A87" w:rsidRDefault="005D3A87" w:rsidP="00A87248">
        <w:pPr>
          <w:pStyle w:val="Footer"/>
          <w:pBdr>
            <w:top w:val="single" w:sz="4" w:space="0" w:color="D9D9D9" w:themeColor="background1" w:themeShade="D9"/>
          </w:pBdr>
          <w:jc w:val="right"/>
        </w:pPr>
        <w:r>
          <w:fldChar w:fldCharType="begin"/>
        </w:r>
        <w:r>
          <w:instrText xml:space="preserve"> PAGE   \* MERGEFORMAT </w:instrText>
        </w:r>
        <w:r>
          <w:fldChar w:fldCharType="separate"/>
        </w:r>
        <w:r w:rsidR="00555598">
          <w:rPr>
            <w:noProof/>
          </w:rPr>
          <w:t>1</w:t>
        </w:r>
        <w:r>
          <w:rPr>
            <w:noProof/>
          </w:rPr>
          <w:fldChar w:fldCharType="end"/>
        </w:r>
        <w:r>
          <w:t xml:space="preserve"> | </w:t>
        </w:r>
        <w:r>
          <w:rPr>
            <w:color w:val="7F7F7F" w:themeColor="background1" w:themeShade="7F"/>
            <w:spacing w:val="60"/>
          </w:rPr>
          <w:t>Page</w:t>
        </w:r>
      </w:p>
    </w:sdtContent>
  </w:sdt>
  <w:p w:rsidR="005D3A87" w:rsidRDefault="005D3A87">
    <w:pPr>
      <w:pStyle w:val="Footer"/>
    </w:pPr>
  </w:p>
  <w:p w:rsidR="005D3A87" w:rsidRDefault="005D3A87"/>
  <w:p w:rsidR="005D3A87" w:rsidRDefault="005D3A87"/>
  <w:p w:rsidR="005D3A87" w:rsidRDefault="005D3A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0AB" w:rsidRDefault="00C220AB" w:rsidP="00E07645">
      <w:r>
        <w:separator/>
      </w:r>
    </w:p>
  </w:footnote>
  <w:footnote w:type="continuationSeparator" w:id="0">
    <w:p w:rsidR="00C220AB" w:rsidRDefault="00C220AB" w:rsidP="00E07645">
      <w:r>
        <w:continuationSeparator/>
      </w:r>
    </w:p>
  </w:footnote>
  <w:footnote w:id="1">
    <w:p w:rsidR="005D3A87" w:rsidRPr="004C4992" w:rsidRDefault="005D3A87" w:rsidP="004C4992">
      <w:pPr>
        <w:shd w:val="clear" w:color="auto" w:fill="FFFFFF"/>
        <w:rPr>
          <w:rFonts w:ascii="Garamond" w:eastAsia="Times New Roman" w:hAnsi="Garamond" w:cs="Arial"/>
          <w:sz w:val="22"/>
          <w:szCs w:val="22"/>
          <w:lang w:val="en-US" w:bidi="hi-IN"/>
        </w:rPr>
      </w:pPr>
      <w:r>
        <w:rPr>
          <w:rStyle w:val="FootnoteReference"/>
        </w:rPr>
        <w:footnoteRef/>
      </w:r>
      <w:r>
        <w:t xml:space="preserve"> </w:t>
      </w:r>
      <w:r w:rsidRPr="00563987">
        <w:rPr>
          <w:rFonts w:ascii="Garamond" w:eastAsia="Times New Roman" w:hAnsi="Garamond" w:cs="Arial"/>
          <w:sz w:val="22"/>
          <w:szCs w:val="22"/>
          <w:lang w:val="en-US" w:bidi="hi-IN"/>
        </w:rPr>
        <w:t>Address by Shr</w:t>
      </w:r>
      <w:r>
        <w:rPr>
          <w:rFonts w:ascii="Garamond" w:eastAsia="Times New Roman" w:hAnsi="Garamond" w:cs="Arial"/>
          <w:sz w:val="22"/>
          <w:szCs w:val="22"/>
          <w:lang w:val="en-US" w:bidi="hi-IN"/>
        </w:rPr>
        <w:t xml:space="preserve">i Ajay Tyagi, </w:t>
      </w:r>
      <w:r w:rsidR="00555598">
        <w:rPr>
          <w:rFonts w:ascii="Garamond" w:eastAsia="Times New Roman" w:hAnsi="Garamond" w:cs="Arial"/>
          <w:sz w:val="22"/>
          <w:szCs w:val="22"/>
          <w:lang w:val="en-US" w:bidi="hi-IN"/>
        </w:rPr>
        <w:t>ex-</w:t>
      </w:r>
      <w:bookmarkStart w:id="0" w:name="_GoBack"/>
      <w:bookmarkEnd w:id="0"/>
      <w:r>
        <w:rPr>
          <w:rFonts w:ascii="Garamond" w:eastAsia="Times New Roman" w:hAnsi="Garamond" w:cs="Arial"/>
          <w:sz w:val="22"/>
          <w:szCs w:val="22"/>
          <w:lang w:val="en-US" w:bidi="hi-IN"/>
        </w:rPr>
        <w:t xml:space="preserve">Chairman, SEBI at </w:t>
      </w:r>
      <w:r w:rsidRPr="006C501B">
        <w:rPr>
          <w:rFonts w:ascii="Garamond" w:eastAsia="Times New Roman" w:hAnsi="Garamond" w:cs="Arial"/>
          <w:sz w:val="22"/>
          <w:szCs w:val="22"/>
          <w:lang w:val="en-US" w:bidi="hi-IN"/>
        </w:rPr>
        <w:t>SEBI-NISM Research Conferenc</w:t>
      </w:r>
      <w:r>
        <w:rPr>
          <w:rFonts w:ascii="Garamond" w:eastAsia="Times New Roman" w:hAnsi="Garamond" w:cs="Arial"/>
          <w:sz w:val="22"/>
          <w:szCs w:val="22"/>
          <w:lang w:val="en-US" w:bidi="hi-IN"/>
        </w:rPr>
        <w:t>e on February 24, 2022.</w:t>
      </w:r>
      <w:r w:rsidR="00555598">
        <w:rPr>
          <w:rFonts w:ascii="Garamond" w:eastAsia="Times New Roman" w:hAnsi="Garamond" w:cs="Arial"/>
          <w:sz w:val="22"/>
          <w:szCs w:val="22"/>
          <w:lang w:val="en-US" w:bidi="hi-IN"/>
        </w:rPr>
        <w:t xml:space="preserve"> </w:t>
      </w:r>
    </w:p>
  </w:footnote>
  <w:footnote w:id="2">
    <w:p w:rsidR="005D3A87" w:rsidRPr="005B5517" w:rsidRDefault="005D3A87" w:rsidP="00567A3B">
      <w:pPr>
        <w:pStyle w:val="FootnoteText"/>
        <w:rPr>
          <w:rFonts w:ascii="Palatino Linotype" w:hAnsi="Palatino Linotype"/>
          <w:i/>
          <w:lang w:val="en-IN"/>
        </w:rPr>
      </w:pPr>
      <w:r w:rsidRPr="005B5517">
        <w:rPr>
          <w:rStyle w:val="FootnoteReference"/>
          <w:rFonts w:ascii="Palatino Linotype" w:hAnsi="Palatino Linotype"/>
          <w:i/>
        </w:rPr>
        <w:footnoteRef/>
      </w:r>
      <w:r w:rsidRPr="005B5517">
        <w:rPr>
          <w:rFonts w:ascii="Palatino Linotype" w:hAnsi="Palatino Linotype"/>
          <w:i/>
        </w:rPr>
        <w:t xml:space="preserve"> In case of close ended schemes, at the time of maturity, AMC repurchases </w:t>
      </w:r>
      <w:r>
        <w:rPr>
          <w:rFonts w:ascii="Palatino Linotype" w:hAnsi="Palatino Linotype"/>
          <w:i/>
        </w:rPr>
        <w:t>the</w:t>
      </w:r>
      <w:r w:rsidRPr="005B5517">
        <w:rPr>
          <w:rFonts w:ascii="Palatino Linotype" w:hAnsi="Palatino Linotype"/>
          <w:i/>
        </w:rPr>
        <w:t xml:space="preserve"> units.</w:t>
      </w:r>
    </w:p>
  </w:footnote>
  <w:footnote w:id="3">
    <w:p w:rsidR="005D3A87" w:rsidRDefault="005D3A87" w:rsidP="00567A3B">
      <w:pPr>
        <w:pStyle w:val="FootnoteText"/>
      </w:pPr>
      <w:r>
        <w:rPr>
          <w:rStyle w:val="FootnoteReference"/>
        </w:rPr>
        <w:footnoteRef/>
      </w:r>
      <w:r>
        <w:t xml:space="preserve"> </w:t>
      </w:r>
      <w:r w:rsidRPr="000D159E">
        <w:t>USA, USA, France, Germany, UK, Hong Kong</w:t>
      </w:r>
      <w:r>
        <w:t>, South Korea, Japan, Singapore and</w:t>
      </w:r>
      <w:r w:rsidRPr="000D159E">
        <w:t xml:space="preserve"> Taiwan</w:t>
      </w:r>
    </w:p>
  </w:footnote>
  <w:footnote w:id="4">
    <w:p w:rsidR="005D3A87" w:rsidRDefault="005D3A87" w:rsidP="00567A3B">
      <w:pPr>
        <w:pStyle w:val="FootnoteText"/>
      </w:pPr>
      <w:r>
        <w:rPr>
          <w:rStyle w:val="FootnoteReference"/>
        </w:rPr>
        <w:footnoteRef/>
      </w:r>
      <w:r>
        <w:t xml:space="preserve"> US, UK, Germany, Spain, Japan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87" w:rsidRDefault="005D3A87">
    <w:pPr>
      <w:pStyle w:val="Header"/>
    </w:pPr>
  </w:p>
  <w:p w:rsidR="005D3A87" w:rsidRDefault="005D3A87"/>
  <w:p w:rsidR="005D3A87" w:rsidRDefault="005D3A87"/>
  <w:p w:rsidR="005D3A87" w:rsidRDefault="005D3A8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A87" w:rsidRDefault="005D3A87">
    <w:pPr>
      <w:pStyle w:val="Header"/>
    </w:pPr>
  </w:p>
  <w:p w:rsidR="005D3A87" w:rsidRDefault="005D3A87"/>
  <w:p w:rsidR="005D3A87" w:rsidRDefault="005D3A87"/>
  <w:p w:rsidR="005D3A87" w:rsidRDefault="005D3A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D"/>
    <w:multiLevelType w:val="hybridMultilevel"/>
    <w:tmpl w:val="61067A92"/>
    <w:lvl w:ilvl="0" w:tplc="A2BA30F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19"/>
    <w:multiLevelType w:val="multilevel"/>
    <w:tmpl w:val="A5BE0796"/>
    <w:lvl w:ilvl="0">
      <w:start w:val="1"/>
      <w:numFmt w:val="decimal"/>
      <w:lvlText w:val="%1."/>
      <w:lvlJc w:val="left"/>
      <w:pPr>
        <w:ind w:left="644" w:hanging="360"/>
      </w:pPr>
      <w:rPr>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rPr>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22"/>
    <w:multiLevelType w:val="multilevel"/>
    <w:tmpl w:val="4FE37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8064DE"/>
    <w:multiLevelType w:val="hybridMultilevel"/>
    <w:tmpl w:val="E1B0C96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9177237"/>
    <w:multiLevelType w:val="hybridMultilevel"/>
    <w:tmpl w:val="C51430FE"/>
    <w:lvl w:ilvl="0" w:tplc="551EBD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C45371"/>
    <w:multiLevelType w:val="multilevel"/>
    <w:tmpl w:val="4CBC51B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E340A6A"/>
    <w:multiLevelType w:val="hybridMultilevel"/>
    <w:tmpl w:val="700E2B3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
    <w:nsid w:val="0FFD16E1"/>
    <w:multiLevelType w:val="multilevel"/>
    <w:tmpl w:val="B800761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95331BD"/>
    <w:multiLevelType w:val="hybridMultilevel"/>
    <w:tmpl w:val="61067A92"/>
    <w:lvl w:ilvl="0" w:tplc="A2BA30F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CB45C15"/>
    <w:multiLevelType w:val="hybridMultilevel"/>
    <w:tmpl w:val="26D0858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21420D67"/>
    <w:multiLevelType w:val="multilevel"/>
    <w:tmpl w:val="B7105E1C"/>
    <w:lvl w:ilvl="0">
      <w:start w:val="1"/>
      <w:numFmt w:val="upperLetter"/>
      <w:lvlText w:val="%1."/>
      <w:lvlJc w:val="left"/>
      <w:pPr>
        <w:ind w:left="360" w:hanging="360"/>
      </w:pPr>
      <w:rPr>
        <w:color w:val="00000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3FC226E2"/>
    <w:multiLevelType w:val="hybridMultilevel"/>
    <w:tmpl w:val="CEFE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1EE59D5"/>
    <w:multiLevelType w:val="hybridMultilevel"/>
    <w:tmpl w:val="AC1C27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062FF1"/>
    <w:multiLevelType w:val="hybridMultilevel"/>
    <w:tmpl w:val="3F3066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5F4E711A"/>
    <w:multiLevelType w:val="multilevel"/>
    <w:tmpl w:val="A6741A6C"/>
    <w:lvl w:ilvl="0">
      <w:start w:val="1"/>
      <w:numFmt w:val="upperRoman"/>
      <w:lvlText w:val="%1."/>
      <w:lvlJc w:val="righ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83B7269"/>
    <w:multiLevelType w:val="hybridMultilevel"/>
    <w:tmpl w:val="34D41ED0"/>
    <w:lvl w:ilvl="0" w:tplc="7F38E96C">
      <w:start w:val="1"/>
      <w:numFmt w:val="decimal"/>
      <w:lvlText w:val="%1."/>
      <w:lvlJc w:val="left"/>
      <w:pPr>
        <w:ind w:left="720" w:hanging="360"/>
      </w:pPr>
      <w:rPr>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14"/>
  </w:num>
  <w:num w:numId="3">
    <w:abstractNumId w:val="7"/>
  </w:num>
  <w:num w:numId="4">
    <w:abstractNumId w:val="10"/>
  </w:num>
  <w:num w:numId="5">
    <w:abstractNumId w:val="9"/>
  </w:num>
  <w:num w:numId="6">
    <w:abstractNumId w:val="13"/>
  </w:num>
  <w:num w:numId="7">
    <w:abstractNumId w:val="6"/>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2"/>
  </w:num>
  <w:num w:numId="14">
    <w:abstractNumId w:val="15"/>
  </w:num>
  <w:num w:numId="15">
    <w:abstractNumId w:val="2"/>
  </w:num>
  <w:num w:numId="16">
    <w:abstractNumId w:val="11"/>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7C"/>
    <w:rsid w:val="00000718"/>
    <w:rsid w:val="00000F02"/>
    <w:rsid w:val="00001102"/>
    <w:rsid w:val="000012F5"/>
    <w:rsid w:val="0000238B"/>
    <w:rsid w:val="00002F15"/>
    <w:rsid w:val="000052BB"/>
    <w:rsid w:val="00005830"/>
    <w:rsid w:val="000129F5"/>
    <w:rsid w:val="00012FAA"/>
    <w:rsid w:val="000133EA"/>
    <w:rsid w:val="00013A01"/>
    <w:rsid w:val="00013BA3"/>
    <w:rsid w:val="000145C6"/>
    <w:rsid w:val="000161B3"/>
    <w:rsid w:val="000174DC"/>
    <w:rsid w:val="0002065D"/>
    <w:rsid w:val="000211A2"/>
    <w:rsid w:val="000216DD"/>
    <w:rsid w:val="00022868"/>
    <w:rsid w:val="000243DB"/>
    <w:rsid w:val="000243E1"/>
    <w:rsid w:val="000254CD"/>
    <w:rsid w:val="000256C7"/>
    <w:rsid w:val="00026D29"/>
    <w:rsid w:val="0003061B"/>
    <w:rsid w:val="000346B6"/>
    <w:rsid w:val="00034DE0"/>
    <w:rsid w:val="00035307"/>
    <w:rsid w:val="00035948"/>
    <w:rsid w:val="00035951"/>
    <w:rsid w:val="0003625D"/>
    <w:rsid w:val="00041691"/>
    <w:rsid w:val="00041693"/>
    <w:rsid w:val="00043C9A"/>
    <w:rsid w:val="00043F40"/>
    <w:rsid w:val="00045903"/>
    <w:rsid w:val="00045B3E"/>
    <w:rsid w:val="00046401"/>
    <w:rsid w:val="00046A06"/>
    <w:rsid w:val="00046CF8"/>
    <w:rsid w:val="00047581"/>
    <w:rsid w:val="000475E7"/>
    <w:rsid w:val="00047715"/>
    <w:rsid w:val="000507E2"/>
    <w:rsid w:val="00050DB7"/>
    <w:rsid w:val="00053B79"/>
    <w:rsid w:val="00055162"/>
    <w:rsid w:val="000556EC"/>
    <w:rsid w:val="000577B9"/>
    <w:rsid w:val="00057D3C"/>
    <w:rsid w:val="00062D7C"/>
    <w:rsid w:val="00062F4A"/>
    <w:rsid w:val="00063FF5"/>
    <w:rsid w:val="000654C7"/>
    <w:rsid w:val="00065CF0"/>
    <w:rsid w:val="00065E8C"/>
    <w:rsid w:val="00066531"/>
    <w:rsid w:val="000702D1"/>
    <w:rsid w:val="00071658"/>
    <w:rsid w:val="0007274D"/>
    <w:rsid w:val="000730EC"/>
    <w:rsid w:val="0007312C"/>
    <w:rsid w:val="00073DF2"/>
    <w:rsid w:val="00074803"/>
    <w:rsid w:val="00074BD8"/>
    <w:rsid w:val="00075391"/>
    <w:rsid w:val="00075695"/>
    <w:rsid w:val="00076F6B"/>
    <w:rsid w:val="000774AB"/>
    <w:rsid w:val="0007759D"/>
    <w:rsid w:val="00077C1C"/>
    <w:rsid w:val="00080500"/>
    <w:rsid w:val="00081D7A"/>
    <w:rsid w:val="00082028"/>
    <w:rsid w:val="00082CA8"/>
    <w:rsid w:val="00084083"/>
    <w:rsid w:val="0008421C"/>
    <w:rsid w:val="000847BB"/>
    <w:rsid w:val="00084FB3"/>
    <w:rsid w:val="000859EF"/>
    <w:rsid w:val="00085A8E"/>
    <w:rsid w:val="0008687B"/>
    <w:rsid w:val="00086BF6"/>
    <w:rsid w:val="00087232"/>
    <w:rsid w:val="00087B33"/>
    <w:rsid w:val="00090A9B"/>
    <w:rsid w:val="00090DEF"/>
    <w:rsid w:val="00091168"/>
    <w:rsid w:val="00091E37"/>
    <w:rsid w:val="000920E5"/>
    <w:rsid w:val="00092887"/>
    <w:rsid w:val="000946C2"/>
    <w:rsid w:val="000960B9"/>
    <w:rsid w:val="0009614C"/>
    <w:rsid w:val="0009638E"/>
    <w:rsid w:val="00096468"/>
    <w:rsid w:val="00096C8C"/>
    <w:rsid w:val="000A047F"/>
    <w:rsid w:val="000A0816"/>
    <w:rsid w:val="000A142F"/>
    <w:rsid w:val="000A19FF"/>
    <w:rsid w:val="000A2F76"/>
    <w:rsid w:val="000A34B6"/>
    <w:rsid w:val="000A37CE"/>
    <w:rsid w:val="000A47E6"/>
    <w:rsid w:val="000A4D70"/>
    <w:rsid w:val="000A56AA"/>
    <w:rsid w:val="000A7141"/>
    <w:rsid w:val="000B0A37"/>
    <w:rsid w:val="000B0DD6"/>
    <w:rsid w:val="000B27CD"/>
    <w:rsid w:val="000B2BC5"/>
    <w:rsid w:val="000B4450"/>
    <w:rsid w:val="000B5449"/>
    <w:rsid w:val="000B5935"/>
    <w:rsid w:val="000B6B00"/>
    <w:rsid w:val="000B7BC0"/>
    <w:rsid w:val="000B7FBD"/>
    <w:rsid w:val="000C02A3"/>
    <w:rsid w:val="000C03D6"/>
    <w:rsid w:val="000C0C5B"/>
    <w:rsid w:val="000C1CD7"/>
    <w:rsid w:val="000C1D79"/>
    <w:rsid w:val="000C1EA0"/>
    <w:rsid w:val="000C2077"/>
    <w:rsid w:val="000C23CE"/>
    <w:rsid w:val="000C3C7D"/>
    <w:rsid w:val="000C5949"/>
    <w:rsid w:val="000C5AA9"/>
    <w:rsid w:val="000C6063"/>
    <w:rsid w:val="000C677F"/>
    <w:rsid w:val="000C694D"/>
    <w:rsid w:val="000C69C1"/>
    <w:rsid w:val="000D1A21"/>
    <w:rsid w:val="000D2FD5"/>
    <w:rsid w:val="000D4C7F"/>
    <w:rsid w:val="000D66B0"/>
    <w:rsid w:val="000D685F"/>
    <w:rsid w:val="000E03A6"/>
    <w:rsid w:val="000E0833"/>
    <w:rsid w:val="000E0D86"/>
    <w:rsid w:val="000E125F"/>
    <w:rsid w:val="000E184C"/>
    <w:rsid w:val="000E1FA1"/>
    <w:rsid w:val="000E2A6E"/>
    <w:rsid w:val="000E33A1"/>
    <w:rsid w:val="000E3746"/>
    <w:rsid w:val="000E3A95"/>
    <w:rsid w:val="000E46BB"/>
    <w:rsid w:val="000E4795"/>
    <w:rsid w:val="000E4C9B"/>
    <w:rsid w:val="000E7317"/>
    <w:rsid w:val="000E7329"/>
    <w:rsid w:val="000E76D0"/>
    <w:rsid w:val="000E76FF"/>
    <w:rsid w:val="000E777A"/>
    <w:rsid w:val="000E7AC9"/>
    <w:rsid w:val="000F02FB"/>
    <w:rsid w:val="000F0612"/>
    <w:rsid w:val="000F0BF4"/>
    <w:rsid w:val="000F17E5"/>
    <w:rsid w:val="000F236F"/>
    <w:rsid w:val="000F28BC"/>
    <w:rsid w:val="000F3F0C"/>
    <w:rsid w:val="000F4124"/>
    <w:rsid w:val="000F464D"/>
    <w:rsid w:val="000F55A8"/>
    <w:rsid w:val="000F5A2B"/>
    <w:rsid w:val="000F5AAF"/>
    <w:rsid w:val="000F6775"/>
    <w:rsid w:val="000F6B02"/>
    <w:rsid w:val="000F7372"/>
    <w:rsid w:val="000F7C8D"/>
    <w:rsid w:val="000F7F35"/>
    <w:rsid w:val="00100264"/>
    <w:rsid w:val="00100331"/>
    <w:rsid w:val="00100655"/>
    <w:rsid w:val="00100F24"/>
    <w:rsid w:val="00102392"/>
    <w:rsid w:val="001032F6"/>
    <w:rsid w:val="00104045"/>
    <w:rsid w:val="001041E6"/>
    <w:rsid w:val="0010444E"/>
    <w:rsid w:val="001048AC"/>
    <w:rsid w:val="0010536E"/>
    <w:rsid w:val="00106806"/>
    <w:rsid w:val="00107440"/>
    <w:rsid w:val="00107643"/>
    <w:rsid w:val="00107D42"/>
    <w:rsid w:val="0011004C"/>
    <w:rsid w:val="0011033C"/>
    <w:rsid w:val="00110766"/>
    <w:rsid w:val="001109EA"/>
    <w:rsid w:val="00112036"/>
    <w:rsid w:val="00112407"/>
    <w:rsid w:val="00113363"/>
    <w:rsid w:val="00113380"/>
    <w:rsid w:val="00114AC5"/>
    <w:rsid w:val="00114B6F"/>
    <w:rsid w:val="00114C90"/>
    <w:rsid w:val="001155EB"/>
    <w:rsid w:val="001164CA"/>
    <w:rsid w:val="0011654B"/>
    <w:rsid w:val="00120EDE"/>
    <w:rsid w:val="00121293"/>
    <w:rsid w:val="001212CB"/>
    <w:rsid w:val="00123411"/>
    <w:rsid w:val="00123543"/>
    <w:rsid w:val="0012367A"/>
    <w:rsid w:val="00124B1E"/>
    <w:rsid w:val="001254B4"/>
    <w:rsid w:val="00125AF5"/>
    <w:rsid w:val="0012648B"/>
    <w:rsid w:val="00126726"/>
    <w:rsid w:val="001279AE"/>
    <w:rsid w:val="00127DA0"/>
    <w:rsid w:val="00130027"/>
    <w:rsid w:val="00130306"/>
    <w:rsid w:val="00130BC0"/>
    <w:rsid w:val="00132024"/>
    <w:rsid w:val="00132568"/>
    <w:rsid w:val="00134BC1"/>
    <w:rsid w:val="00135041"/>
    <w:rsid w:val="001357A7"/>
    <w:rsid w:val="00135EF6"/>
    <w:rsid w:val="001363E8"/>
    <w:rsid w:val="001372F6"/>
    <w:rsid w:val="001376EC"/>
    <w:rsid w:val="00137E4B"/>
    <w:rsid w:val="00140090"/>
    <w:rsid w:val="001404C9"/>
    <w:rsid w:val="00141FC6"/>
    <w:rsid w:val="00142329"/>
    <w:rsid w:val="00143013"/>
    <w:rsid w:val="00143E99"/>
    <w:rsid w:val="001441E6"/>
    <w:rsid w:val="001450AE"/>
    <w:rsid w:val="00146A22"/>
    <w:rsid w:val="00146B24"/>
    <w:rsid w:val="00146D0E"/>
    <w:rsid w:val="00147C3C"/>
    <w:rsid w:val="00150006"/>
    <w:rsid w:val="0015021B"/>
    <w:rsid w:val="001506EA"/>
    <w:rsid w:val="00151C67"/>
    <w:rsid w:val="001523E1"/>
    <w:rsid w:val="00153CF4"/>
    <w:rsid w:val="00154F31"/>
    <w:rsid w:val="00160183"/>
    <w:rsid w:val="00160768"/>
    <w:rsid w:val="00160DEC"/>
    <w:rsid w:val="00160E47"/>
    <w:rsid w:val="0016116C"/>
    <w:rsid w:val="0016171E"/>
    <w:rsid w:val="00162443"/>
    <w:rsid w:val="00163595"/>
    <w:rsid w:val="00164669"/>
    <w:rsid w:val="00164B80"/>
    <w:rsid w:val="00164F38"/>
    <w:rsid w:val="0016593A"/>
    <w:rsid w:val="001662DE"/>
    <w:rsid w:val="0016654B"/>
    <w:rsid w:val="001667BE"/>
    <w:rsid w:val="00166B5E"/>
    <w:rsid w:val="00166FE1"/>
    <w:rsid w:val="00170534"/>
    <w:rsid w:val="0017198F"/>
    <w:rsid w:val="001720CD"/>
    <w:rsid w:val="0017288A"/>
    <w:rsid w:val="00175031"/>
    <w:rsid w:val="001755DE"/>
    <w:rsid w:val="00175977"/>
    <w:rsid w:val="00175A49"/>
    <w:rsid w:val="00175C02"/>
    <w:rsid w:val="00177824"/>
    <w:rsid w:val="00177BD1"/>
    <w:rsid w:val="00177C4A"/>
    <w:rsid w:val="0018049A"/>
    <w:rsid w:val="001816BF"/>
    <w:rsid w:val="0018197C"/>
    <w:rsid w:val="00181FF0"/>
    <w:rsid w:val="0018293F"/>
    <w:rsid w:val="00182965"/>
    <w:rsid w:val="0018378C"/>
    <w:rsid w:val="00183E80"/>
    <w:rsid w:val="001847A1"/>
    <w:rsid w:val="00184C5B"/>
    <w:rsid w:val="00184D09"/>
    <w:rsid w:val="0018502D"/>
    <w:rsid w:val="00185553"/>
    <w:rsid w:val="001868D6"/>
    <w:rsid w:val="00186AD9"/>
    <w:rsid w:val="00186E61"/>
    <w:rsid w:val="001912C3"/>
    <w:rsid w:val="00191B9C"/>
    <w:rsid w:val="0019305B"/>
    <w:rsid w:val="001932A2"/>
    <w:rsid w:val="00193EFB"/>
    <w:rsid w:val="0019451C"/>
    <w:rsid w:val="00194F88"/>
    <w:rsid w:val="00195B2A"/>
    <w:rsid w:val="00195FEB"/>
    <w:rsid w:val="001961E8"/>
    <w:rsid w:val="00196267"/>
    <w:rsid w:val="0019787A"/>
    <w:rsid w:val="001A054F"/>
    <w:rsid w:val="001A0B06"/>
    <w:rsid w:val="001A2361"/>
    <w:rsid w:val="001A3018"/>
    <w:rsid w:val="001A3156"/>
    <w:rsid w:val="001A375B"/>
    <w:rsid w:val="001A42AC"/>
    <w:rsid w:val="001A5A37"/>
    <w:rsid w:val="001A5E17"/>
    <w:rsid w:val="001A61B6"/>
    <w:rsid w:val="001A6439"/>
    <w:rsid w:val="001A697A"/>
    <w:rsid w:val="001A7518"/>
    <w:rsid w:val="001A7D69"/>
    <w:rsid w:val="001A7DC2"/>
    <w:rsid w:val="001B1D3E"/>
    <w:rsid w:val="001B2693"/>
    <w:rsid w:val="001B279D"/>
    <w:rsid w:val="001B44E2"/>
    <w:rsid w:val="001B4C10"/>
    <w:rsid w:val="001B5B2F"/>
    <w:rsid w:val="001B5BFF"/>
    <w:rsid w:val="001B7218"/>
    <w:rsid w:val="001B7FD3"/>
    <w:rsid w:val="001C0933"/>
    <w:rsid w:val="001C0BB1"/>
    <w:rsid w:val="001C0BDA"/>
    <w:rsid w:val="001C2149"/>
    <w:rsid w:val="001C2441"/>
    <w:rsid w:val="001C3230"/>
    <w:rsid w:val="001C371D"/>
    <w:rsid w:val="001C4EE9"/>
    <w:rsid w:val="001C5DA4"/>
    <w:rsid w:val="001C637A"/>
    <w:rsid w:val="001C7B26"/>
    <w:rsid w:val="001C7B28"/>
    <w:rsid w:val="001D04F5"/>
    <w:rsid w:val="001D093A"/>
    <w:rsid w:val="001D0BCA"/>
    <w:rsid w:val="001D1729"/>
    <w:rsid w:val="001D1888"/>
    <w:rsid w:val="001D2CA3"/>
    <w:rsid w:val="001D4399"/>
    <w:rsid w:val="001D4801"/>
    <w:rsid w:val="001D4880"/>
    <w:rsid w:val="001D52A6"/>
    <w:rsid w:val="001D5BBC"/>
    <w:rsid w:val="001D68DB"/>
    <w:rsid w:val="001D7AA4"/>
    <w:rsid w:val="001D7B80"/>
    <w:rsid w:val="001E0BB4"/>
    <w:rsid w:val="001E1254"/>
    <w:rsid w:val="001E1FC4"/>
    <w:rsid w:val="001E20EA"/>
    <w:rsid w:val="001E2A24"/>
    <w:rsid w:val="001E3F5F"/>
    <w:rsid w:val="001E4032"/>
    <w:rsid w:val="001E4F7E"/>
    <w:rsid w:val="001E5152"/>
    <w:rsid w:val="001E51C8"/>
    <w:rsid w:val="001E722D"/>
    <w:rsid w:val="001E79D3"/>
    <w:rsid w:val="001E7A6D"/>
    <w:rsid w:val="001F078D"/>
    <w:rsid w:val="001F19F8"/>
    <w:rsid w:val="001F27DC"/>
    <w:rsid w:val="001F2AD1"/>
    <w:rsid w:val="001F3CB6"/>
    <w:rsid w:val="001F45DC"/>
    <w:rsid w:val="001F4744"/>
    <w:rsid w:val="001F4F5A"/>
    <w:rsid w:val="001F5922"/>
    <w:rsid w:val="001F707A"/>
    <w:rsid w:val="002005C8"/>
    <w:rsid w:val="00200742"/>
    <w:rsid w:val="00200C72"/>
    <w:rsid w:val="00201047"/>
    <w:rsid w:val="002013AA"/>
    <w:rsid w:val="00201776"/>
    <w:rsid w:val="00201C91"/>
    <w:rsid w:val="00201F92"/>
    <w:rsid w:val="00202156"/>
    <w:rsid w:val="00203447"/>
    <w:rsid w:val="00204BFE"/>
    <w:rsid w:val="00204C2C"/>
    <w:rsid w:val="002058D4"/>
    <w:rsid w:val="00206786"/>
    <w:rsid w:val="00206B5D"/>
    <w:rsid w:val="00207133"/>
    <w:rsid w:val="00207654"/>
    <w:rsid w:val="002101C9"/>
    <w:rsid w:val="00210EF0"/>
    <w:rsid w:val="00212565"/>
    <w:rsid w:val="002135D8"/>
    <w:rsid w:val="002140C5"/>
    <w:rsid w:val="00214741"/>
    <w:rsid w:val="0021539B"/>
    <w:rsid w:val="00217822"/>
    <w:rsid w:val="0022096F"/>
    <w:rsid w:val="00220AB1"/>
    <w:rsid w:val="00220C24"/>
    <w:rsid w:val="00220D54"/>
    <w:rsid w:val="00222713"/>
    <w:rsid w:val="00223671"/>
    <w:rsid w:val="00223C98"/>
    <w:rsid w:val="002240ED"/>
    <w:rsid w:val="002245EC"/>
    <w:rsid w:val="00224764"/>
    <w:rsid w:val="00224F9F"/>
    <w:rsid w:val="002252C5"/>
    <w:rsid w:val="00225F3F"/>
    <w:rsid w:val="0022662A"/>
    <w:rsid w:val="00226BF6"/>
    <w:rsid w:val="002271C2"/>
    <w:rsid w:val="00227328"/>
    <w:rsid w:val="00227721"/>
    <w:rsid w:val="00227EA4"/>
    <w:rsid w:val="0023129A"/>
    <w:rsid w:val="002319FF"/>
    <w:rsid w:val="002322F9"/>
    <w:rsid w:val="002325B0"/>
    <w:rsid w:val="002334AB"/>
    <w:rsid w:val="00233575"/>
    <w:rsid w:val="00233585"/>
    <w:rsid w:val="00234E67"/>
    <w:rsid w:val="002354B2"/>
    <w:rsid w:val="00235B23"/>
    <w:rsid w:val="002361F1"/>
    <w:rsid w:val="00236346"/>
    <w:rsid w:val="00236954"/>
    <w:rsid w:val="0023700B"/>
    <w:rsid w:val="00237509"/>
    <w:rsid w:val="002405F0"/>
    <w:rsid w:val="00240828"/>
    <w:rsid w:val="00240D60"/>
    <w:rsid w:val="00241B89"/>
    <w:rsid w:val="0024216A"/>
    <w:rsid w:val="002421DD"/>
    <w:rsid w:val="0024227C"/>
    <w:rsid w:val="00243068"/>
    <w:rsid w:val="0024330D"/>
    <w:rsid w:val="00243434"/>
    <w:rsid w:val="002447CE"/>
    <w:rsid w:val="00244EAF"/>
    <w:rsid w:val="0024500A"/>
    <w:rsid w:val="002450DA"/>
    <w:rsid w:val="00245553"/>
    <w:rsid w:val="00245FA4"/>
    <w:rsid w:val="002467B3"/>
    <w:rsid w:val="002468DB"/>
    <w:rsid w:val="00247214"/>
    <w:rsid w:val="002479A0"/>
    <w:rsid w:val="00247B4A"/>
    <w:rsid w:val="00250D94"/>
    <w:rsid w:val="00250FFA"/>
    <w:rsid w:val="00251FF1"/>
    <w:rsid w:val="002520EA"/>
    <w:rsid w:val="002522B7"/>
    <w:rsid w:val="002541C6"/>
    <w:rsid w:val="0025439E"/>
    <w:rsid w:val="00255D90"/>
    <w:rsid w:val="00256242"/>
    <w:rsid w:val="002576F1"/>
    <w:rsid w:val="0026016F"/>
    <w:rsid w:val="00260E65"/>
    <w:rsid w:val="00261986"/>
    <w:rsid w:val="00263979"/>
    <w:rsid w:val="002647AE"/>
    <w:rsid w:val="00265CA8"/>
    <w:rsid w:val="00265D60"/>
    <w:rsid w:val="00265D83"/>
    <w:rsid w:val="002664D0"/>
    <w:rsid w:val="00266B8C"/>
    <w:rsid w:val="0026767E"/>
    <w:rsid w:val="00267A7C"/>
    <w:rsid w:val="0027194E"/>
    <w:rsid w:val="00271F75"/>
    <w:rsid w:val="002721CB"/>
    <w:rsid w:val="0027231F"/>
    <w:rsid w:val="00272724"/>
    <w:rsid w:val="00272D3E"/>
    <w:rsid w:val="00272F12"/>
    <w:rsid w:val="00273612"/>
    <w:rsid w:val="00275078"/>
    <w:rsid w:val="00275096"/>
    <w:rsid w:val="0027517B"/>
    <w:rsid w:val="00275929"/>
    <w:rsid w:val="0027682C"/>
    <w:rsid w:val="002770A6"/>
    <w:rsid w:val="002776BE"/>
    <w:rsid w:val="00280CFD"/>
    <w:rsid w:val="002818A0"/>
    <w:rsid w:val="002818B2"/>
    <w:rsid w:val="002819FF"/>
    <w:rsid w:val="00283974"/>
    <w:rsid w:val="00284BC2"/>
    <w:rsid w:val="00284E34"/>
    <w:rsid w:val="002852AB"/>
    <w:rsid w:val="002853A4"/>
    <w:rsid w:val="00285F0C"/>
    <w:rsid w:val="00286614"/>
    <w:rsid w:val="00287B4A"/>
    <w:rsid w:val="002911AB"/>
    <w:rsid w:val="00291F28"/>
    <w:rsid w:val="002926F7"/>
    <w:rsid w:val="00294843"/>
    <w:rsid w:val="00294B3E"/>
    <w:rsid w:val="002959F3"/>
    <w:rsid w:val="00295C58"/>
    <w:rsid w:val="00295F4F"/>
    <w:rsid w:val="00296BD4"/>
    <w:rsid w:val="00297ABE"/>
    <w:rsid w:val="002A023C"/>
    <w:rsid w:val="002A0261"/>
    <w:rsid w:val="002A1CAB"/>
    <w:rsid w:val="002A25B6"/>
    <w:rsid w:val="002A2BB0"/>
    <w:rsid w:val="002A44A0"/>
    <w:rsid w:val="002A4A48"/>
    <w:rsid w:val="002A51F7"/>
    <w:rsid w:val="002A54FF"/>
    <w:rsid w:val="002A635E"/>
    <w:rsid w:val="002A6544"/>
    <w:rsid w:val="002A68F6"/>
    <w:rsid w:val="002A7477"/>
    <w:rsid w:val="002A7A64"/>
    <w:rsid w:val="002A7D0C"/>
    <w:rsid w:val="002B0029"/>
    <w:rsid w:val="002B0E62"/>
    <w:rsid w:val="002B10BE"/>
    <w:rsid w:val="002B13B8"/>
    <w:rsid w:val="002B1D79"/>
    <w:rsid w:val="002B2515"/>
    <w:rsid w:val="002B25C9"/>
    <w:rsid w:val="002B2FED"/>
    <w:rsid w:val="002B402D"/>
    <w:rsid w:val="002B6143"/>
    <w:rsid w:val="002B769A"/>
    <w:rsid w:val="002C0082"/>
    <w:rsid w:val="002C0CF3"/>
    <w:rsid w:val="002C1128"/>
    <w:rsid w:val="002C1136"/>
    <w:rsid w:val="002C1200"/>
    <w:rsid w:val="002C23C4"/>
    <w:rsid w:val="002C2400"/>
    <w:rsid w:val="002C2CFE"/>
    <w:rsid w:val="002C3645"/>
    <w:rsid w:val="002C4936"/>
    <w:rsid w:val="002C4D20"/>
    <w:rsid w:val="002C4ED2"/>
    <w:rsid w:val="002C54CA"/>
    <w:rsid w:val="002C6429"/>
    <w:rsid w:val="002C6CCB"/>
    <w:rsid w:val="002C6FCE"/>
    <w:rsid w:val="002C7385"/>
    <w:rsid w:val="002C7A76"/>
    <w:rsid w:val="002C7D3D"/>
    <w:rsid w:val="002C7F2D"/>
    <w:rsid w:val="002D09D6"/>
    <w:rsid w:val="002D0AE7"/>
    <w:rsid w:val="002D2DC8"/>
    <w:rsid w:val="002D3AEB"/>
    <w:rsid w:val="002D3E7C"/>
    <w:rsid w:val="002D42CB"/>
    <w:rsid w:val="002D432D"/>
    <w:rsid w:val="002D4D99"/>
    <w:rsid w:val="002D66B4"/>
    <w:rsid w:val="002D6708"/>
    <w:rsid w:val="002D724A"/>
    <w:rsid w:val="002E006D"/>
    <w:rsid w:val="002E0F21"/>
    <w:rsid w:val="002E11AF"/>
    <w:rsid w:val="002E1534"/>
    <w:rsid w:val="002E154E"/>
    <w:rsid w:val="002E1620"/>
    <w:rsid w:val="002E18B1"/>
    <w:rsid w:val="002E20EC"/>
    <w:rsid w:val="002E2589"/>
    <w:rsid w:val="002E26CF"/>
    <w:rsid w:val="002E2C31"/>
    <w:rsid w:val="002E3090"/>
    <w:rsid w:val="002E41FF"/>
    <w:rsid w:val="002E4D3E"/>
    <w:rsid w:val="002E627C"/>
    <w:rsid w:val="002E687D"/>
    <w:rsid w:val="002E7C98"/>
    <w:rsid w:val="002E7F52"/>
    <w:rsid w:val="002F2903"/>
    <w:rsid w:val="002F2984"/>
    <w:rsid w:val="002F2F21"/>
    <w:rsid w:val="002F3796"/>
    <w:rsid w:val="002F3AF7"/>
    <w:rsid w:val="002F41CD"/>
    <w:rsid w:val="002F70EB"/>
    <w:rsid w:val="002F71DF"/>
    <w:rsid w:val="0030004F"/>
    <w:rsid w:val="00300262"/>
    <w:rsid w:val="0030113D"/>
    <w:rsid w:val="00301479"/>
    <w:rsid w:val="00301C6A"/>
    <w:rsid w:val="0030208E"/>
    <w:rsid w:val="00302629"/>
    <w:rsid w:val="00302A9D"/>
    <w:rsid w:val="0030426F"/>
    <w:rsid w:val="00304C7D"/>
    <w:rsid w:val="00305062"/>
    <w:rsid w:val="0030548A"/>
    <w:rsid w:val="00305806"/>
    <w:rsid w:val="003064C4"/>
    <w:rsid w:val="00306646"/>
    <w:rsid w:val="00310322"/>
    <w:rsid w:val="003103C6"/>
    <w:rsid w:val="00310A33"/>
    <w:rsid w:val="00310D4F"/>
    <w:rsid w:val="00312489"/>
    <w:rsid w:val="00312D42"/>
    <w:rsid w:val="0031379C"/>
    <w:rsid w:val="00313F0E"/>
    <w:rsid w:val="00314402"/>
    <w:rsid w:val="00314E26"/>
    <w:rsid w:val="00314ED5"/>
    <w:rsid w:val="00315CB7"/>
    <w:rsid w:val="0031610E"/>
    <w:rsid w:val="003162C3"/>
    <w:rsid w:val="00316405"/>
    <w:rsid w:val="00317634"/>
    <w:rsid w:val="00317D01"/>
    <w:rsid w:val="0032036A"/>
    <w:rsid w:val="00321324"/>
    <w:rsid w:val="003216A2"/>
    <w:rsid w:val="003219BE"/>
    <w:rsid w:val="0032394B"/>
    <w:rsid w:val="00324131"/>
    <w:rsid w:val="00325395"/>
    <w:rsid w:val="00326A7E"/>
    <w:rsid w:val="0033096F"/>
    <w:rsid w:val="00331382"/>
    <w:rsid w:val="00332050"/>
    <w:rsid w:val="00332124"/>
    <w:rsid w:val="003321CF"/>
    <w:rsid w:val="003323BA"/>
    <w:rsid w:val="003323D9"/>
    <w:rsid w:val="003327D8"/>
    <w:rsid w:val="00332F86"/>
    <w:rsid w:val="00333281"/>
    <w:rsid w:val="00334455"/>
    <w:rsid w:val="00334516"/>
    <w:rsid w:val="00334B83"/>
    <w:rsid w:val="00335F32"/>
    <w:rsid w:val="003364B9"/>
    <w:rsid w:val="00336FC3"/>
    <w:rsid w:val="0034014E"/>
    <w:rsid w:val="00341FCF"/>
    <w:rsid w:val="003423FE"/>
    <w:rsid w:val="00342BD1"/>
    <w:rsid w:val="0034368F"/>
    <w:rsid w:val="0034385B"/>
    <w:rsid w:val="003456FD"/>
    <w:rsid w:val="00345A4F"/>
    <w:rsid w:val="00346D6C"/>
    <w:rsid w:val="00351582"/>
    <w:rsid w:val="003515BE"/>
    <w:rsid w:val="003516D9"/>
    <w:rsid w:val="00352307"/>
    <w:rsid w:val="00352AD5"/>
    <w:rsid w:val="003557AC"/>
    <w:rsid w:val="00356067"/>
    <w:rsid w:val="003570AD"/>
    <w:rsid w:val="003576D8"/>
    <w:rsid w:val="0035797F"/>
    <w:rsid w:val="00357F0F"/>
    <w:rsid w:val="00360032"/>
    <w:rsid w:val="00360BE5"/>
    <w:rsid w:val="00360FA1"/>
    <w:rsid w:val="0036332D"/>
    <w:rsid w:val="00363C1F"/>
    <w:rsid w:val="003656FA"/>
    <w:rsid w:val="00365A69"/>
    <w:rsid w:val="003663E6"/>
    <w:rsid w:val="003671F5"/>
    <w:rsid w:val="00371DD7"/>
    <w:rsid w:val="00371E4B"/>
    <w:rsid w:val="00372242"/>
    <w:rsid w:val="00373978"/>
    <w:rsid w:val="00373B39"/>
    <w:rsid w:val="0037442E"/>
    <w:rsid w:val="003745A0"/>
    <w:rsid w:val="00374E1A"/>
    <w:rsid w:val="00375172"/>
    <w:rsid w:val="0037544C"/>
    <w:rsid w:val="003755CB"/>
    <w:rsid w:val="00375E21"/>
    <w:rsid w:val="003761AC"/>
    <w:rsid w:val="003769B7"/>
    <w:rsid w:val="00376E21"/>
    <w:rsid w:val="00381D19"/>
    <w:rsid w:val="00383DBF"/>
    <w:rsid w:val="00383FFB"/>
    <w:rsid w:val="00384E16"/>
    <w:rsid w:val="00385837"/>
    <w:rsid w:val="0038592C"/>
    <w:rsid w:val="00387126"/>
    <w:rsid w:val="003873FD"/>
    <w:rsid w:val="00387426"/>
    <w:rsid w:val="0038777E"/>
    <w:rsid w:val="003903F3"/>
    <w:rsid w:val="003909F6"/>
    <w:rsid w:val="00390F23"/>
    <w:rsid w:val="003913C8"/>
    <w:rsid w:val="00391EC4"/>
    <w:rsid w:val="00391F48"/>
    <w:rsid w:val="0039243F"/>
    <w:rsid w:val="00395300"/>
    <w:rsid w:val="003959B8"/>
    <w:rsid w:val="00395B40"/>
    <w:rsid w:val="00396038"/>
    <w:rsid w:val="00396049"/>
    <w:rsid w:val="0039654D"/>
    <w:rsid w:val="00397135"/>
    <w:rsid w:val="0039732B"/>
    <w:rsid w:val="003976DA"/>
    <w:rsid w:val="00397E98"/>
    <w:rsid w:val="003A17FF"/>
    <w:rsid w:val="003A21E5"/>
    <w:rsid w:val="003A297D"/>
    <w:rsid w:val="003A2BF9"/>
    <w:rsid w:val="003A331B"/>
    <w:rsid w:val="003A3BEA"/>
    <w:rsid w:val="003A4791"/>
    <w:rsid w:val="003A48C5"/>
    <w:rsid w:val="003A4AC6"/>
    <w:rsid w:val="003A4BE3"/>
    <w:rsid w:val="003A5021"/>
    <w:rsid w:val="003A5FB5"/>
    <w:rsid w:val="003B0D0B"/>
    <w:rsid w:val="003B1065"/>
    <w:rsid w:val="003B10DD"/>
    <w:rsid w:val="003B16D2"/>
    <w:rsid w:val="003B1DAD"/>
    <w:rsid w:val="003B1F08"/>
    <w:rsid w:val="003B2AA2"/>
    <w:rsid w:val="003B2FD2"/>
    <w:rsid w:val="003B5D3E"/>
    <w:rsid w:val="003B6169"/>
    <w:rsid w:val="003B6B7F"/>
    <w:rsid w:val="003B6CA4"/>
    <w:rsid w:val="003B7137"/>
    <w:rsid w:val="003C0053"/>
    <w:rsid w:val="003C03E0"/>
    <w:rsid w:val="003C05C5"/>
    <w:rsid w:val="003C1892"/>
    <w:rsid w:val="003C1D4C"/>
    <w:rsid w:val="003C2485"/>
    <w:rsid w:val="003C2CFF"/>
    <w:rsid w:val="003C2E75"/>
    <w:rsid w:val="003C2E80"/>
    <w:rsid w:val="003C3AA0"/>
    <w:rsid w:val="003C3DD7"/>
    <w:rsid w:val="003C4496"/>
    <w:rsid w:val="003C51EB"/>
    <w:rsid w:val="003C6A4A"/>
    <w:rsid w:val="003C6E61"/>
    <w:rsid w:val="003C70B1"/>
    <w:rsid w:val="003C728F"/>
    <w:rsid w:val="003C7769"/>
    <w:rsid w:val="003C782B"/>
    <w:rsid w:val="003D15FC"/>
    <w:rsid w:val="003D192D"/>
    <w:rsid w:val="003D1C08"/>
    <w:rsid w:val="003D1EB4"/>
    <w:rsid w:val="003D2B66"/>
    <w:rsid w:val="003D2D6D"/>
    <w:rsid w:val="003D31FD"/>
    <w:rsid w:val="003D3C28"/>
    <w:rsid w:val="003D3F72"/>
    <w:rsid w:val="003D42E3"/>
    <w:rsid w:val="003D4466"/>
    <w:rsid w:val="003D44F5"/>
    <w:rsid w:val="003D5C27"/>
    <w:rsid w:val="003D77FA"/>
    <w:rsid w:val="003D7F47"/>
    <w:rsid w:val="003E0D79"/>
    <w:rsid w:val="003E0F9F"/>
    <w:rsid w:val="003E14ED"/>
    <w:rsid w:val="003E1821"/>
    <w:rsid w:val="003E1929"/>
    <w:rsid w:val="003E5A8A"/>
    <w:rsid w:val="003E5D13"/>
    <w:rsid w:val="003E61D3"/>
    <w:rsid w:val="003E63F8"/>
    <w:rsid w:val="003E6B8D"/>
    <w:rsid w:val="003E6D2B"/>
    <w:rsid w:val="003E70CB"/>
    <w:rsid w:val="003E71C8"/>
    <w:rsid w:val="003F0D78"/>
    <w:rsid w:val="003F1032"/>
    <w:rsid w:val="003F139B"/>
    <w:rsid w:val="003F1FB2"/>
    <w:rsid w:val="003F2F76"/>
    <w:rsid w:val="003F384D"/>
    <w:rsid w:val="003F3A95"/>
    <w:rsid w:val="003F3BBB"/>
    <w:rsid w:val="003F4581"/>
    <w:rsid w:val="003F537A"/>
    <w:rsid w:val="003F5475"/>
    <w:rsid w:val="003F560E"/>
    <w:rsid w:val="003F5A24"/>
    <w:rsid w:val="003F5BB2"/>
    <w:rsid w:val="003F5EDA"/>
    <w:rsid w:val="003F62E0"/>
    <w:rsid w:val="003F643D"/>
    <w:rsid w:val="003F653C"/>
    <w:rsid w:val="003F6B61"/>
    <w:rsid w:val="003F6E33"/>
    <w:rsid w:val="003F71F4"/>
    <w:rsid w:val="00400590"/>
    <w:rsid w:val="00400691"/>
    <w:rsid w:val="00400A9A"/>
    <w:rsid w:val="00401468"/>
    <w:rsid w:val="004018C7"/>
    <w:rsid w:val="00401C57"/>
    <w:rsid w:val="0040263B"/>
    <w:rsid w:val="004026E0"/>
    <w:rsid w:val="004028D9"/>
    <w:rsid w:val="00402D0C"/>
    <w:rsid w:val="00404768"/>
    <w:rsid w:val="00404CDD"/>
    <w:rsid w:val="00404F7C"/>
    <w:rsid w:val="004066A2"/>
    <w:rsid w:val="00406C29"/>
    <w:rsid w:val="00406CA1"/>
    <w:rsid w:val="0041013E"/>
    <w:rsid w:val="00410C67"/>
    <w:rsid w:val="0041126A"/>
    <w:rsid w:val="004114CB"/>
    <w:rsid w:val="00411783"/>
    <w:rsid w:val="00411A91"/>
    <w:rsid w:val="004127A2"/>
    <w:rsid w:val="0041286F"/>
    <w:rsid w:val="004139A3"/>
    <w:rsid w:val="00413BE4"/>
    <w:rsid w:val="0041405E"/>
    <w:rsid w:val="0041477F"/>
    <w:rsid w:val="0041487F"/>
    <w:rsid w:val="00414991"/>
    <w:rsid w:val="00414E7A"/>
    <w:rsid w:val="00416135"/>
    <w:rsid w:val="00416ED9"/>
    <w:rsid w:val="004173B2"/>
    <w:rsid w:val="004205AB"/>
    <w:rsid w:val="00421135"/>
    <w:rsid w:val="00421794"/>
    <w:rsid w:val="00421E44"/>
    <w:rsid w:val="00421FB5"/>
    <w:rsid w:val="004225E9"/>
    <w:rsid w:val="00423D86"/>
    <w:rsid w:val="004241FD"/>
    <w:rsid w:val="00424C9E"/>
    <w:rsid w:val="004255B6"/>
    <w:rsid w:val="0042605C"/>
    <w:rsid w:val="00427912"/>
    <w:rsid w:val="00430234"/>
    <w:rsid w:val="00430948"/>
    <w:rsid w:val="004312D0"/>
    <w:rsid w:val="00431AF3"/>
    <w:rsid w:val="00432430"/>
    <w:rsid w:val="00432A89"/>
    <w:rsid w:val="00432CD0"/>
    <w:rsid w:val="004333ED"/>
    <w:rsid w:val="004338FC"/>
    <w:rsid w:val="00433C37"/>
    <w:rsid w:val="0043444E"/>
    <w:rsid w:val="00434487"/>
    <w:rsid w:val="004354AF"/>
    <w:rsid w:val="00436B9A"/>
    <w:rsid w:val="0044161F"/>
    <w:rsid w:val="0044362C"/>
    <w:rsid w:val="00444544"/>
    <w:rsid w:val="00444D4B"/>
    <w:rsid w:val="00445C99"/>
    <w:rsid w:val="00445CDF"/>
    <w:rsid w:val="00446060"/>
    <w:rsid w:val="00450AC4"/>
    <w:rsid w:val="00450C02"/>
    <w:rsid w:val="00451057"/>
    <w:rsid w:val="004517B1"/>
    <w:rsid w:val="00451CE6"/>
    <w:rsid w:val="004531B5"/>
    <w:rsid w:val="0045332B"/>
    <w:rsid w:val="004539CC"/>
    <w:rsid w:val="00453B3B"/>
    <w:rsid w:val="00453EDC"/>
    <w:rsid w:val="00454200"/>
    <w:rsid w:val="00454BBE"/>
    <w:rsid w:val="00455CC2"/>
    <w:rsid w:val="0045638C"/>
    <w:rsid w:val="00457A73"/>
    <w:rsid w:val="00460B5A"/>
    <w:rsid w:val="00461079"/>
    <w:rsid w:val="00462BB7"/>
    <w:rsid w:val="0046376B"/>
    <w:rsid w:val="00465207"/>
    <w:rsid w:val="0046520C"/>
    <w:rsid w:val="00465BEA"/>
    <w:rsid w:val="00467125"/>
    <w:rsid w:val="00470C37"/>
    <w:rsid w:val="00470E75"/>
    <w:rsid w:val="00471819"/>
    <w:rsid w:val="00471C73"/>
    <w:rsid w:val="00473AB6"/>
    <w:rsid w:val="0047416D"/>
    <w:rsid w:val="00474CDF"/>
    <w:rsid w:val="00474EEE"/>
    <w:rsid w:val="00475B6F"/>
    <w:rsid w:val="00475EA5"/>
    <w:rsid w:val="00476049"/>
    <w:rsid w:val="00476DC3"/>
    <w:rsid w:val="00477023"/>
    <w:rsid w:val="00481088"/>
    <w:rsid w:val="00481098"/>
    <w:rsid w:val="00481126"/>
    <w:rsid w:val="00481554"/>
    <w:rsid w:val="00485AC3"/>
    <w:rsid w:val="004877E5"/>
    <w:rsid w:val="00490058"/>
    <w:rsid w:val="00490858"/>
    <w:rsid w:val="004910FA"/>
    <w:rsid w:val="0049159A"/>
    <w:rsid w:val="004917C8"/>
    <w:rsid w:val="0049180F"/>
    <w:rsid w:val="004918D4"/>
    <w:rsid w:val="004925AA"/>
    <w:rsid w:val="00492688"/>
    <w:rsid w:val="004928B5"/>
    <w:rsid w:val="00493257"/>
    <w:rsid w:val="00493829"/>
    <w:rsid w:val="00493C95"/>
    <w:rsid w:val="004948A0"/>
    <w:rsid w:val="00495295"/>
    <w:rsid w:val="00495CD8"/>
    <w:rsid w:val="004965FA"/>
    <w:rsid w:val="004A0A89"/>
    <w:rsid w:val="004A0AA0"/>
    <w:rsid w:val="004A130C"/>
    <w:rsid w:val="004A2B0F"/>
    <w:rsid w:val="004A2F1E"/>
    <w:rsid w:val="004A4106"/>
    <w:rsid w:val="004A4D62"/>
    <w:rsid w:val="004A5473"/>
    <w:rsid w:val="004A5CBC"/>
    <w:rsid w:val="004A77AF"/>
    <w:rsid w:val="004B1561"/>
    <w:rsid w:val="004B37FD"/>
    <w:rsid w:val="004B3A7C"/>
    <w:rsid w:val="004B44C0"/>
    <w:rsid w:val="004B50FF"/>
    <w:rsid w:val="004B52CF"/>
    <w:rsid w:val="004B58D5"/>
    <w:rsid w:val="004B68FB"/>
    <w:rsid w:val="004B74FC"/>
    <w:rsid w:val="004B75B3"/>
    <w:rsid w:val="004B7B6E"/>
    <w:rsid w:val="004B7DF7"/>
    <w:rsid w:val="004B7E75"/>
    <w:rsid w:val="004C06B8"/>
    <w:rsid w:val="004C1507"/>
    <w:rsid w:val="004C2E1D"/>
    <w:rsid w:val="004C342F"/>
    <w:rsid w:val="004C41AD"/>
    <w:rsid w:val="004C4992"/>
    <w:rsid w:val="004C5AAA"/>
    <w:rsid w:val="004C5B13"/>
    <w:rsid w:val="004C5CDD"/>
    <w:rsid w:val="004C671E"/>
    <w:rsid w:val="004C6A2B"/>
    <w:rsid w:val="004C6C55"/>
    <w:rsid w:val="004C755E"/>
    <w:rsid w:val="004C7FE7"/>
    <w:rsid w:val="004D03BA"/>
    <w:rsid w:val="004D10FC"/>
    <w:rsid w:val="004D20E5"/>
    <w:rsid w:val="004D2766"/>
    <w:rsid w:val="004D4612"/>
    <w:rsid w:val="004D4942"/>
    <w:rsid w:val="004D5075"/>
    <w:rsid w:val="004D6063"/>
    <w:rsid w:val="004D681F"/>
    <w:rsid w:val="004D77F7"/>
    <w:rsid w:val="004E1212"/>
    <w:rsid w:val="004E18EB"/>
    <w:rsid w:val="004E1A56"/>
    <w:rsid w:val="004E204B"/>
    <w:rsid w:val="004E2725"/>
    <w:rsid w:val="004E44D7"/>
    <w:rsid w:val="004E4666"/>
    <w:rsid w:val="004E4D44"/>
    <w:rsid w:val="004E4F2A"/>
    <w:rsid w:val="004E4FF9"/>
    <w:rsid w:val="004E59E1"/>
    <w:rsid w:val="004E68D9"/>
    <w:rsid w:val="004E6A68"/>
    <w:rsid w:val="004E76E0"/>
    <w:rsid w:val="004F092E"/>
    <w:rsid w:val="004F0E2C"/>
    <w:rsid w:val="004F1BBB"/>
    <w:rsid w:val="004F328A"/>
    <w:rsid w:val="004F4B1D"/>
    <w:rsid w:val="004F4FDA"/>
    <w:rsid w:val="004F560A"/>
    <w:rsid w:val="004F6E2D"/>
    <w:rsid w:val="004F754E"/>
    <w:rsid w:val="00500AEE"/>
    <w:rsid w:val="00501CB2"/>
    <w:rsid w:val="005021A7"/>
    <w:rsid w:val="005023F9"/>
    <w:rsid w:val="005029BF"/>
    <w:rsid w:val="00503572"/>
    <w:rsid w:val="00503C46"/>
    <w:rsid w:val="00506ADA"/>
    <w:rsid w:val="00506DC6"/>
    <w:rsid w:val="0051010F"/>
    <w:rsid w:val="0051191E"/>
    <w:rsid w:val="00512441"/>
    <w:rsid w:val="00512785"/>
    <w:rsid w:val="00512839"/>
    <w:rsid w:val="00513E19"/>
    <w:rsid w:val="00514244"/>
    <w:rsid w:val="0051508B"/>
    <w:rsid w:val="00515FF5"/>
    <w:rsid w:val="005179F5"/>
    <w:rsid w:val="00517AB4"/>
    <w:rsid w:val="00520349"/>
    <w:rsid w:val="005205FF"/>
    <w:rsid w:val="005209F9"/>
    <w:rsid w:val="00522769"/>
    <w:rsid w:val="005228CE"/>
    <w:rsid w:val="00522CF8"/>
    <w:rsid w:val="00523195"/>
    <w:rsid w:val="0052378B"/>
    <w:rsid w:val="00523C6B"/>
    <w:rsid w:val="00523DB5"/>
    <w:rsid w:val="0052445F"/>
    <w:rsid w:val="00526A07"/>
    <w:rsid w:val="00527C0B"/>
    <w:rsid w:val="00530099"/>
    <w:rsid w:val="005308BB"/>
    <w:rsid w:val="00530909"/>
    <w:rsid w:val="00531BA9"/>
    <w:rsid w:val="00532DCC"/>
    <w:rsid w:val="0053331A"/>
    <w:rsid w:val="00533B8C"/>
    <w:rsid w:val="00533DA0"/>
    <w:rsid w:val="00534667"/>
    <w:rsid w:val="00536359"/>
    <w:rsid w:val="005363D6"/>
    <w:rsid w:val="005364CA"/>
    <w:rsid w:val="0053744E"/>
    <w:rsid w:val="00537FE9"/>
    <w:rsid w:val="00540E3D"/>
    <w:rsid w:val="00540F6D"/>
    <w:rsid w:val="005430DE"/>
    <w:rsid w:val="00543616"/>
    <w:rsid w:val="0054408A"/>
    <w:rsid w:val="00544A10"/>
    <w:rsid w:val="00544EE7"/>
    <w:rsid w:val="005456C0"/>
    <w:rsid w:val="005459F8"/>
    <w:rsid w:val="00546F34"/>
    <w:rsid w:val="005473DC"/>
    <w:rsid w:val="00547CB1"/>
    <w:rsid w:val="00550718"/>
    <w:rsid w:val="00550730"/>
    <w:rsid w:val="005508F9"/>
    <w:rsid w:val="00550AAC"/>
    <w:rsid w:val="0055100E"/>
    <w:rsid w:val="005511B9"/>
    <w:rsid w:val="005512F9"/>
    <w:rsid w:val="00551F25"/>
    <w:rsid w:val="0055272B"/>
    <w:rsid w:val="00553199"/>
    <w:rsid w:val="005537D2"/>
    <w:rsid w:val="00553A93"/>
    <w:rsid w:val="00554852"/>
    <w:rsid w:val="00554FE9"/>
    <w:rsid w:val="005553B4"/>
    <w:rsid w:val="005553E9"/>
    <w:rsid w:val="00555598"/>
    <w:rsid w:val="005560D4"/>
    <w:rsid w:val="0055674D"/>
    <w:rsid w:val="00556A8C"/>
    <w:rsid w:val="00557075"/>
    <w:rsid w:val="00557F61"/>
    <w:rsid w:val="005609FB"/>
    <w:rsid w:val="00561B4E"/>
    <w:rsid w:val="00561BB9"/>
    <w:rsid w:val="00562052"/>
    <w:rsid w:val="00562448"/>
    <w:rsid w:val="00562529"/>
    <w:rsid w:val="005628AE"/>
    <w:rsid w:val="00562BBD"/>
    <w:rsid w:val="00563987"/>
    <w:rsid w:val="00563C6B"/>
    <w:rsid w:val="00564999"/>
    <w:rsid w:val="00566E49"/>
    <w:rsid w:val="00566F45"/>
    <w:rsid w:val="005675F7"/>
    <w:rsid w:val="005676F5"/>
    <w:rsid w:val="005678B7"/>
    <w:rsid w:val="00567A3B"/>
    <w:rsid w:val="00567B61"/>
    <w:rsid w:val="00570AC0"/>
    <w:rsid w:val="00571F07"/>
    <w:rsid w:val="00573059"/>
    <w:rsid w:val="00574D67"/>
    <w:rsid w:val="00575F0D"/>
    <w:rsid w:val="005762E0"/>
    <w:rsid w:val="00576EC5"/>
    <w:rsid w:val="0058047E"/>
    <w:rsid w:val="00580563"/>
    <w:rsid w:val="005805C0"/>
    <w:rsid w:val="00580980"/>
    <w:rsid w:val="00580E45"/>
    <w:rsid w:val="0058176C"/>
    <w:rsid w:val="00581BF7"/>
    <w:rsid w:val="00582027"/>
    <w:rsid w:val="005822ED"/>
    <w:rsid w:val="00582803"/>
    <w:rsid w:val="0058376D"/>
    <w:rsid w:val="00583ADF"/>
    <w:rsid w:val="00583B02"/>
    <w:rsid w:val="00584C53"/>
    <w:rsid w:val="00586AF5"/>
    <w:rsid w:val="00586C1B"/>
    <w:rsid w:val="00586E40"/>
    <w:rsid w:val="00586FDC"/>
    <w:rsid w:val="0059339E"/>
    <w:rsid w:val="00593652"/>
    <w:rsid w:val="005936C9"/>
    <w:rsid w:val="00594142"/>
    <w:rsid w:val="00594C6C"/>
    <w:rsid w:val="00594DA2"/>
    <w:rsid w:val="00595268"/>
    <w:rsid w:val="00595330"/>
    <w:rsid w:val="00595392"/>
    <w:rsid w:val="00595DF3"/>
    <w:rsid w:val="00596E5C"/>
    <w:rsid w:val="005A0285"/>
    <w:rsid w:val="005A0A20"/>
    <w:rsid w:val="005A15AF"/>
    <w:rsid w:val="005A15B1"/>
    <w:rsid w:val="005A1704"/>
    <w:rsid w:val="005A1BA3"/>
    <w:rsid w:val="005A1FFE"/>
    <w:rsid w:val="005A282D"/>
    <w:rsid w:val="005A3028"/>
    <w:rsid w:val="005A3CBE"/>
    <w:rsid w:val="005A3DA3"/>
    <w:rsid w:val="005A3F7D"/>
    <w:rsid w:val="005A40A3"/>
    <w:rsid w:val="005A4316"/>
    <w:rsid w:val="005A4D17"/>
    <w:rsid w:val="005A55E3"/>
    <w:rsid w:val="005A5AC8"/>
    <w:rsid w:val="005A5F84"/>
    <w:rsid w:val="005A614C"/>
    <w:rsid w:val="005A765A"/>
    <w:rsid w:val="005A7FA8"/>
    <w:rsid w:val="005B05E6"/>
    <w:rsid w:val="005B0C69"/>
    <w:rsid w:val="005B1031"/>
    <w:rsid w:val="005B1872"/>
    <w:rsid w:val="005B1CA9"/>
    <w:rsid w:val="005B2091"/>
    <w:rsid w:val="005B22A2"/>
    <w:rsid w:val="005B240B"/>
    <w:rsid w:val="005B325C"/>
    <w:rsid w:val="005B3403"/>
    <w:rsid w:val="005B500E"/>
    <w:rsid w:val="005B5428"/>
    <w:rsid w:val="005B5B92"/>
    <w:rsid w:val="005B5BF1"/>
    <w:rsid w:val="005B5C45"/>
    <w:rsid w:val="005B7799"/>
    <w:rsid w:val="005C0936"/>
    <w:rsid w:val="005C0C45"/>
    <w:rsid w:val="005C1A9B"/>
    <w:rsid w:val="005C1AF4"/>
    <w:rsid w:val="005C375D"/>
    <w:rsid w:val="005C4914"/>
    <w:rsid w:val="005C5303"/>
    <w:rsid w:val="005C5499"/>
    <w:rsid w:val="005C6219"/>
    <w:rsid w:val="005C6540"/>
    <w:rsid w:val="005C7FB6"/>
    <w:rsid w:val="005D07CE"/>
    <w:rsid w:val="005D10C7"/>
    <w:rsid w:val="005D397F"/>
    <w:rsid w:val="005D3A87"/>
    <w:rsid w:val="005D5366"/>
    <w:rsid w:val="005D5970"/>
    <w:rsid w:val="005D7224"/>
    <w:rsid w:val="005D738E"/>
    <w:rsid w:val="005D7E5E"/>
    <w:rsid w:val="005E0816"/>
    <w:rsid w:val="005E0AEF"/>
    <w:rsid w:val="005E0F99"/>
    <w:rsid w:val="005E1961"/>
    <w:rsid w:val="005E2A41"/>
    <w:rsid w:val="005E3653"/>
    <w:rsid w:val="005E3B1B"/>
    <w:rsid w:val="005E4ECB"/>
    <w:rsid w:val="005E4FE5"/>
    <w:rsid w:val="005E66C3"/>
    <w:rsid w:val="005E6F72"/>
    <w:rsid w:val="005E7795"/>
    <w:rsid w:val="005F0012"/>
    <w:rsid w:val="005F0A31"/>
    <w:rsid w:val="005F15E4"/>
    <w:rsid w:val="005F27D6"/>
    <w:rsid w:val="005F373B"/>
    <w:rsid w:val="005F3B5C"/>
    <w:rsid w:val="005F3D2C"/>
    <w:rsid w:val="005F443A"/>
    <w:rsid w:val="005F4FFF"/>
    <w:rsid w:val="005F527E"/>
    <w:rsid w:val="005F53D0"/>
    <w:rsid w:val="005F5CDF"/>
    <w:rsid w:val="005F5DCF"/>
    <w:rsid w:val="005F5E77"/>
    <w:rsid w:val="005F6797"/>
    <w:rsid w:val="006004A3"/>
    <w:rsid w:val="00601046"/>
    <w:rsid w:val="006014E5"/>
    <w:rsid w:val="006015D9"/>
    <w:rsid w:val="00601A5D"/>
    <w:rsid w:val="00602902"/>
    <w:rsid w:val="0060354C"/>
    <w:rsid w:val="00604BA3"/>
    <w:rsid w:val="00605018"/>
    <w:rsid w:val="006056C6"/>
    <w:rsid w:val="00605A24"/>
    <w:rsid w:val="00605DA3"/>
    <w:rsid w:val="0060602C"/>
    <w:rsid w:val="00606689"/>
    <w:rsid w:val="00606E35"/>
    <w:rsid w:val="00606F38"/>
    <w:rsid w:val="00607698"/>
    <w:rsid w:val="006100DD"/>
    <w:rsid w:val="0061099B"/>
    <w:rsid w:val="00610C35"/>
    <w:rsid w:val="00610CFC"/>
    <w:rsid w:val="006116C3"/>
    <w:rsid w:val="00611DA1"/>
    <w:rsid w:val="00612E2F"/>
    <w:rsid w:val="00612E44"/>
    <w:rsid w:val="00613959"/>
    <w:rsid w:val="00614BDD"/>
    <w:rsid w:val="00614D29"/>
    <w:rsid w:val="00615563"/>
    <w:rsid w:val="00615BAE"/>
    <w:rsid w:val="00615DB4"/>
    <w:rsid w:val="00615ED4"/>
    <w:rsid w:val="00615F62"/>
    <w:rsid w:val="00620035"/>
    <w:rsid w:val="00620BE6"/>
    <w:rsid w:val="00620D83"/>
    <w:rsid w:val="006212DC"/>
    <w:rsid w:val="00621E66"/>
    <w:rsid w:val="00622F71"/>
    <w:rsid w:val="0062348C"/>
    <w:rsid w:val="00623736"/>
    <w:rsid w:val="00623B25"/>
    <w:rsid w:val="00623D21"/>
    <w:rsid w:val="006250FD"/>
    <w:rsid w:val="0062626C"/>
    <w:rsid w:val="00627C67"/>
    <w:rsid w:val="00630831"/>
    <w:rsid w:val="00631D1C"/>
    <w:rsid w:val="00634228"/>
    <w:rsid w:val="006346B2"/>
    <w:rsid w:val="00634B83"/>
    <w:rsid w:val="00635443"/>
    <w:rsid w:val="006356F7"/>
    <w:rsid w:val="006371D1"/>
    <w:rsid w:val="006372C3"/>
    <w:rsid w:val="006374DA"/>
    <w:rsid w:val="00637931"/>
    <w:rsid w:val="0064028C"/>
    <w:rsid w:val="00640D34"/>
    <w:rsid w:val="0064110C"/>
    <w:rsid w:val="006411A7"/>
    <w:rsid w:val="00641DEA"/>
    <w:rsid w:val="00642EB0"/>
    <w:rsid w:val="00642FAF"/>
    <w:rsid w:val="00643350"/>
    <w:rsid w:val="0064380B"/>
    <w:rsid w:val="00643D3D"/>
    <w:rsid w:val="006446D3"/>
    <w:rsid w:val="006450C2"/>
    <w:rsid w:val="00645482"/>
    <w:rsid w:val="006464B0"/>
    <w:rsid w:val="00646589"/>
    <w:rsid w:val="006479A5"/>
    <w:rsid w:val="00647DF8"/>
    <w:rsid w:val="00650B2A"/>
    <w:rsid w:val="006514AD"/>
    <w:rsid w:val="00651A1A"/>
    <w:rsid w:val="006529AC"/>
    <w:rsid w:val="00652D24"/>
    <w:rsid w:val="006531B4"/>
    <w:rsid w:val="00653341"/>
    <w:rsid w:val="00653A3F"/>
    <w:rsid w:val="00653B6D"/>
    <w:rsid w:val="00654C57"/>
    <w:rsid w:val="00654C75"/>
    <w:rsid w:val="0065637B"/>
    <w:rsid w:val="00657483"/>
    <w:rsid w:val="00657566"/>
    <w:rsid w:val="006609BA"/>
    <w:rsid w:val="00660B5A"/>
    <w:rsid w:val="00660BB8"/>
    <w:rsid w:val="0066206E"/>
    <w:rsid w:val="006639C3"/>
    <w:rsid w:val="00664558"/>
    <w:rsid w:val="00665D17"/>
    <w:rsid w:val="0066762D"/>
    <w:rsid w:val="006677F4"/>
    <w:rsid w:val="0067060D"/>
    <w:rsid w:val="00671E15"/>
    <w:rsid w:val="00672838"/>
    <w:rsid w:val="0067306A"/>
    <w:rsid w:val="00673377"/>
    <w:rsid w:val="006746EC"/>
    <w:rsid w:val="006747B6"/>
    <w:rsid w:val="006752EC"/>
    <w:rsid w:val="00675669"/>
    <w:rsid w:val="00675CCB"/>
    <w:rsid w:val="006764C5"/>
    <w:rsid w:val="00676C0A"/>
    <w:rsid w:val="006770F9"/>
    <w:rsid w:val="006772CA"/>
    <w:rsid w:val="00677A80"/>
    <w:rsid w:val="00677D66"/>
    <w:rsid w:val="00677E70"/>
    <w:rsid w:val="0068187A"/>
    <w:rsid w:val="00682024"/>
    <w:rsid w:val="00682378"/>
    <w:rsid w:val="006826F4"/>
    <w:rsid w:val="0068361F"/>
    <w:rsid w:val="0068366D"/>
    <w:rsid w:val="006849C4"/>
    <w:rsid w:val="00684B64"/>
    <w:rsid w:val="00684D9D"/>
    <w:rsid w:val="00686856"/>
    <w:rsid w:val="00687751"/>
    <w:rsid w:val="006902D1"/>
    <w:rsid w:val="00690A86"/>
    <w:rsid w:val="00690B95"/>
    <w:rsid w:val="00691339"/>
    <w:rsid w:val="00692DA4"/>
    <w:rsid w:val="00694264"/>
    <w:rsid w:val="00694899"/>
    <w:rsid w:val="00695284"/>
    <w:rsid w:val="0069528D"/>
    <w:rsid w:val="00695903"/>
    <w:rsid w:val="00697250"/>
    <w:rsid w:val="00697927"/>
    <w:rsid w:val="006A0BB3"/>
    <w:rsid w:val="006A2022"/>
    <w:rsid w:val="006A2452"/>
    <w:rsid w:val="006A2759"/>
    <w:rsid w:val="006A285B"/>
    <w:rsid w:val="006A2996"/>
    <w:rsid w:val="006A351B"/>
    <w:rsid w:val="006A3B50"/>
    <w:rsid w:val="006A3E37"/>
    <w:rsid w:val="006A4AE7"/>
    <w:rsid w:val="006A4BB9"/>
    <w:rsid w:val="006A5020"/>
    <w:rsid w:val="006A566F"/>
    <w:rsid w:val="006A5E7D"/>
    <w:rsid w:val="006A5F6D"/>
    <w:rsid w:val="006A6CB3"/>
    <w:rsid w:val="006B0DF3"/>
    <w:rsid w:val="006B2C0E"/>
    <w:rsid w:val="006B2C93"/>
    <w:rsid w:val="006B31E6"/>
    <w:rsid w:val="006B35F9"/>
    <w:rsid w:val="006B3750"/>
    <w:rsid w:val="006B3A97"/>
    <w:rsid w:val="006B3DAF"/>
    <w:rsid w:val="006B43CF"/>
    <w:rsid w:val="006B57F9"/>
    <w:rsid w:val="006B6A93"/>
    <w:rsid w:val="006B6B1A"/>
    <w:rsid w:val="006B717C"/>
    <w:rsid w:val="006B79C9"/>
    <w:rsid w:val="006C03D7"/>
    <w:rsid w:val="006C055D"/>
    <w:rsid w:val="006C0F90"/>
    <w:rsid w:val="006C1764"/>
    <w:rsid w:val="006C2A89"/>
    <w:rsid w:val="006C2C41"/>
    <w:rsid w:val="006C37B5"/>
    <w:rsid w:val="006C3DFF"/>
    <w:rsid w:val="006C501B"/>
    <w:rsid w:val="006C50BF"/>
    <w:rsid w:val="006C59F0"/>
    <w:rsid w:val="006C68FF"/>
    <w:rsid w:val="006C78AC"/>
    <w:rsid w:val="006D0305"/>
    <w:rsid w:val="006D1732"/>
    <w:rsid w:val="006D2165"/>
    <w:rsid w:val="006D3E43"/>
    <w:rsid w:val="006D430E"/>
    <w:rsid w:val="006D4CE3"/>
    <w:rsid w:val="006D681F"/>
    <w:rsid w:val="006D6E35"/>
    <w:rsid w:val="006D7B46"/>
    <w:rsid w:val="006E0546"/>
    <w:rsid w:val="006E0F44"/>
    <w:rsid w:val="006E2B5C"/>
    <w:rsid w:val="006E5698"/>
    <w:rsid w:val="006E6B1B"/>
    <w:rsid w:val="006E6B6C"/>
    <w:rsid w:val="006E776E"/>
    <w:rsid w:val="006F00FA"/>
    <w:rsid w:val="006F0227"/>
    <w:rsid w:val="006F06C7"/>
    <w:rsid w:val="006F11EB"/>
    <w:rsid w:val="006F2F06"/>
    <w:rsid w:val="006F32FA"/>
    <w:rsid w:val="006F5696"/>
    <w:rsid w:val="006F587F"/>
    <w:rsid w:val="006F6807"/>
    <w:rsid w:val="006F730C"/>
    <w:rsid w:val="007040D9"/>
    <w:rsid w:val="00705B35"/>
    <w:rsid w:val="00706036"/>
    <w:rsid w:val="00706CB2"/>
    <w:rsid w:val="00707D06"/>
    <w:rsid w:val="007105B1"/>
    <w:rsid w:val="00711718"/>
    <w:rsid w:val="00713267"/>
    <w:rsid w:val="00713E40"/>
    <w:rsid w:val="00714637"/>
    <w:rsid w:val="00714725"/>
    <w:rsid w:val="007147ED"/>
    <w:rsid w:val="00714931"/>
    <w:rsid w:val="00715C48"/>
    <w:rsid w:val="00715FE7"/>
    <w:rsid w:val="00717204"/>
    <w:rsid w:val="007172B4"/>
    <w:rsid w:val="00720132"/>
    <w:rsid w:val="00720C83"/>
    <w:rsid w:val="007218DE"/>
    <w:rsid w:val="00721DBE"/>
    <w:rsid w:val="007225EE"/>
    <w:rsid w:val="00722972"/>
    <w:rsid w:val="007251BD"/>
    <w:rsid w:val="0072521F"/>
    <w:rsid w:val="00726493"/>
    <w:rsid w:val="00726C7B"/>
    <w:rsid w:val="00726D83"/>
    <w:rsid w:val="007272D4"/>
    <w:rsid w:val="007273B9"/>
    <w:rsid w:val="00730127"/>
    <w:rsid w:val="00730CAE"/>
    <w:rsid w:val="0073287C"/>
    <w:rsid w:val="00732A5D"/>
    <w:rsid w:val="0073327C"/>
    <w:rsid w:val="0073377B"/>
    <w:rsid w:val="0073382E"/>
    <w:rsid w:val="00734548"/>
    <w:rsid w:val="00734664"/>
    <w:rsid w:val="00734D6C"/>
    <w:rsid w:val="00735E26"/>
    <w:rsid w:val="00736735"/>
    <w:rsid w:val="00737ED0"/>
    <w:rsid w:val="007402CA"/>
    <w:rsid w:val="00740743"/>
    <w:rsid w:val="00740F0D"/>
    <w:rsid w:val="00740FD6"/>
    <w:rsid w:val="00741CA3"/>
    <w:rsid w:val="0074212F"/>
    <w:rsid w:val="007442FA"/>
    <w:rsid w:val="007448A6"/>
    <w:rsid w:val="00747660"/>
    <w:rsid w:val="00747B17"/>
    <w:rsid w:val="00747D9D"/>
    <w:rsid w:val="007500D2"/>
    <w:rsid w:val="007502EA"/>
    <w:rsid w:val="007509C8"/>
    <w:rsid w:val="00750E6E"/>
    <w:rsid w:val="0075135A"/>
    <w:rsid w:val="007518D6"/>
    <w:rsid w:val="007522E5"/>
    <w:rsid w:val="0075259F"/>
    <w:rsid w:val="00752A49"/>
    <w:rsid w:val="00753513"/>
    <w:rsid w:val="007547DA"/>
    <w:rsid w:val="00754CFA"/>
    <w:rsid w:val="007550EC"/>
    <w:rsid w:val="00756ED6"/>
    <w:rsid w:val="00757F21"/>
    <w:rsid w:val="00761332"/>
    <w:rsid w:val="0076135C"/>
    <w:rsid w:val="007617CE"/>
    <w:rsid w:val="00762299"/>
    <w:rsid w:val="007632DF"/>
    <w:rsid w:val="0076574F"/>
    <w:rsid w:val="00765C1D"/>
    <w:rsid w:val="00765EB9"/>
    <w:rsid w:val="00766030"/>
    <w:rsid w:val="00766DB9"/>
    <w:rsid w:val="00770073"/>
    <w:rsid w:val="0077018F"/>
    <w:rsid w:val="00771E4F"/>
    <w:rsid w:val="0077298A"/>
    <w:rsid w:val="007737AA"/>
    <w:rsid w:val="00773A76"/>
    <w:rsid w:val="00775564"/>
    <w:rsid w:val="00776955"/>
    <w:rsid w:val="0077710E"/>
    <w:rsid w:val="00777607"/>
    <w:rsid w:val="0077767C"/>
    <w:rsid w:val="00777A64"/>
    <w:rsid w:val="007806EA"/>
    <w:rsid w:val="00780D32"/>
    <w:rsid w:val="00781A7D"/>
    <w:rsid w:val="00781E09"/>
    <w:rsid w:val="00782843"/>
    <w:rsid w:val="00787D73"/>
    <w:rsid w:val="007912B4"/>
    <w:rsid w:val="0079221D"/>
    <w:rsid w:val="00795793"/>
    <w:rsid w:val="00795D12"/>
    <w:rsid w:val="00796C73"/>
    <w:rsid w:val="007978DE"/>
    <w:rsid w:val="007A1490"/>
    <w:rsid w:val="007A209A"/>
    <w:rsid w:val="007A291E"/>
    <w:rsid w:val="007A54BA"/>
    <w:rsid w:val="007A583C"/>
    <w:rsid w:val="007A5939"/>
    <w:rsid w:val="007A5C7F"/>
    <w:rsid w:val="007A6167"/>
    <w:rsid w:val="007A66D8"/>
    <w:rsid w:val="007A6867"/>
    <w:rsid w:val="007A7B9F"/>
    <w:rsid w:val="007B006B"/>
    <w:rsid w:val="007B01E7"/>
    <w:rsid w:val="007B053B"/>
    <w:rsid w:val="007B0791"/>
    <w:rsid w:val="007B0A17"/>
    <w:rsid w:val="007B1F58"/>
    <w:rsid w:val="007B2F25"/>
    <w:rsid w:val="007B3B8D"/>
    <w:rsid w:val="007B43DF"/>
    <w:rsid w:val="007B4C1C"/>
    <w:rsid w:val="007B4F50"/>
    <w:rsid w:val="007B50BE"/>
    <w:rsid w:val="007B5177"/>
    <w:rsid w:val="007B58B1"/>
    <w:rsid w:val="007B5CBD"/>
    <w:rsid w:val="007B6607"/>
    <w:rsid w:val="007B72B2"/>
    <w:rsid w:val="007B735E"/>
    <w:rsid w:val="007B7F5A"/>
    <w:rsid w:val="007C02AF"/>
    <w:rsid w:val="007C1332"/>
    <w:rsid w:val="007C16BC"/>
    <w:rsid w:val="007C18BF"/>
    <w:rsid w:val="007C2581"/>
    <w:rsid w:val="007C27EF"/>
    <w:rsid w:val="007C2931"/>
    <w:rsid w:val="007C2E4F"/>
    <w:rsid w:val="007C32C5"/>
    <w:rsid w:val="007C372B"/>
    <w:rsid w:val="007C52EA"/>
    <w:rsid w:val="007C5387"/>
    <w:rsid w:val="007C67D6"/>
    <w:rsid w:val="007C6D7E"/>
    <w:rsid w:val="007C775C"/>
    <w:rsid w:val="007C7A52"/>
    <w:rsid w:val="007C7C20"/>
    <w:rsid w:val="007D0F24"/>
    <w:rsid w:val="007D1402"/>
    <w:rsid w:val="007D2ED4"/>
    <w:rsid w:val="007D32EC"/>
    <w:rsid w:val="007D376B"/>
    <w:rsid w:val="007D475A"/>
    <w:rsid w:val="007D4F15"/>
    <w:rsid w:val="007D5106"/>
    <w:rsid w:val="007D5625"/>
    <w:rsid w:val="007D6375"/>
    <w:rsid w:val="007D685F"/>
    <w:rsid w:val="007D7450"/>
    <w:rsid w:val="007D7570"/>
    <w:rsid w:val="007D7650"/>
    <w:rsid w:val="007E0531"/>
    <w:rsid w:val="007E14FB"/>
    <w:rsid w:val="007E1A4F"/>
    <w:rsid w:val="007E1E9F"/>
    <w:rsid w:val="007E1EE0"/>
    <w:rsid w:val="007E273D"/>
    <w:rsid w:val="007E2FA7"/>
    <w:rsid w:val="007E3500"/>
    <w:rsid w:val="007E3579"/>
    <w:rsid w:val="007E363D"/>
    <w:rsid w:val="007E41CF"/>
    <w:rsid w:val="007E42E3"/>
    <w:rsid w:val="007E5DD0"/>
    <w:rsid w:val="007E60FA"/>
    <w:rsid w:val="007E6F39"/>
    <w:rsid w:val="007E79B7"/>
    <w:rsid w:val="007F0EA2"/>
    <w:rsid w:val="007F2167"/>
    <w:rsid w:val="007F25C3"/>
    <w:rsid w:val="007F459D"/>
    <w:rsid w:val="007F7AF3"/>
    <w:rsid w:val="007F7DAE"/>
    <w:rsid w:val="00800A00"/>
    <w:rsid w:val="0080386F"/>
    <w:rsid w:val="0080448E"/>
    <w:rsid w:val="008056A1"/>
    <w:rsid w:val="00806B1F"/>
    <w:rsid w:val="008107F7"/>
    <w:rsid w:val="00811DCD"/>
    <w:rsid w:val="00811E9F"/>
    <w:rsid w:val="00812A19"/>
    <w:rsid w:val="00813310"/>
    <w:rsid w:val="00813410"/>
    <w:rsid w:val="008136E3"/>
    <w:rsid w:val="00814BBD"/>
    <w:rsid w:val="00815D54"/>
    <w:rsid w:val="00815E00"/>
    <w:rsid w:val="00816081"/>
    <w:rsid w:val="0081622D"/>
    <w:rsid w:val="00816AAA"/>
    <w:rsid w:val="00816DF3"/>
    <w:rsid w:val="00816E4C"/>
    <w:rsid w:val="00817E79"/>
    <w:rsid w:val="00817F15"/>
    <w:rsid w:val="008204D8"/>
    <w:rsid w:val="00820DE7"/>
    <w:rsid w:val="008217CF"/>
    <w:rsid w:val="0082197C"/>
    <w:rsid w:val="00821A1D"/>
    <w:rsid w:val="00824E56"/>
    <w:rsid w:val="00826550"/>
    <w:rsid w:val="0082750D"/>
    <w:rsid w:val="00827CC3"/>
    <w:rsid w:val="008304EC"/>
    <w:rsid w:val="00830BBE"/>
    <w:rsid w:val="00831200"/>
    <w:rsid w:val="008316D5"/>
    <w:rsid w:val="00831989"/>
    <w:rsid w:val="00831AFC"/>
    <w:rsid w:val="0083315B"/>
    <w:rsid w:val="00833CDB"/>
    <w:rsid w:val="00834A7A"/>
    <w:rsid w:val="00835294"/>
    <w:rsid w:val="00836C04"/>
    <w:rsid w:val="00836FD4"/>
    <w:rsid w:val="008376B3"/>
    <w:rsid w:val="0083773A"/>
    <w:rsid w:val="00837D47"/>
    <w:rsid w:val="00837E30"/>
    <w:rsid w:val="00841A33"/>
    <w:rsid w:val="00842902"/>
    <w:rsid w:val="00847245"/>
    <w:rsid w:val="00847777"/>
    <w:rsid w:val="008477BF"/>
    <w:rsid w:val="0085178D"/>
    <w:rsid w:val="00852362"/>
    <w:rsid w:val="008528B5"/>
    <w:rsid w:val="00852F62"/>
    <w:rsid w:val="00854774"/>
    <w:rsid w:val="008558A9"/>
    <w:rsid w:val="00855DD0"/>
    <w:rsid w:val="00856CD9"/>
    <w:rsid w:val="00857A1C"/>
    <w:rsid w:val="0086086A"/>
    <w:rsid w:val="00860BB0"/>
    <w:rsid w:val="00861EC4"/>
    <w:rsid w:val="0086293C"/>
    <w:rsid w:val="00862F07"/>
    <w:rsid w:val="0086339A"/>
    <w:rsid w:val="008641C4"/>
    <w:rsid w:val="00864D1B"/>
    <w:rsid w:val="00864DA5"/>
    <w:rsid w:val="008668BB"/>
    <w:rsid w:val="00867558"/>
    <w:rsid w:val="008705B0"/>
    <w:rsid w:val="008714AA"/>
    <w:rsid w:val="00871B96"/>
    <w:rsid w:val="008745B5"/>
    <w:rsid w:val="00875D41"/>
    <w:rsid w:val="00876AA6"/>
    <w:rsid w:val="00876FF4"/>
    <w:rsid w:val="0087713E"/>
    <w:rsid w:val="00882232"/>
    <w:rsid w:val="0088276F"/>
    <w:rsid w:val="008835A9"/>
    <w:rsid w:val="008846F1"/>
    <w:rsid w:val="0088537A"/>
    <w:rsid w:val="0088584C"/>
    <w:rsid w:val="00885A65"/>
    <w:rsid w:val="00886A5D"/>
    <w:rsid w:val="00886AD0"/>
    <w:rsid w:val="008875DC"/>
    <w:rsid w:val="0089038E"/>
    <w:rsid w:val="008904AD"/>
    <w:rsid w:val="00891AF0"/>
    <w:rsid w:val="00892E7D"/>
    <w:rsid w:val="00892FAD"/>
    <w:rsid w:val="008933EF"/>
    <w:rsid w:val="00893AB5"/>
    <w:rsid w:val="00895BEF"/>
    <w:rsid w:val="00895DB7"/>
    <w:rsid w:val="00896A80"/>
    <w:rsid w:val="00897679"/>
    <w:rsid w:val="008A3113"/>
    <w:rsid w:val="008A3A6D"/>
    <w:rsid w:val="008A4C21"/>
    <w:rsid w:val="008A54E3"/>
    <w:rsid w:val="008B0622"/>
    <w:rsid w:val="008B0809"/>
    <w:rsid w:val="008B1B74"/>
    <w:rsid w:val="008B20BD"/>
    <w:rsid w:val="008B3E9B"/>
    <w:rsid w:val="008B4C82"/>
    <w:rsid w:val="008B60BD"/>
    <w:rsid w:val="008B6B2A"/>
    <w:rsid w:val="008B7013"/>
    <w:rsid w:val="008B7895"/>
    <w:rsid w:val="008C186E"/>
    <w:rsid w:val="008C28B7"/>
    <w:rsid w:val="008C2C3F"/>
    <w:rsid w:val="008C3145"/>
    <w:rsid w:val="008C4646"/>
    <w:rsid w:val="008C4815"/>
    <w:rsid w:val="008C4CC6"/>
    <w:rsid w:val="008C4F81"/>
    <w:rsid w:val="008C522C"/>
    <w:rsid w:val="008C52EE"/>
    <w:rsid w:val="008C571E"/>
    <w:rsid w:val="008C70C7"/>
    <w:rsid w:val="008C772E"/>
    <w:rsid w:val="008C79B2"/>
    <w:rsid w:val="008C7C0B"/>
    <w:rsid w:val="008C7CE1"/>
    <w:rsid w:val="008D067B"/>
    <w:rsid w:val="008D1225"/>
    <w:rsid w:val="008D1D0E"/>
    <w:rsid w:val="008D1E7F"/>
    <w:rsid w:val="008D1F15"/>
    <w:rsid w:val="008D1F2B"/>
    <w:rsid w:val="008D3B96"/>
    <w:rsid w:val="008D5210"/>
    <w:rsid w:val="008D5FC4"/>
    <w:rsid w:val="008D6416"/>
    <w:rsid w:val="008D652C"/>
    <w:rsid w:val="008D7F6B"/>
    <w:rsid w:val="008E05E9"/>
    <w:rsid w:val="008E0D37"/>
    <w:rsid w:val="008E1A73"/>
    <w:rsid w:val="008E2D53"/>
    <w:rsid w:val="008E4467"/>
    <w:rsid w:val="008E4CD7"/>
    <w:rsid w:val="008E58FC"/>
    <w:rsid w:val="008E641D"/>
    <w:rsid w:val="008E64DA"/>
    <w:rsid w:val="008E660D"/>
    <w:rsid w:val="008E66E5"/>
    <w:rsid w:val="008E7DD4"/>
    <w:rsid w:val="008F041A"/>
    <w:rsid w:val="008F056F"/>
    <w:rsid w:val="008F137D"/>
    <w:rsid w:val="008F21C1"/>
    <w:rsid w:val="008F305A"/>
    <w:rsid w:val="008F3154"/>
    <w:rsid w:val="008F3465"/>
    <w:rsid w:val="008F3512"/>
    <w:rsid w:val="008F371C"/>
    <w:rsid w:val="008F3D5F"/>
    <w:rsid w:val="008F438E"/>
    <w:rsid w:val="008F66BA"/>
    <w:rsid w:val="008F718D"/>
    <w:rsid w:val="008F7D54"/>
    <w:rsid w:val="008F7DD2"/>
    <w:rsid w:val="009004F9"/>
    <w:rsid w:val="0090344A"/>
    <w:rsid w:val="0090383C"/>
    <w:rsid w:val="00904041"/>
    <w:rsid w:val="0090561B"/>
    <w:rsid w:val="009070E0"/>
    <w:rsid w:val="00910139"/>
    <w:rsid w:val="009112B1"/>
    <w:rsid w:val="00913261"/>
    <w:rsid w:val="00913B82"/>
    <w:rsid w:val="00914276"/>
    <w:rsid w:val="009158AA"/>
    <w:rsid w:val="00916549"/>
    <w:rsid w:val="00916DEB"/>
    <w:rsid w:val="00917022"/>
    <w:rsid w:val="00917485"/>
    <w:rsid w:val="00920C84"/>
    <w:rsid w:val="00920F02"/>
    <w:rsid w:val="00922591"/>
    <w:rsid w:val="00922A73"/>
    <w:rsid w:val="00922D02"/>
    <w:rsid w:val="00922E82"/>
    <w:rsid w:val="00926673"/>
    <w:rsid w:val="00926FCA"/>
    <w:rsid w:val="009271A2"/>
    <w:rsid w:val="0093027F"/>
    <w:rsid w:val="0093151B"/>
    <w:rsid w:val="00931738"/>
    <w:rsid w:val="009319FC"/>
    <w:rsid w:val="00931B31"/>
    <w:rsid w:val="009325AE"/>
    <w:rsid w:val="00932FDF"/>
    <w:rsid w:val="009346E0"/>
    <w:rsid w:val="009349B5"/>
    <w:rsid w:val="0093602A"/>
    <w:rsid w:val="00940001"/>
    <w:rsid w:val="00940224"/>
    <w:rsid w:val="009402E0"/>
    <w:rsid w:val="009425A7"/>
    <w:rsid w:val="0094265B"/>
    <w:rsid w:val="00942CF7"/>
    <w:rsid w:val="00942E4C"/>
    <w:rsid w:val="009436C2"/>
    <w:rsid w:val="00944900"/>
    <w:rsid w:val="00944C91"/>
    <w:rsid w:val="00944EA3"/>
    <w:rsid w:val="0094583D"/>
    <w:rsid w:val="00945BCE"/>
    <w:rsid w:val="009466DD"/>
    <w:rsid w:val="009474C1"/>
    <w:rsid w:val="00950947"/>
    <w:rsid w:val="009509BD"/>
    <w:rsid w:val="00950C0B"/>
    <w:rsid w:val="00951984"/>
    <w:rsid w:val="00952732"/>
    <w:rsid w:val="0095439B"/>
    <w:rsid w:val="00954EC8"/>
    <w:rsid w:val="009553FC"/>
    <w:rsid w:val="009554DD"/>
    <w:rsid w:val="00956136"/>
    <w:rsid w:val="0095681C"/>
    <w:rsid w:val="00957E5D"/>
    <w:rsid w:val="0096009C"/>
    <w:rsid w:val="009624C2"/>
    <w:rsid w:val="0096374D"/>
    <w:rsid w:val="00966DA4"/>
    <w:rsid w:val="00970201"/>
    <w:rsid w:val="00971402"/>
    <w:rsid w:val="00971744"/>
    <w:rsid w:val="00971830"/>
    <w:rsid w:val="00971A5A"/>
    <w:rsid w:val="00972C2E"/>
    <w:rsid w:val="00972EB6"/>
    <w:rsid w:val="0097707B"/>
    <w:rsid w:val="009774AE"/>
    <w:rsid w:val="00980A15"/>
    <w:rsid w:val="00980C9E"/>
    <w:rsid w:val="00983216"/>
    <w:rsid w:val="009846CF"/>
    <w:rsid w:val="00984BF8"/>
    <w:rsid w:val="009850BA"/>
    <w:rsid w:val="00985D75"/>
    <w:rsid w:val="00986146"/>
    <w:rsid w:val="00986AD3"/>
    <w:rsid w:val="00987534"/>
    <w:rsid w:val="00990E20"/>
    <w:rsid w:val="00990ED9"/>
    <w:rsid w:val="00992514"/>
    <w:rsid w:val="00992888"/>
    <w:rsid w:val="00992AA9"/>
    <w:rsid w:val="009947F1"/>
    <w:rsid w:val="009949CE"/>
    <w:rsid w:val="00994AFC"/>
    <w:rsid w:val="00994F03"/>
    <w:rsid w:val="009972B4"/>
    <w:rsid w:val="009A01F1"/>
    <w:rsid w:val="009A045C"/>
    <w:rsid w:val="009A081F"/>
    <w:rsid w:val="009A0EB3"/>
    <w:rsid w:val="009A0F19"/>
    <w:rsid w:val="009A1D3C"/>
    <w:rsid w:val="009A1E77"/>
    <w:rsid w:val="009A2123"/>
    <w:rsid w:val="009A43E6"/>
    <w:rsid w:val="009A47F0"/>
    <w:rsid w:val="009A5D78"/>
    <w:rsid w:val="009A6127"/>
    <w:rsid w:val="009A65C2"/>
    <w:rsid w:val="009A6C1F"/>
    <w:rsid w:val="009A77F3"/>
    <w:rsid w:val="009A7B25"/>
    <w:rsid w:val="009B05A6"/>
    <w:rsid w:val="009B0A7D"/>
    <w:rsid w:val="009B0BA2"/>
    <w:rsid w:val="009B1322"/>
    <w:rsid w:val="009B2029"/>
    <w:rsid w:val="009B27DF"/>
    <w:rsid w:val="009B2ABB"/>
    <w:rsid w:val="009B3429"/>
    <w:rsid w:val="009B387F"/>
    <w:rsid w:val="009B4A70"/>
    <w:rsid w:val="009B5848"/>
    <w:rsid w:val="009B6103"/>
    <w:rsid w:val="009B6310"/>
    <w:rsid w:val="009B6431"/>
    <w:rsid w:val="009B64AA"/>
    <w:rsid w:val="009B6859"/>
    <w:rsid w:val="009B68BC"/>
    <w:rsid w:val="009B6E90"/>
    <w:rsid w:val="009B7E61"/>
    <w:rsid w:val="009C0395"/>
    <w:rsid w:val="009C0670"/>
    <w:rsid w:val="009C0DB6"/>
    <w:rsid w:val="009C2D4D"/>
    <w:rsid w:val="009C3F50"/>
    <w:rsid w:val="009C4DDA"/>
    <w:rsid w:val="009C56B9"/>
    <w:rsid w:val="009C60FB"/>
    <w:rsid w:val="009C61D4"/>
    <w:rsid w:val="009C6A99"/>
    <w:rsid w:val="009C6D41"/>
    <w:rsid w:val="009C7432"/>
    <w:rsid w:val="009C750F"/>
    <w:rsid w:val="009C796D"/>
    <w:rsid w:val="009C7CB5"/>
    <w:rsid w:val="009D18C6"/>
    <w:rsid w:val="009D1DA9"/>
    <w:rsid w:val="009D3922"/>
    <w:rsid w:val="009D42D9"/>
    <w:rsid w:val="009D4471"/>
    <w:rsid w:val="009D4775"/>
    <w:rsid w:val="009D4AE0"/>
    <w:rsid w:val="009D56BB"/>
    <w:rsid w:val="009D5D54"/>
    <w:rsid w:val="009D6DFE"/>
    <w:rsid w:val="009D771F"/>
    <w:rsid w:val="009E191B"/>
    <w:rsid w:val="009E2771"/>
    <w:rsid w:val="009E322F"/>
    <w:rsid w:val="009E4300"/>
    <w:rsid w:val="009E4DF6"/>
    <w:rsid w:val="009E58C7"/>
    <w:rsid w:val="009E6012"/>
    <w:rsid w:val="009E6334"/>
    <w:rsid w:val="009E6E52"/>
    <w:rsid w:val="009E7251"/>
    <w:rsid w:val="009E7A57"/>
    <w:rsid w:val="009E7EE6"/>
    <w:rsid w:val="009F1542"/>
    <w:rsid w:val="009F1734"/>
    <w:rsid w:val="009F2E83"/>
    <w:rsid w:val="009F3B03"/>
    <w:rsid w:val="009F4E51"/>
    <w:rsid w:val="009F652E"/>
    <w:rsid w:val="009F669E"/>
    <w:rsid w:val="009F6C96"/>
    <w:rsid w:val="009F6ED1"/>
    <w:rsid w:val="009F7467"/>
    <w:rsid w:val="00A00155"/>
    <w:rsid w:val="00A01043"/>
    <w:rsid w:val="00A0126B"/>
    <w:rsid w:val="00A01720"/>
    <w:rsid w:val="00A02454"/>
    <w:rsid w:val="00A02548"/>
    <w:rsid w:val="00A02D52"/>
    <w:rsid w:val="00A03A7D"/>
    <w:rsid w:val="00A03B4A"/>
    <w:rsid w:val="00A048CA"/>
    <w:rsid w:val="00A04AA5"/>
    <w:rsid w:val="00A05507"/>
    <w:rsid w:val="00A072C1"/>
    <w:rsid w:val="00A07B14"/>
    <w:rsid w:val="00A113B3"/>
    <w:rsid w:val="00A11694"/>
    <w:rsid w:val="00A12A17"/>
    <w:rsid w:val="00A12F12"/>
    <w:rsid w:val="00A134B2"/>
    <w:rsid w:val="00A139E6"/>
    <w:rsid w:val="00A13AE9"/>
    <w:rsid w:val="00A14C28"/>
    <w:rsid w:val="00A16061"/>
    <w:rsid w:val="00A16582"/>
    <w:rsid w:val="00A16772"/>
    <w:rsid w:val="00A16E83"/>
    <w:rsid w:val="00A17085"/>
    <w:rsid w:val="00A2036F"/>
    <w:rsid w:val="00A21509"/>
    <w:rsid w:val="00A22BC9"/>
    <w:rsid w:val="00A24769"/>
    <w:rsid w:val="00A250DA"/>
    <w:rsid w:val="00A25620"/>
    <w:rsid w:val="00A2662F"/>
    <w:rsid w:val="00A26E55"/>
    <w:rsid w:val="00A27D3E"/>
    <w:rsid w:val="00A31EA1"/>
    <w:rsid w:val="00A31ED2"/>
    <w:rsid w:val="00A31F1F"/>
    <w:rsid w:val="00A32146"/>
    <w:rsid w:val="00A331B3"/>
    <w:rsid w:val="00A331B8"/>
    <w:rsid w:val="00A33C7F"/>
    <w:rsid w:val="00A33FE0"/>
    <w:rsid w:val="00A35768"/>
    <w:rsid w:val="00A36146"/>
    <w:rsid w:val="00A36D05"/>
    <w:rsid w:val="00A377EF"/>
    <w:rsid w:val="00A379E0"/>
    <w:rsid w:val="00A4117D"/>
    <w:rsid w:val="00A42017"/>
    <w:rsid w:val="00A4272C"/>
    <w:rsid w:val="00A428EA"/>
    <w:rsid w:val="00A429C0"/>
    <w:rsid w:val="00A43172"/>
    <w:rsid w:val="00A43A21"/>
    <w:rsid w:val="00A43B00"/>
    <w:rsid w:val="00A446B7"/>
    <w:rsid w:val="00A45306"/>
    <w:rsid w:val="00A45A73"/>
    <w:rsid w:val="00A46106"/>
    <w:rsid w:val="00A47E87"/>
    <w:rsid w:val="00A47ED7"/>
    <w:rsid w:val="00A47F97"/>
    <w:rsid w:val="00A5258C"/>
    <w:rsid w:val="00A526BF"/>
    <w:rsid w:val="00A538EB"/>
    <w:rsid w:val="00A541BE"/>
    <w:rsid w:val="00A57180"/>
    <w:rsid w:val="00A6060F"/>
    <w:rsid w:val="00A60BE4"/>
    <w:rsid w:val="00A6169A"/>
    <w:rsid w:val="00A628ED"/>
    <w:rsid w:val="00A6319C"/>
    <w:rsid w:val="00A64011"/>
    <w:rsid w:val="00A645D7"/>
    <w:rsid w:val="00A65364"/>
    <w:rsid w:val="00A654C1"/>
    <w:rsid w:val="00A65A24"/>
    <w:rsid w:val="00A66322"/>
    <w:rsid w:val="00A6632D"/>
    <w:rsid w:val="00A67605"/>
    <w:rsid w:val="00A67CA0"/>
    <w:rsid w:val="00A70308"/>
    <w:rsid w:val="00A7097C"/>
    <w:rsid w:val="00A712FA"/>
    <w:rsid w:val="00A71A85"/>
    <w:rsid w:val="00A72138"/>
    <w:rsid w:val="00A7271F"/>
    <w:rsid w:val="00A7430F"/>
    <w:rsid w:val="00A756FC"/>
    <w:rsid w:val="00A76333"/>
    <w:rsid w:val="00A763B2"/>
    <w:rsid w:val="00A77112"/>
    <w:rsid w:val="00A77A56"/>
    <w:rsid w:val="00A80438"/>
    <w:rsid w:val="00A818B5"/>
    <w:rsid w:val="00A81BA4"/>
    <w:rsid w:val="00A824FF"/>
    <w:rsid w:val="00A82EC3"/>
    <w:rsid w:val="00A82FDB"/>
    <w:rsid w:val="00A839BC"/>
    <w:rsid w:val="00A841EE"/>
    <w:rsid w:val="00A843ED"/>
    <w:rsid w:val="00A846A4"/>
    <w:rsid w:val="00A85A0C"/>
    <w:rsid w:val="00A866D6"/>
    <w:rsid w:val="00A867D8"/>
    <w:rsid w:val="00A87248"/>
    <w:rsid w:val="00A90878"/>
    <w:rsid w:val="00A92684"/>
    <w:rsid w:val="00A93C69"/>
    <w:rsid w:val="00A93EE1"/>
    <w:rsid w:val="00A9423C"/>
    <w:rsid w:val="00A94509"/>
    <w:rsid w:val="00A947BE"/>
    <w:rsid w:val="00A948B1"/>
    <w:rsid w:val="00A95790"/>
    <w:rsid w:val="00A969DE"/>
    <w:rsid w:val="00A97396"/>
    <w:rsid w:val="00A97565"/>
    <w:rsid w:val="00AA0D88"/>
    <w:rsid w:val="00AA1E13"/>
    <w:rsid w:val="00AA1FEB"/>
    <w:rsid w:val="00AA24CB"/>
    <w:rsid w:val="00AA4832"/>
    <w:rsid w:val="00AA52B4"/>
    <w:rsid w:val="00AA5A2D"/>
    <w:rsid w:val="00AA7982"/>
    <w:rsid w:val="00AB14E0"/>
    <w:rsid w:val="00AB17A9"/>
    <w:rsid w:val="00AB1985"/>
    <w:rsid w:val="00AB1FF4"/>
    <w:rsid w:val="00AB3527"/>
    <w:rsid w:val="00AB38CA"/>
    <w:rsid w:val="00AB511C"/>
    <w:rsid w:val="00AB60E2"/>
    <w:rsid w:val="00AB6456"/>
    <w:rsid w:val="00AB6AEF"/>
    <w:rsid w:val="00AB7107"/>
    <w:rsid w:val="00AB7139"/>
    <w:rsid w:val="00AB7C34"/>
    <w:rsid w:val="00AC14D1"/>
    <w:rsid w:val="00AC22A0"/>
    <w:rsid w:val="00AC244F"/>
    <w:rsid w:val="00AC392D"/>
    <w:rsid w:val="00AC3C2E"/>
    <w:rsid w:val="00AC488B"/>
    <w:rsid w:val="00AC4CC9"/>
    <w:rsid w:val="00AC5D60"/>
    <w:rsid w:val="00AC6957"/>
    <w:rsid w:val="00AC76F5"/>
    <w:rsid w:val="00AD0C19"/>
    <w:rsid w:val="00AD2869"/>
    <w:rsid w:val="00AD2B96"/>
    <w:rsid w:val="00AD478B"/>
    <w:rsid w:val="00AD5A34"/>
    <w:rsid w:val="00AD5F18"/>
    <w:rsid w:val="00AE0F11"/>
    <w:rsid w:val="00AE18BE"/>
    <w:rsid w:val="00AE1C47"/>
    <w:rsid w:val="00AE1E2E"/>
    <w:rsid w:val="00AE2057"/>
    <w:rsid w:val="00AE2820"/>
    <w:rsid w:val="00AE2BAB"/>
    <w:rsid w:val="00AE33ED"/>
    <w:rsid w:val="00AE5BDE"/>
    <w:rsid w:val="00AF044A"/>
    <w:rsid w:val="00AF0FF7"/>
    <w:rsid w:val="00AF1F2F"/>
    <w:rsid w:val="00AF2E25"/>
    <w:rsid w:val="00AF42FD"/>
    <w:rsid w:val="00AF59E7"/>
    <w:rsid w:val="00AF6265"/>
    <w:rsid w:val="00AF6BB4"/>
    <w:rsid w:val="00AF6BDD"/>
    <w:rsid w:val="00AF7523"/>
    <w:rsid w:val="00B018BC"/>
    <w:rsid w:val="00B0260E"/>
    <w:rsid w:val="00B02A35"/>
    <w:rsid w:val="00B04C55"/>
    <w:rsid w:val="00B05581"/>
    <w:rsid w:val="00B0682B"/>
    <w:rsid w:val="00B07CDD"/>
    <w:rsid w:val="00B07E11"/>
    <w:rsid w:val="00B10547"/>
    <w:rsid w:val="00B113CC"/>
    <w:rsid w:val="00B11456"/>
    <w:rsid w:val="00B114A3"/>
    <w:rsid w:val="00B1195C"/>
    <w:rsid w:val="00B11981"/>
    <w:rsid w:val="00B11A9E"/>
    <w:rsid w:val="00B12D4D"/>
    <w:rsid w:val="00B13220"/>
    <w:rsid w:val="00B1431D"/>
    <w:rsid w:val="00B1679C"/>
    <w:rsid w:val="00B16EAB"/>
    <w:rsid w:val="00B16F27"/>
    <w:rsid w:val="00B1771C"/>
    <w:rsid w:val="00B17B88"/>
    <w:rsid w:val="00B20597"/>
    <w:rsid w:val="00B20ADD"/>
    <w:rsid w:val="00B20B1F"/>
    <w:rsid w:val="00B21A44"/>
    <w:rsid w:val="00B21A9F"/>
    <w:rsid w:val="00B21BF0"/>
    <w:rsid w:val="00B21BF2"/>
    <w:rsid w:val="00B227CC"/>
    <w:rsid w:val="00B239FA"/>
    <w:rsid w:val="00B23A59"/>
    <w:rsid w:val="00B23BDF"/>
    <w:rsid w:val="00B25705"/>
    <w:rsid w:val="00B25807"/>
    <w:rsid w:val="00B25DA6"/>
    <w:rsid w:val="00B25E64"/>
    <w:rsid w:val="00B26904"/>
    <w:rsid w:val="00B26EA4"/>
    <w:rsid w:val="00B35742"/>
    <w:rsid w:val="00B35D64"/>
    <w:rsid w:val="00B3628F"/>
    <w:rsid w:val="00B36379"/>
    <w:rsid w:val="00B363FB"/>
    <w:rsid w:val="00B364E8"/>
    <w:rsid w:val="00B372D9"/>
    <w:rsid w:val="00B37E5E"/>
    <w:rsid w:val="00B407F7"/>
    <w:rsid w:val="00B40CCB"/>
    <w:rsid w:val="00B41CF3"/>
    <w:rsid w:val="00B42A7F"/>
    <w:rsid w:val="00B42B1C"/>
    <w:rsid w:val="00B43812"/>
    <w:rsid w:val="00B43842"/>
    <w:rsid w:val="00B43F5D"/>
    <w:rsid w:val="00B44032"/>
    <w:rsid w:val="00B45E12"/>
    <w:rsid w:val="00B468AF"/>
    <w:rsid w:val="00B519C5"/>
    <w:rsid w:val="00B51B78"/>
    <w:rsid w:val="00B522A6"/>
    <w:rsid w:val="00B528CF"/>
    <w:rsid w:val="00B53C22"/>
    <w:rsid w:val="00B53F3F"/>
    <w:rsid w:val="00B540E7"/>
    <w:rsid w:val="00B541B9"/>
    <w:rsid w:val="00B5431D"/>
    <w:rsid w:val="00B54834"/>
    <w:rsid w:val="00B55791"/>
    <w:rsid w:val="00B55BBD"/>
    <w:rsid w:val="00B56AC9"/>
    <w:rsid w:val="00B600D9"/>
    <w:rsid w:val="00B61465"/>
    <w:rsid w:val="00B6397D"/>
    <w:rsid w:val="00B6405A"/>
    <w:rsid w:val="00B64466"/>
    <w:rsid w:val="00B6467C"/>
    <w:rsid w:val="00B653BC"/>
    <w:rsid w:val="00B65763"/>
    <w:rsid w:val="00B66AB4"/>
    <w:rsid w:val="00B67AC9"/>
    <w:rsid w:val="00B67CFF"/>
    <w:rsid w:val="00B7003F"/>
    <w:rsid w:val="00B7072F"/>
    <w:rsid w:val="00B726BD"/>
    <w:rsid w:val="00B72966"/>
    <w:rsid w:val="00B745B1"/>
    <w:rsid w:val="00B77A7D"/>
    <w:rsid w:val="00B77D1D"/>
    <w:rsid w:val="00B80104"/>
    <w:rsid w:val="00B805E4"/>
    <w:rsid w:val="00B80DAE"/>
    <w:rsid w:val="00B811D6"/>
    <w:rsid w:val="00B814E7"/>
    <w:rsid w:val="00B82039"/>
    <w:rsid w:val="00B82698"/>
    <w:rsid w:val="00B8272E"/>
    <w:rsid w:val="00B833BF"/>
    <w:rsid w:val="00B84302"/>
    <w:rsid w:val="00B84B85"/>
    <w:rsid w:val="00B84C76"/>
    <w:rsid w:val="00B84DDC"/>
    <w:rsid w:val="00B853DA"/>
    <w:rsid w:val="00B86576"/>
    <w:rsid w:val="00B86DCD"/>
    <w:rsid w:val="00B876A5"/>
    <w:rsid w:val="00B87BF6"/>
    <w:rsid w:val="00B87DCC"/>
    <w:rsid w:val="00B907DF"/>
    <w:rsid w:val="00B90804"/>
    <w:rsid w:val="00B92080"/>
    <w:rsid w:val="00B932C4"/>
    <w:rsid w:val="00B93856"/>
    <w:rsid w:val="00B94394"/>
    <w:rsid w:val="00B950AD"/>
    <w:rsid w:val="00B9607F"/>
    <w:rsid w:val="00B9731F"/>
    <w:rsid w:val="00BA0346"/>
    <w:rsid w:val="00BA0CCD"/>
    <w:rsid w:val="00BA18FE"/>
    <w:rsid w:val="00BA1DE7"/>
    <w:rsid w:val="00BA2435"/>
    <w:rsid w:val="00BA3742"/>
    <w:rsid w:val="00BA506A"/>
    <w:rsid w:val="00BA525E"/>
    <w:rsid w:val="00BA55C5"/>
    <w:rsid w:val="00BA6CC7"/>
    <w:rsid w:val="00BA6FDB"/>
    <w:rsid w:val="00BA7021"/>
    <w:rsid w:val="00BA7C2B"/>
    <w:rsid w:val="00BA7DA0"/>
    <w:rsid w:val="00BA7EC6"/>
    <w:rsid w:val="00BB0945"/>
    <w:rsid w:val="00BB43D3"/>
    <w:rsid w:val="00BB4A5F"/>
    <w:rsid w:val="00BB4D31"/>
    <w:rsid w:val="00BB662B"/>
    <w:rsid w:val="00BB7097"/>
    <w:rsid w:val="00BB7392"/>
    <w:rsid w:val="00BB7EF4"/>
    <w:rsid w:val="00BC079B"/>
    <w:rsid w:val="00BC1D50"/>
    <w:rsid w:val="00BC2298"/>
    <w:rsid w:val="00BC4B77"/>
    <w:rsid w:val="00BC4EB6"/>
    <w:rsid w:val="00BC4FB5"/>
    <w:rsid w:val="00BC7F8B"/>
    <w:rsid w:val="00BD0271"/>
    <w:rsid w:val="00BD13D6"/>
    <w:rsid w:val="00BD158F"/>
    <w:rsid w:val="00BD17AA"/>
    <w:rsid w:val="00BD1804"/>
    <w:rsid w:val="00BD21F3"/>
    <w:rsid w:val="00BD2401"/>
    <w:rsid w:val="00BD2932"/>
    <w:rsid w:val="00BD294F"/>
    <w:rsid w:val="00BD3A58"/>
    <w:rsid w:val="00BD3C74"/>
    <w:rsid w:val="00BD3CE7"/>
    <w:rsid w:val="00BD3EDC"/>
    <w:rsid w:val="00BD5205"/>
    <w:rsid w:val="00BD67C7"/>
    <w:rsid w:val="00BD739D"/>
    <w:rsid w:val="00BE0246"/>
    <w:rsid w:val="00BE10DD"/>
    <w:rsid w:val="00BE1824"/>
    <w:rsid w:val="00BE3B85"/>
    <w:rsid w:val="00BE423B"/>
    <w:rsid w:val="00BE465C"/>
    <w:rsid w:val="00BE4990"/>
    <w:rsid w:val="00BE7015"/>
    <w:rsid w:val="00BE7D0B"/>
    <w:rsid w:val="00BF30BE"/>
    <w:rsid w:val="00BF3810"/>
    <w:rsid w:val="00BF4273"/>
    <w:rsid w:val="00BF447E"/>
    <w:rsid w:val="00BF567D"/>
    <w:rsid w:val="00BF6DB1"/>
    <w:rsid w:val="00C01755"/>
    <w:rsid w:val="00C027BF"/>
    <w:rsid w:val="00C036D9"/>
    <w:rsid w:val="00C05723"/>
    <w:rsid w:val="00C06DC6"/>
    <w:rsid w:val="00C1009A"/>
    <w:rsid w:val="00C10135"/>
    <w:rsid w:val="00C103AF"/>
    <w:rsid w:val="00C10A3C"/>
    <w:rsid w:val="00C10AB7"/>
    <w:rsid w:val="00C1124D"/>
    <w:rsid w:val="00C118B3"/>
    <w:rsid w:val="00C122C6"/>
    <w:rsid w:val="00C133E4"/>
    <w:rsid w:val="00C133E7"/>
    <w:rsid w:val="00C13BE5"/>
    <w:rsid w:val="00C15A80"/>
    <w:rsid w:val="00C16962"/>
    <w:rsid w:val="00C16C27"/>
    <w:rsid w:val="00C16DD6"/>
    <w:rsid w:val="00C1753B"/>
    <w:rsid w:val="00C20017"/>
    <w:rsid w:val="00C20615"/>
    <w:rsid w:val="00C21F0D"/>
    <w:rsid w:val="00C220AB"/>
    <w:rsid w:val="00C22B47"/>
    <w:rsid w:val="00C22F62"/>
    <w:rsid w:val="00C23589"/>
    <w:rsid w:val="00C24C68"/>
    <w:rsid w:val="00C24F14"/>
    <w:rsid w:val="00C251B7"/>
    <w:rsid w:val="00C256D7"/>
    <w:rsid w:val="00C26BF6"/>
    <w:rsid w:val="00C27038"/>
    <w:rsid w:val="00C30349"/>
    <w:rsid w:val="00C31BA5"/>
    <w:rsid w:val="00C3214A"/>
    <w:rsid w:val="00C32AA5"/>
    <w:rsid w:val="00C33426"/>
    <w:rsid w:val="00C34633"/>
    <w:rsid w:val="00C349E8"/>
    <w:rsid w:val="00C352EC"/>
    <w:rsid w:val="00C35459"/>
    <w:rsid w:val="00C36621"/>
    <w:rsid w:val="00C40F2B"/>
    <w:rsid w:val="00C42257"/>
    <w:rsid w:val="00C4247A"/>
    <w:rsid w:val="00C42505"/>
    <w:rsid w:val="00C4396C"/>
    <w:rsid w:val="00C44691"/>
    <w:rsid w:val="00C4512E"/>
    <w:rsid w:val="00C46101"/>
    <w:rsid w:val="00C46231"/>
    <w:rsid w:val="00C46887"/>
    <w:rsid w:val="00C47F3D"/>
    <w:rsid w:val="00C52552"/>
    <w:rsid w:val="00C5255D"/>
    <w:rsid w:val="00C5270F"/>
    <w:rsid w:val="00C53BC6"/>
    <w:rsid w:val="00C54416"/>
    <w:rsid w:val="00C54DA6"/>
    <w:rsid w:val="00C55787"/>
    <w:rsid w:val="00C57059"/>
    <w:rsid w:val="00C609A5"/>
    <w:rsid w:val="00C61F15"/>
    <w:rsid w:val="00C620F4"/>
    <w:rsid w:val="00C62769"/>
    <w:rsid w:val="00C632A2"/>
    <w:rsid w:val="00C6374C"/>
    <w:rsid w:val="00C64A64"/>
    <w:rsid w:val="00C64FC7"/>
    <w:rsid w:val="00C654B8"/>
    <w:rsid w:val="00C655A8"/>
    <w:rsid w:val="00C660A0"/>
    <w:rsid w:val="00C66134"/>
    <w:rsid w:val="00C66464"/>
    <w:rsid w:val="00C702D6"/>
    <w:rsid w:val="00C70BDA"/>
    <w:rsid w:val="00C723F9"/>
    <w:rsid w:val="00C72BCD"/>
    <w:rsid w:val="00C73A0A"/>
    <w:rsid w:val="00C763D3"/>
    <w:rsid w:val="00C76904"/>
    <w:rsid w:val="00C7765B"/>
    <w:rsid w:val="00C77983"/>
    <w:rsid w:val="00C779E3"/>
    <w:rsid w:val="00C80B59"/>
    <w:rsid w:val="00C818B5"/>
    <w:rsid w:val="00C8243D"/>
    <w:rsid w:val="00C83326"/>
    <w:rsid w:val="00C839C7"/>
    <w:rsid w:val="00C83B36"/>
    <w:rsid w:val="00C852D4"/>
    <w:rsid w:val="00C8560B"/>
    <w:rsid w:val="00C87E2D"/>
    <w:rsid w:val="00C908AE"/>
    <w:rsid w:val="00C909C0"/>
    <w:rsid w:val="00C90DAF"/>
    <w:rsid w:val="00C90EA8"/>
    <w:rsid w:val="00C916B4"/>
    <w:rsid w:val="00C91BD8"/>
    <w:rsid w:val="00C92613"/>
    <w:rsid w:val="00C9597C"/>
    <w:rsid w:val="00C9627B"/>
    <w:rsid w:val="00C962F1"/>
    <w:rsid w:val="00C9657E"/>
    <w:rsid w:val="00C9692E"/>
    <w:rsid w:val="00C9773F"/>
    <w:rsid w:val="00CA13DB"/>
    <w:rsid w:val="00CA1F64"/>
    <w:rsid w:val="00CA1F7A"/>
    <w:rsid w:val="00CA2EAA"/>
    <w:rsid w:val="00CA3848"/>
    <w:rsid w:val="00CA3EDB"/>
    <w:rsid w:val="00CA4F9B"/>
    <w:rsid w:val="00CA58E8"/>
    <w:rsid w:val="00CA5F96"/>
    <w:rsid w:val="00CA637F"/>
    <w:rsid w:val="00CA6C44"/>
    <w:rsid w:val="00CA6DD5"/>
    <w:rsid w:val="00CA7170"/>
    <w:rsid w:val="00CA738A"/>
    <w:rsid w:val="00CA7753"/>
    <w:rsid w:val="00CA7E0E"/>
    <w:rsid w:val="00CB06AB"/>
    <w:rsid w:val="00CB0E75"/>
    <w:rsid w:val="00CB116D"/>
    <w:rsid w:val="00CB1504"/>
    <w:rsid w:val="00CB1B4F"/>
    <w:rsid w:val="00CB2742"/>
    <w:rsid w:val="00CB307D"/>
    <w:rsid w:val="00CB36B3"/>
    <w:rsid w:val="00CB387F"/>
    <w:rsid w:val="00CB5F69"/>
    <w:rsid w:val="00CB763B"/>
    <w:rsid w:val="00CC08EE"/>
    <w:rsid w:val="00CC08F1"/>
    <w:rsid w:val="00CC0C2F"/>
    <w:rsid w:val="00CC1B54"/>
    <w:rsid w:val="00CC320A"/>
    <w:rsid w:val="00CC56F4"/>
    <w:rsid w:val="00CC5B2C"/>
    <w:rsid w:val="00CC627C"/>
    <w:rsid w:val="00CC662B"/>
    <w:rsid w:val="00CC6ADB"/>
    <w:rsid w:val="00CC745B"/>
    <w:rsid w:val="00CD0317"/>
    <w:rsid w:val="00CD0A5D"/>
    <w:rsid w:val="00CD2680"/>
    <w:rsid w:val="00CD3000"/>
    <w:rsid w:val="00CD3559"/>
    <w:rsid w:val="00CD38BD"/>
    <w:rsid w:val="00CD4212"/>
    <w:rsid w:val="00CD49AE"/>
    <w:rsid w:val="00CD5296"/>
    <w:rsid w:val="00CD6DE1"/>
    <w:rsid w:val="00CD7058"/>
    <w:rsid w:val="00CE02B0"/>
    <w:rsid w:val="00CE03CA"/>
    <w:rsid w:val="00CE0764"/>
    <w:rsid w:val="00CE1721"/>
    <w:rsid w:val="00CE2E5E"/>
    <w:rsid w:val="00CE3670"/>
    <w:rsid w:val="00CE3F98"/>
    <w:rsid w:val="00CE4665"/>
    <w:rsid w:val="00CE4A4A"/>
    <w:rsid w:val="00CE4B31"/>
    <w:rsid w:val="00CE57A6"/>
    <w:rsid w:val="00CE5886"/>
    <w:rsid w:val="00CE67FD"/>
    <w:rsid w:val="00CE701B"/>
    <w:rsid w:val="00CE7331"/>
    <w:rsid w:val="00CE7473"/>
    <w:rsid w:val="00CF0732"/>
    <w:rsid w:val="00CF1126"/>
    <w:rsid w:val="00CF24AD"/>
    <w:rsid w:val="00CF2FEF"/>
    <w:rsid w:val="00CF308E"/>
    <w:rsid w:val="00CF4273"/>
    <w:rsid w:val="00CF49C3"/>
    <w:rsid w:val="00CF5FBE"/>
    <w:rsid w:val="00CF6275"/>
    <w:rsid w:val="00CF7606"/>
    <w:rsid w:val="00CF77D6"/>
    <w:rsid w:val="00D00889"/>
    <w:rsid w:val="00D01238"/>
    <w:rsid w:val="00D01317"/>
    <w:rsid w:val="00D01E89"/>
    <w:rsid w:val="00D0202D"/>
    <w:rsid w:val="00D028C3"/>
    <w:rsid w:val="00D03781"/>
    <w:rsid w:val="00D0385D"/>
    <w:rsid w:val="00D0450A"/>
    <w:rsid w:val="00D062B9"/>
    <w:rsid w:val="00D065DA"/>
    <w:rsid w:val="00D06E1E"/>
    <w:rsid w:val="00D1018B"/>
    <w:rsid w:val="00D10A04"/>
    <w:rsid w:val="00D128D7"/>
    <w:rsid w:val="00D131E9"/>
    <w:rsid w:val="00D1471A"/>
    <w:rsid w:val="00D152D9"/>
    <w:rsid w:val="00D15BC3"/>
    <w:rsid w:val="00D16328"/>
    <w:rsid w:val="00D1692E"/>
    <w:rsid w:val="00D16FF9"/>
    <w:rsid w:val="00D17D88"/>
    <w:rsid w:val="00D17DF9"/>
    <w:rsid w:val="00D2167C"/>
    <w:rsid w:val="00D2282C"/>
    <w:rsid w:val="00D22F0B"/>
    <w:rsid w:val="00D23D1F"/>
    <w:rsid w:val="00D24C21"/>
    <w:rsid w:val="00D26BBF"/>
    <w:rsid w:val="00D26E9C"/>
    <w:rsid w:val="00D2791E"/>
    <w:rsid w:val="00D27BC8"/>
    <w:rsid w:val="00D316FE"/>
    <w:rsid w:val="00D3262D"/>
    <w:rsid w:val="00D32A6A"/>
    <w:rsid w:val="00D33F7C"/>
    <w:rsid w:val="00D34976"/>
    <w:rsid w:val="00D35A3B"/>
    <w:rsid w:val="00D35EDA"/>
    <w:rsid w:val="00D36D16"/>
    <w:rsid w:val="00D379DA"/>
    <w:rsid w:val="00D41955"/>
    <w:rsid w:val="00D41CEF"/>
    <w:rsid w:val="00D41F15"/>
    <w:rsid w:val="00D428DD"/>
    <w:rsid w:val="00D42A9B"/>
    <w:rsid w:val="00D436B0"/>
    <w:rsid w:val="00D43EC5"/>
    <w:rsid w:val="00D44378"/>
    <w:rsid w:val="00D44C7A"/>
    <w:rsid w:val="00D44E9F"/>
    <w:rsid w:val="00D46528"/>
    <w:rsid w:val="00D47ADA"/>
    <w:rsid w:val="00D47EDA"/>
    <w:rsid w:val="00D507E7"/>
    <w:rsid w:val="00D50FD9"/>
    <w:rsid w:val="00D516BE"/>
    <w:rsid w:val="00D521CB"/>
    <w:rsid w:val="00D52596"/>
    <w:rsid w:val="00D53811"/>
    <w:rsid w:val="00D53DAE"/>
    <w:rsid w:val="00D543C1"/>
    <w:rsid w:val="00D54667"/>
    <w:rsid w:val="00D54699"/>
    <w:rsid w:val="00D5516F"/>
    <w:rsid w:val="00D554B6"/>
    <w:rsid w:val="00D564A7"/>
    <w:rsid w:val="00D566D4"/>
    <w:rsid w:val="00D604C1"/>
    <w:rsid w:val="00D62698"/>
    <w:rsid w:val="00D62831"/>
    <w:rsid w:val="00D62DC1"/>
    <w:rsid w:val="00D641AA"/>
    <w:rsid w:val="00D64AD2"/>
    <w:rsid w:val="00D656D2"/>
    <w:rsid w:val="00D65F6E"/>
    <w:rsid w:val="00D666EC"/>
    <w:rsid w:val="00D66B3E"/>
    <w:rsid w:val="00D702D2"/>
    <w:rsid w:val="00D7034F"/>
    <w:rsid w:val="00D70AD3"/>
    <w:rsid w:val="00D70DF4"/>
    <w:rsid w:val="00D71A09"/>
    <w:rsid w:val="00D71FD0"/>
    <w:rsid w:val="00D72D6A"/>
    <w:rsid w:val="00D73337"/>
    <w:rsid w:val="00D733A1"/>
    <w:rsid w:val="00D74300"/>
    <w:rsid w:val="00D75A3C"/>
    <w:rsid w:val="00D76680"/>
    <w:rsid w:val="00D802C2"/>
    <w:rsid w:val="00D80350"/>
    <w:rsid w:val="00D803BC"/>
    <w:rsid w:val="00D80A78"/>
    <w:rsid w:val="00D81D55"/>
    <w:rsid w:val="00D81F28"/>
    <w:rsid w:val="00D8253A"/>
    <w:rsid w:val="00D82FC4"/>
    <w:rsid w:val="00D83FF9"/>
    <w:rsid w:val="00D849C0"/>
    <w:rsid w:val="00D84CCA"/>
    <w:rsid w:val="00D84DBD"/>
    <w:rsid w:val="00D85988"/>
    <w:rsid w:val="00D860A8"/>
    <w:rsid w:val="00D86166"/>
    <w:rsid w:val="00D86C8B"/>
    <w:rsid w:val="00D8737F"/>
    <w:rsid w:val="00D87764"/>
    <w:rsid w:val="00D87E25"/>
    <w:rsid w:val="00D90E79"/>
    <w:rsid w:val="00D92B64"/>
    <w:rsid w:val="00D92E72"/>
    <w:rsid w:val="00D934CE"/>
    <w:rsid w:val="00D93567"/>
    <w:rsid w:val="00D93E39"/>
    <w:rsid w:val="00D940CE"/>
    <w:rsid w:val="00D94C20"/>
    <w:rsid w:val="00D95A74"/>
    <w:rsid w:val="00D96803"/>
    <w:rsid w:val="00D96A40"/>
    <w:rsid w:val="00D96B14"/>
    <w:rsid w:val="00D96F38"/>
    <w:rsid w:val="00D97978"/>
    <w:rsid w:val="00D97F13"/>
    <w:rsid w:val="00DA0A08"/>
    <w:rsid w:val="00DA0CAA"/>
    <w:rsid w:val="00DA171F"/>
    <w:rsid w:val="00DA183F"/>
    <w:rsid w:val="00DA22E7"/>
    <w:rsid w:val="00DA2E0B"/>
    <w:rsid w:val="00DA347F"/>
    <w:rsid w:val="00DA445D"/>
    <w:rsid w:val="00DA5F6F"/>
    <w:rsid w:val="00DA701D"/>
    <w:rsid w:val="00DB0890"/>
    <w:rsid w:val="00DB0B04"/>
    <w:rsid w:val="00DB2049"/>
    <w:rsid w:val="00DB2710"/>
    <w:rsid w:val="00DB32C8"/>
    <w:rsid w:val="00DB348A"/>
    <w:rsid w:val="00DB3916"/>
    <w:rsid w:val="00DB3B2C"/>
    <w:rsid w:val="00DB4416"/>
    <w:rsid w:val="00DB5405"/>
    <w:rsid w:val="00DB548B"/>
    <w:rsid w:val="00DB59BA"/>
    <w:rsid w:val="00DB689E"/>
    <w:rsid w:val="00DB751D"/>
    <w:rsid w:val="00DC0491"/>
    <w:rsid w:val="00DC09E2"/>
    <w:rsid w:val="00DC22FE"/>
    <w:rsid w:val="00DC23E3"/>
    <w:rsid w:val="00DC3596"/>
    <w:rsid w:val="00DC5559"/>
    <w:rsid w:val="00DC5BE7"/>
    <w:rsid w:val="00DC5EAF"/>
    <w:rsid w:val="00DD19FE"/>
    <w:rsid w:val="00DD203D"/>
    <w:rsid w:val="00DD216E"/>
    <w:rsid w:val="00DD2D22"/>
    <w:rsid w:val="00DD463B"/>
    <w:rsid w:val="00DD5E88"/>
    <w:rsid w:val="00DD6531"/>
    <w:rsid w:val="00DD68D0"/>
    <w:rsid w:val="00DD7BA3"/>
    <w:rsid w:val="00DE0003"/>
    <w:rsid w:val="00DE0119"/>
    <w:rsid w:val="00DE05C2"/>
    <w:rsid w:val="00DE0E79"/>
    <w:rsid w:val="00DE1CCB"/>
    <w:rsid w:val="00DE2AF3"/>
    <w:rsid w:val="00DE33BF"/>
    <w:rsid w:val="00DE3591"/>
    <w:rsid w:val="00DE4335"/>
    <w:rsid w:val="00DE47CC"/>
    <w:rsid w:val="00DE4B3D"/>
    <w:rsid w:val="00DE7027"/>
    <w:rsid w:val="00DE7B3D"/>
    <w:rsid w:val="00DF252D"/>
    <w:rsid w:val="00DF2C51"/>
    <w:rsid w:val="00DF4282"/>
    <w:rsid w:val="00DF4DB1"/>
    <w:rsid w:val="00DF4F75"/>
    <w:rsid w:val="00DF50CC"/>
    <w:rsid w:val="00DF61AF"/>
    <w:rsid w:val="00DF6F41"/>
    <w:rsid w:val="00DF79C0"/>
    <w:rsid w:val="00DF7E39"/>
    <w:rsid w:val="00E00787"/>
    <w:rsid w:val="00E00B96"/>
    <w:rsid w:val="00E00E89"/>
    <w:rsid w:val="00E010D2"/>
    <w:rsid w:val="00E01CC1"/>
    <w:rsid w:val="00E021D8"/>
    <w:rsid w:val="00E0264D"/>
    <w:rsid w:val="00E03B3D"/>
    <w:rsid w:val="00E04240"/>
    <w:rsid w:val="00E05C6B"/>
    <w:rsid w:val="00E07645"/>
    <w:rsid w:val="00E10739"/>
    <w:rsid w:val="00E10C48"/>
    <w:rsid w:val="00E10EB8"/>
    <w:rsid w:val="00E11027"/>
    <w:rsid w:val="00E118E0"/>
    <w:rsid w:val="00E12966"/>
    <w:rsid w:val="00E129DE"/>
    <w:rsid w:val="00E132C4"/>
    <w:rsid w:val="00E13C8B"/>
    <w:rsid w:val="00E14292"/>
    <w:rsid w:val="00E14BDC"/>
    <w:rsid w:val="00E14E4F"/>
    <w:rsid w:val="00E150CB"/>
    <w:rsid w:val="00E15476"/>
    <w:rsid w:val="00E15592"/>
    <w:rsid w:val="00E1563B"/>
    <w:rsid w:val="00E15721"/>
    <w:rsid w:val="00E15C7D"/>
    <w:rsid w:val="00E15ED5"/>
    <w:rsid w:val="00E16038"/>
    <w:rsid w:val="00E16041"/>
    <w:rsid w:val="00E1621C"/>
    <w:rsid w:val="00E1633B"/>
    <w:rsid w:val="00E167E1"/>
    <w:rsid w:val="00E17832"/>
    <w:rsid w:val="00E213CE"/>
    <w:rsid w:val="00E21C48"/>
    <w:rsid w:val="00E23764"/>
    <w:rsid w:val="00E24D5D"/>
    <w:rsid w:val="00E25497"/>
    <w:rsid w:val="00E25BD9"/>
    <w:rsid w:val="00E26147"/>
    <w:rsid w:val="00E263F0"/>
    <w:rsid w:val="00E2730C"/>
    <w:rsid w:val="00E3101C"/>
    <w:rsid w:val="00E31310"/>
    <w:rsid w:val="00E32479"/>
    <w:rsid w:val="00E324A0"/>
    <w:rsid w:val="00E32E2A"/>
    <w:rsid w:val="00E3342C"/>
    <w:rsid w:val="00E344DD"/>
    <w:rsid w:val="00E34D03"/>
    <w:rsid w:val="00E35D00"/>
    <w:rsid w:val="00E3666B"/>
    <w:rsid w:val="00E36952"/>
    <w:rsid w:val="00E36DE6"/>
    <w:rsid w:val="00E372B5"/>
    <w:rsid w:val="00E37C9E"/>
    <w:rsid w:val="00E40337"/>
    <w:rsid w:val="00E40635"/>
    <w:rsid w:val="00E4173E"/>
    <w:rsid w:val="00E41BE8"/>
    <w:rsid w:val="00E41D55"/>
    <w:rsid w:val="00E43350"/>
    <w:rsid w:val="00E43737"/>
    <w:rsid w:val="00E43C55"/>
    <w:rsid w:val="00E441FD"/>
    <w:rsid w:val="00E4439E"/>
    <w:rsid w:val="00E463F0"/>
    <w:rsid w:val="00E46542"/>
    <w:rsid w:val="00E508E3"/>
    <w:rsid w:val="00E5093C"/>
    <w:rsid w:val="00E50983"/>
    <w:rsid w:val="00E51198"/>
    <w:rsid w:val="00E51B1F"/>
    <w:rsid w:val="00E532C7"/>
    <w:rsid w:val="00E5493C"/>
    <w:rsid w:val="00E54E86"/>
    <w:rsid w:val="00E54F09"/>
    <w:rsid w:val="00E54F6F"/>
    <w:rsid w:val="00E5538C"/>
    <w:rsid w:val="00E55F04"/>
    <w:rsid w:val="00E56258"/>
    <w:rsid w:val="00E579B9"/>
    <w:rsid w:val="00E601E4"/>
    <w:rsid w:val="00E60723"/>
    <w:rsid w:val="00E61427"/>
    <w:rsid w:val="00E62521"/>
    <w:rsid w:val="00E637E6"/>
    <w:rsid w:val="00E63C9C"/>
    <w:rsid w:val="00E63DEB"/>
    <w:rsid w:val="00E6408C"/>
    <w:rsid w:val="00E64BDE"/>
    <w:rsid w:val="00E667F5"/>
    <w:rsid w:val="00E66862"/>
    <w:rsid w:val="00E675E5"/>
    <w:rsid w:val="00E67B51"/>
    <w:rsid w:val="00E70C9E"/>
    <w:rsid w:val="00E71481"/>
    <w:rsid w:val="00E7279F"/>
    <w:rsid w:val="00E736B1"/>
    <w:rsid w:val="00E739B8"/>
    <w:rsid w:val="00E74803"/>
    <w:rsid w:val="00E74C42"/>
    <w:rsid w:val="00E74C7F"/>
    <w:rsid w:val="00E75332"/>
    <w:rsid w:val="00E7624D"/>
    <w:rsid w:val="00E77B3E"/>
    <w:rsid w:val="00E8001E"/>
    <w:rsid w:val="00E808D0"/>
    <w:rsid w:val="00E80A7D"/>
    <w:rsid w:val="00E8251D"/>
    <w:rsid w:val="00E8490D"/>
    <w:rsid w:val="00E85B1B"/>
    <w:rsid w:val="00E86EA2"/>
    <w:rsid w:val="00E87E37"/>
    <w:rsid w:val="00E90138"/>
    <w:rsid w:val="00E92CFD"/>
    <w:rsid w:val="00E933DC"/>
    <w:rsid w:val="00E940C3"/>
    <w:rsid w:val="00E94C05"/>
    <w:rsid w:val="00E94CA0"/>
    <w:rsid w:val="00E9668E"/>
    <w:rsid w:val="00E96D42"/>
    <w:rsid w:val="00E97268"/>
    <w:rsid w:val="00E9744A"/>
    <w:rsid w:val="00E974CF"/>
    <w:rsid w:val="00E97AE2"/>
    <w:rsid w:val="00EA169B"/>
    <w:rsid w:val="00EA2012"/>
    <w:rsid w:val="00EA26A1"/>
    <w:rsid w:val="00EA32C3"/>
    <w:rsid w:val="00EA4711"/>
    <w:rsid w:val="00EA538F"/>
    <w:rsid w:val="00EA5938"/>
    <w:rsid w:val="00EA5A39"/>
    <w:rsid w:val="00EA5B35"/>
    <w:rsid w:val="00EA5BCF"/>
    <w:rsid w:val="00EA5E9F"/>
    <w:rsid w:val="00EA65EF"/>
    <w:rsid w:val="00EA6A83"/>
    <w:rsid w:val="00EA72AE"/>
    <w:rsid w:val="00EA7E15"/>
    <w:rsid w:val="00EB0191"/>
    <w:rsid w:val="00EB1612"/>
    <w:rsid w:val="00EB1B35"/>
    <w:rsid w:val="00EB249E"/>
    <w:rsid w:val="00EB492A"/>
    <w:rsid w:val="00EB52C5"/>
    <w:rsid w:val="00EB5843"/>
    <w:rsid w:val="00EB5DE7"/>
    <w:rsid w:val="00EB5E79"/>
    <w:rsid w:val="00EB6589"/>
    <w:rsid w:val="00EB761E"/>
    <w:rsid w:val="00EB7C1E"/>
    <w:rsid w:val="00EC1BCB"/>
    <w:rsid w:val="00EC1C60"/>
    <w:rsid w:val="00EC1F33"/>
    <w:rsid w:val="00EC2021"/>
    <w:rsid w:val="00EC2193"/>
    <w:rsid w:val="00EC2701"/>
    <w:rsid w:val="00EC37D2"/>
    <w:rsid w:val="00EC4D59"/>
    <w:rsid w:val="00EC53F2"/>
    <w:rsid w:val="00EC55C4"/>
    <w:rsid w:val="00EC5795"/>
    <w:rsid w:val="00ED0571"/>
    <w:rsid w:val="00ED094A"/>
    <w:rsid w:val="00ED205C"/>
    <w:rsid w:val="00ED2E0D"/>
    <w:rsid w:val="00ED7314"/>
    <w:rsid w:val="00ED7B8B"/>
    <w:rsid w:val="00EE0808"/>
    <w:rsid w:val="00EE3B17"/>
    <w:rsid w:val="00EE481C"/>
    <w:rsid w:val="00EE48F1"/>
    <w:rsid w:val="00EE4A2D"/>
    <w:rsid w:val="00EE544C"/>
    <w:rsid w:val="00EE66E6"/>
    <w:rsid w:val="00EE7A5F"/>
    <w:rsid w:val="00EF13E6"/>
    <w:rsid w:val="00EF14C9"/>
    <w:rsid w:val="00EF2ED7"/>
    <w:rsid w:val="00EF3815"/>
    <w:rsid w:val="00EF3888"/>
    <w:rsid w:val="00EF3DC1"/>
    <w:rsid w:val="00EF502A"/>
    <w:rsid w:val="00EF5055"/>
    <w:rsid w:val="00EF5967"/>
    <w:rsid w:val="00EF5A61"/>
    <w:rsid w:val="00EF63E3"/>
    <w:rsid w:val="00EF72F8"/>
    <w:rsid w:val="00EF7C44"/>
    <w:rsid w:val="00EF7CD4"/>
    <w:rsid w:val="00F01695"/>
    <w:rsid w:val="00F025AD"/>
    <w:rsid w:val="00F040C8"/>
    <w:rsid w:val="00F04B40"/>
    <w:rsid w:val="00F058C4"/>
    <w:rsid w:val="00F059D2"/>
    <w:rsid w:val="00F05BA8"/>
    <w:rsid w:val="00F073AA"/>
    <w:rsid w:val="00F0747C"/>
    <w:rsid w:val="00F07A38"/>
    <w:rsid w:val="00F07BF2"/>
    <w:rsid w:val="00F11DCA"/>
    <w:rsid w:val="00F12D1C"/>
    <w:rsid w:val="00F1593A"/>
    <w:rsid w:val="00F170C8"/>
    <w:rsid w:val="00F17823"/>
    <w:rsid w:val="00F21D4A"/>
    <w:rsid w:val="00F2303C"/>
    <w:rsid w:val="00F23074"/>
    <w:rsid w:val="00F23FDB"/>
    <w:rsid w:val="00F252C0"/>
    <w:rsid w:val="00F25C19"/>
    <w:rsid w:val="00F2607A"/>
    <w:rsid w:val="00F261AF"/>
    <w:rsid w:val="00F31F13"/>
    <w:rsid w:val="00F33C2B"/>
    <w:rsid w:val="00F3519E"/>
    <w:rsid w:val="00F35792"/>
    <w:rsid w:val="00F359B1"/>
    <w:rsid w:val="00F368EA"/>
    <w:rsid w:val="00F378C2"/>
    <w:rsid w:val="00F37BB4"/>
    <w:rsid w:val="00F40C36"/>
    <w:rsid w:val="00F418DA"/>
    <w:rsid w:val="00F42930"/>
    <w:rsid w:val="00F42B5D"/>
    <w:rsid w:val="00F42F9E"/>
    <w:rsid w:val="00F437A5"/>
    <w:rsid w:val="00F43DB2"/>
    <w:rsid w:val="00F45282"/>
    <w:rsid w:val="00F45A36"/>
    <w:rsid w:val="00F45CF8"/>
    <w:rsid w:val="00F461C7"/>
    <w:rsid w:val="00F4639C"/>
    <w:rsid w:val="00F470D1"/>
    <w:rsid w:val="00F47CE2"/>
    <w:rsid w:val="00F5223F"/>
    <w:rsid w:val="00F5250B"/>
    <w:rsid w:val="00F526F5"/>
    <w:rsid w:val="00F530DB"/>
    <w:rsid w:val="00F53ED3"/>
    <w:rsid w:val="00F5403B"/>
    <w:rsid w:val="00F54D42"/>
    <w:rsid w:val="00F56183"/>
    <w:rsid w:val="00F565E0"/>
    <w:rsid w:val="00F567DC"/>
    <w:rsid w:val="00F573F8"/>
    <w:rsid w:val="00F60173"/>
    <w:rsid w:val="00F609DC"/>
    <w:rsid w:val="00F62756"/>
    <w:rsid w:val="00F632C5"/>
    <w:rsid w:val="00F63616"/>
    <w:rsid w:val="00F636D1"/>
    <w:rsid w:val="00F643FD"/>
    <w:rsid w:val="00F64404"/>
    <w:rsid w:val="00F64F3C"/>
    <w:rsid w:val="00F656C4"/>
    <w:rsid w:val="00F657B2"/>
    <w:rsid w:val="00F65EF3"/>
    <w:rsid w:val="00F66C9B"/>
    <w:rsid w:val="00F67296"/>
    <w:rsid w:val="00F67B34"/>
    <w:rsid w:val="00F67EFB"/>
    <w:rsid w:val="00F70EDA"/>
    <w:rsid w:val="00F717DA"/>
    <w:rsid w:val="00F722D4"/>
    <w:rsid w:val="00F72439"/>
    <w:rsid w:val="00F732E4"/>
    <w:rsid w:val="00F73A36"/>
    <w:rsid w:val="00F74216"/>
    <w:rsid w:val="00F74453"/>
    <w:rsid w:val="00F76095"/>
    <w:rsid w:val="00F769E0"/>
    <w:rsid w:val="00F76DFB"/>
    <w:rsid w:val="00F7745F"/>
    <w:rsid w:val="00F777C1"/>
    <w:rsid w:val="00F77DE8"/>
    <w:rsid w:val="00F80E82"/>
    <w:rsid w:val="00F81232"/>
    <w:rsid w:val="00F8142A"/>
    <w:rsid w:val="00F81CC6"/>
    <w:rsid w:val="00F81E68"/>
    <w:rsid w:val="00F83348"/>
    <w:rsid w:val="00F83CBB"/>
    <w:rsid w:val="00F83F5F"/>
    <w:rsid w:val="00F841C3"/>
    <w:rsid w:val="00F847A8"/>
    <w:rsid w:val="00F874E5"/>
    <w:rsid w:val="00F9078F"/>
    <w:rsid w:val="00F90EC9"/>
    <w:rsid w:val="00F91152"/>
    <w:rsid w:val="00F93435"/>
    <w:rsid w:val="00F95B2D"/>
    <w:rsid w:val="00F960F6"/>
    <w:rsid w:val="00F96918"/>
    <w:rsid w:val="00F9747C"/>
    <w:rsid w:val="00F979CA"/>
    <w:rsid w:val="00FA0EBD"/>
    <w:rsid w:val="00FA13ED"/>
    <w:rsid w:val="00FA1A7B"/>
    <w:rsid w:val="00FA1DD2"/>
    <w:rsid w:val="00FA1E83"/>
    <w:rsid w:val="00FA2EC5"/>
    <w:rsid w:val="00FA4546"/>
    <w:rsid w:val="00FA4878"/>
    <w:rsid w:val="00FA504E"/>
    <w:rsid w:val="00FA5150"/>
    <w:rsid w:val="00FA6E64"/>
    <w:rsid w:val="00FB2E1D"/>
    <w:rsid w:val="00FB365C"/>
    <w:rsid w:val="00FB4843"/>
    <w:rsid w:val="00FB5B4E"/>
    <w:rsid w:val="00FB5CFD"/>
    <w:rsid w:val="00FB5F3F"/>
    <w:rsid w:val="00FB6D7A"/>
    <w:rsid w:val="00FB7313"/>
    <w:rsid w:val="00FC0A85"/>
    <w:rsid w:val="00FC0F39"/>
    <w:rsid w:val="00FC1063"/>
    <w:rsid w:val="00FC1AD5"/>
    <w:rsid w:val="00FC1D6F"/>
    <w:rsid w:val="00FC2E6C"/>
    <w:rsid w:val="00FC2FA1"/>
    <w:rsid w:val="00FC2FF6"/>
    <w:rsid w:val="00FC3171"/>
    <w:rsid w:val="00FC57AE"/>
    <w:rsid w:val="00FC5D27"/>
    <w:rsid w:val="00FC5E32"/>
    <w:rsid w:val="00FC60B4"/>
    <w:rsid w:val="00FC721E"/>
    <w:rsid w:val="00FC7502"/>
    <w:rsid w:val="00FD152A"/>
    <w:rsid w:val="00FD1851"/>
    <w:rsid w:val="00FD1D35"/>
    <w:rsid w:val="00FD3615"/>
    <w:rsid w:val="00FD3F0E"/>
    <w:rsid w:val="00FD4EB6"/>
    <w:rsid w:val="00FD564D"/>
    <w:rsid w:val="00FD571E"/>
    <w:rsid w:val="00FD6AB7"/>
    <w:rsid w:val="00FD6C2B"/>
    <w:rsid w:val="00FD712F"/>
    <w:rsid w:val="00FD76B5"/>
    <w:rsid w:val="00FD7D6D"/>
    <w:rsid w:val="00FE0656"/>
    <w:rsid w:val="00FE16B3"/>
    <w:rsid w:val="00FE369E"/>
    <w:rsid w:val="00FE3EE5"/>
    <w:rsid w:val="00FE3FAE"/>
    <w:rsid w:val="00FE4404"/>
    <w:rsid w:val="00FE4C68"/>
    <w:rsid w:val="00FE5BEC"/>
    <w:rsid w:val="00FE6B74"/>
    <w:rsid w:val="00FE6BD4"/>
    <w:rsid w:val="00FE74AD"/>
    <w:rsid w:val="00FE772F"/>
    <w:rsid w:val="00FE77E0"/>
    <w:rsid w:val="00FE79FA"/>
    <w:rsid w:val="00FE7EFC"/>
    <w:rsid w:val="00FF15D2"/>
    <w:rsid w:val="00FF19D9"/>
    <w:rsid w:val="00FF2990"/>
    <w:rsid w:val="00FF33E7"/>
    <w:rsid w:val="00FF3883"/>
    <w:rsid w:val="00FF48F5"/>
    <w:rsid w:val="00FF539D"/>
    <w:rsid w:val="00FF5443"/>
    <w:rsid w:val="00FF5CF5"/>
    <w:rsid w:val="00FF6563"/>
    <w:rsid w:val="00FF7A1B"/>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D1DEC4-57A7-410B-B903-25965768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HAnsi" w:hAnsi="Helvetica"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qFormat="1"/>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1B8"/>
  </w:style>
  <w:style w:type="paragraph" w:styleId="Heading1">
    <w:name w:val="heading 1"/>
    <w:aliases w:val="Garamond"/>
    <w:basedOn w:val="Normal"/>
    <w:next w:val="Normal"/>
    <w:link w:val="Heading1Char"/>
    <w:uiPriority w:val="9"/>
    <w:qFormat/>
    <w:rsid w:val="00C9597C"/>
    <w:pPr>
      <w:keepNext/>
      <w:keepLines/>
      <w:spacing w:line="276" w:lineRule="auto"/>
      <w:jc w:val="both"/>
      <w:outlineLvl w:val="0"/>
    </w:pPr>
    <w:rPr>
      <w:rFonts w:ascii="Garamond" w:eastAsia="Times New Roman" w:hAnsi="Garamond"/>
      <w:bCs/>
      <w:szCs w:val="28"/>
    </w:rPr>
  </w:style>
  <w:style w:type="paragraph" w:styleId="Heading2">
    <w:name w:val="heading 2"/>
    <w:basedOn w:val="Normal"/>
    <w:next w:val="Normal"/>
    <w:link w:val="Heading2Char"/>
    <w:unhideWhenUsed/>
    <w:qFormat/>
    <w:rsid w:val="00C9597C"/>
    <w:pPr>
      <w:keepNext/>
      <w:keepLines/>
      <w:spacing w:before="200" w:line="276" w:lineRule="auto"/>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unhideWhenUsed/>
    <w:qFormat/>
    <w:rsid w:val="00C9597C"/>
    <w:pPr>
      <w:keepNext/>
      <w:keepLines/>
      <w:spacing w:before="200"/>
      <w:jc w:val="both"/>
      <w:outlineLvl w:val="2"/>
    </w:pPr>
    <w:rPr>
      <w:rFonts w:ascii="Cambria" w:eastAsia="Times New Roman" w:hAnsi="Cambria"/>
      <w:b/>
      <w:bCs/>
      <w:color w:val="4F81BD"/>
    </w:rPr>
  </w:style>
  <w:style w:type="paragraph" w:styleId="Heading4">
    <w:name w:val="heading 4"/>
    <w:basedOn w:val="Normal"/>
    <w:next w:val="Normal"/>
    <w:link w:val="Heading4Char"/>
    <w:qFormat/>
    <w:rsid w:val="00C9597C"/>
    <w:pPr>
      <w:keepNext/>
      <w:keepLines/>
      <w:spacing w:before="240" w:after="40"/>
      <w:contextualSpacing/>
      <w:jc w:val="both"/>
      <w:outlineLvl w:val="3"/>
    </w:pPr>
    <w:rPr>
      <w:rFonts w:ascii="Times New Roman" w:eastAsia="Times New Roman" w:hAnsi="Times New Roman"/>
      <w:b/>
      <w:color w:val="000000"/>
      <w:lang w:val="en-IN" w:eastAsia="en-IN"/>
    </w:rPr>
  </w:style>
  <w:style w:type="paragraph" w:styleId="Heading5">
    <w:name w:val="heading 5"/>
    <w:basedOn w:val="Normal"/>
    <w:next w:val="Normal"/>
    <w:link w:val="Heading5Char"/>
    <w:qFormat/>
    <w:rsid w:val="00C9597C"/>
    <w:pPr>
      <w:spacing w:before="240" w:after="60"/>
      <w:outlineLvl w:val="4"/>
    </w:pPr>
    <w:rPr>
      <w:rFonts w:ascii="Times New Roman" w:eastAsia="Times New Roman" w:hAnsi="Times New Roman"/>
      <w:b/>
      <w:bCs/>
      <w:i/>
      <w:iCs/>
      <w:sz w:val="26"/>
      <w:szCs w:val="26"/>
      <w:lang w:val="en-US"/>
    </w:rPr>
  </w:style>
  <w:style w:type="paragraph" w:styleId="Heading6">
    <w:name w:val="heading 6"/>
    <w:basedOn w:val="Normal"/>
    <w:next w:val="Normal"/>
    <w:link w:val="Heading6Char"/>
    <w:qFormat/>
    <w:rsid w:val="00C9597C"/>
    <w:pPr>
      <w:keepNext/>
      <w:keepLines/>
      <w:spacing w:before="200" w:after="40"/>
      <w:contextualSpacing/>
      <w:jc w:val="both"/>
      <w:outlineLvl w:val="5"/>
    </w:pPr>
    <w:rPr>
      <w:rFonts w:ascii="Times New Roman" w:eastAsia="Times New Roman" w:hAnsi="Times New Roman"/>
      <w:b/>
      <w:color w:val="000000"/>
      <w:sz w:val="20"/>
      <w:szCs w:val="20"/>
      <w:lang w:val="en-IN" w:eastAsia="en-IN"/>
    </w:rPr>
  </w:style>
  <w:style w:type="paragraph" w:styleId="Heading7">
    <w:name w:val="heading 7"/>
    <w:basedOn w:val="Normal"/>
    <w:next w:val="Normal"/>
    <w:link w:val="Heading7Char"/>
    <w:qFormat/>
    <w:rsid w:val="00C9597C"/>
    <w:pPr>
      <w:spacing w:before="240" w:after="60"/>
      <w:outlineLvl w:val="6"/>
    </w:pPr>
    <w:rPr>
      <w:rFonts w:ascii="Times New Roman" w:eastAsia="Times New Roman" w:hAnsi="Times New Roman"/>
      <w:lang w:val="en-US"/>
    </w:rPr>
  </w:style>
  <w:style w:type="paragraph" w:styleId="Heading8">
    <w:name w:val="heading 8"/>
    <w:basedOn w:val="Normal"/>
    <w:next w:val="Normal"/>
    <w:uiPriority w:val="9"/>
    <w:unhideWhenUsed/>
    <w:qFormat/>
    <w:rsid w:val="003F3A95"/>
    <w:pPr>
      <w:tabs>
        <w:tab w:val="left" w:pos="5760"/>
      </w:tabs>
      <w:spacing w:before="240" w:after="60" w:line="259" w:lineRule="auto"/>
      <w:ind w:left="5760" w:hanging="720"/>
      <w:outlineLvl w:val="7"/>
    </w:pPr>
    <w:rPr>
      <w:rFonts w:asciiTheme="minorHAnsi" w:eastAsiaTheme="minorEastAsia" w:hAnsiTheme="minorHAnsi" w:cstheme="minorBidi"/>
      <w:i/>
      <w:iCs/>
      <w:lang w:val="en-US"/>
    </w:rPr>
  </w:style>
  <w:style w:type="paragraph" w:styleId="Heading9">
    <w:name w:val="heading 9"/>
    <w:basedOn w:val="Normal"/>
    <w:next w:val="Normal"/>
    <w:uiPriority w:val="9"/>
    <w:unhideWhenUsed/>
    <w:qFormat/>
    <w:rsid w:val="003F3A95"/>
    <w:pPr>
      <w:tabs>
        <w:tab w:val="left" w:pos="6480"/>
      </w:tabs>
      <w:spacing w:before="240" w:after="60" w:line="259" w:lineRule="auto"/>
      <w:ind w:left="6480" w:hanging="720"/>
      <w:outlineLvl w:val="8"/>
    </w:pPr>
    <w:rPr>
      <w:rFonts w:asciiTheme="majorHAnsi" w:eastAsiaTheme="majorEastAsia" w:hAnsiTheme="majorHAnsi" w:cstheme="maj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aramond Char"/>
    <w:basedOn w:val="DefaultParagraphFont"/>
    <w:link w:val="Heading1"/>
    <w:uiPriority w:val="9"/>
    <w:qFormat/>
    <w:rsid w:val="00C9597C"/>
    <w:rPr>
      <w:rFonts w:ascii="Garamond" w:eastAsia="Times New Roman" w:hAnsi="Garamond"/>
      <w:bCs/>
      <w:szCs w:val="28"/>
    </w:rPr>
  </w:style>
  <w:style w:type="character" w:customStyle="1" w:styleId="Heading2Char">
    <w:name w:val="Heading 2 Char"/>
    <w:basedOn w:val="DefaultParagraphFont"/>
    <w:link w:val="Heading2"/>
    <w:rsid w:val="00C9597C"/>
    <w:rPr>
      <w:rFonts w:ascii="Cambria" w:eastAsia="Times New Roman" w:hAnsi="Cambria"/>
      <w:b/>
      <w:bCs/>
      <w:color w:val="4F81BD"/>
      <w:sz w:val="26"/>
      <w:szCs w:val="26"/>
      <w:lang w:val="en-US"/>
    </w:rPr>
  </w:style>
  <w:style w:type="character" w:customStyle="1" w:styleId="Heading3Char">
    <w:name w:val="Heading 3 Char"/>
    <w:basedOn w:val="DefaultParagraphFont"/>
    <w:link w:val="Heading3"/>
    <w:qFormat/>
    <w:rsid w:val="00C9597C"/>
    <w:rPr>
      <w:rFonts w:ascii="Cambria" w:eastAsia="Times New Roman" w:hAnsi="Cambria"/>
      <w:b/>
      <w:bCs/>
      <w:color w:val="4F81BD"/>
    </w:rPr>
  </w:style>
  <w:style w:type="character" w:customStyle="1" w:styleId="Heading4Char">
    <w:name w:val="Heading 4 Char"/>
    <w:basedOn w:val="DefaultParagraphFont"/>
    <w:link w:val="Heading4"/>
    <w:rsid w:val="00C9597C"/>
    <w:rPr>
      <w:rFonts w:ascii="Times New Roman" w:eastAsia="Times New Roman" w:hAnsi="Times New Roman"/>
      <w:b/>
      <w:color w:val="000000"/>
      <w:lang w:val="en-IN" w:eastAsia="en-IN"/>
    </w:rPr>
  </w:style>
  <w:style w:type="character" w:customStyle="1" w:styleId="Heading5Char">
    <w:name w:val="Heading 5 Char"/>
    <w:basedOn w:val="DefaultParagraphFont"/>
    <w:link w:val="Heading5"/>
    <w:rsid w:val="00C9597C"/>
    <w:rPr>
      <w:rFonts w:ascii="Times New Roman" w:eastAsia="Times New Roman" w:hAnsi="Times New Roman"/>
      <w:b/>
      <w:bCs/>
      <w:i/>
      <w:iCs/>
      <w:sz w:val="26"/>
      <w:szCs w:val="26"/>
      <w:lang w:val="en-US"/>
    </w:rPr>
  </w:style>
  <w:style w:type="character" w:customStyle="1" w:styleId="Heading6Char">
    <w:name w:val="Heading 6 Char"/>
    <w:basedOn w:val="DefaultParagraphFont"/>
    <w:link w:val="Heading6"/>
    <w:rsid w:val="00C9597C"/>
    <w:rPr>
      <w:rFonts w:ascii="Times New Roman" w:eastAsia="Times New Roman" w:hAnsi="Times New Roman"/>
      <w:b/>
      <w:color w:val="000000"/>
      <w:sz w:val="20"/>
      <w:szCs w:val="20"/>
      <w:lang w:val="en-IN" w:eastAsia="en-IN"/>
    </w:rPr>
  </w:style>
  <w:style w:type="character" w:customStyle="1" w:styleId="Heading7Char">
    <w:name w:val="Heading 7 Char"/>
    <w:basedOn w:val="DefaultParagraphFont"/>
    <w:link w:val="Heading7"/>
    <w:qFormat/>
    <w:rsid w:val="00C9597C"/>
    <w:rPr>
      <w:rFonts w:ascii="Times New Roman" w:eastAsia="Times New Roman" w:hAnsi="Times New Roman"/>
      <w:lang w:val="en-US"/>
    </w:rPr>
  </w:style>
  <w:style w:type="paragraph" w:styleId="ListParagraph">
    <w:name w:val="List Paragraph"/>
    <w:aliases w:val="lp1,elenco,Equipment,Figure_name,List Paragraph Char Char,List Paragraph1,List Paragraph11,List Paragraph2,List_TIS,Normal Sentence,Number_1,Numbered Indented Text,Ref,SGLText List Paragraph,TOC style,new,Amex_bullet,ListPar1,d_bodyb,L,3"/>
    <w:basedOn w:val="Normal"/>
    <w:link w:val="ListParagraphChar"/>
    <w:uiPriority w:val="34"/>
    <w:qFormat/>
    <w:rsid w:val="00C9597C"/>
    <w:pPr>
      <w:spacing w:after="200" w:line="276" w:lineRule="auto"/>
      <w:ind w:left="720"/>
      <w:contextualSpacing/>
    </w:pPr>
    <w:rPr>
      <w:rFonts w:ascii="Calibri" w:eastAsia="Calibri" w:hAnsi="Calibri"/>
      <w:sz w:val="20"/>
      <w:szCs w:val="20"/>
      <w:lang w:val="en-US"/>
    </w:rPr>
  </w:style>
  <w:style w:type="paragraph" w:customStyle="1" w:styleId="Default">
    <w:name w:val="Default"/>
    <w:rsid w:val="00C9597C"/>
    <w:pPr>
      <w:autoSpaceDE w:val="0"/>
      <w:autoSpaceDN w:val="0"/>
      <w:adjustRightInd w:val="0"/>
    </w:pPr>
    <w:rPr>
      <w:rFonts w:ascii="Arial" w:eastAsia="Calibri" w:hAnsi="Arial" w:cs="Arial"/>
      <w:color w:val="000000"/>
      <w:lang w:val="en-US"/>
    </w:rPr>
  </w:style>
  <w:style w:type="paragraph" w:styleId="BalloonText">
    <w:name w:val="Balloon Text"/>
    <w:basedOn w:val="Normal"/>
    <w:link w:val="BalloonTextChar"/>
    <w:uiPriority w:val="99"/>
    <w:unhideWhenUsed/>
    <w:qFormat/>
    <w:rsid w:val="00C9597C"/>
    <w:rPr>
      <w:rFonts w:ascii="Tahoma" w:eastAsia="Calibri" w:hAnsi="Tahoma"/>
      <w:sz w:val="16"/>
      <w:szCs w:val="16"/>
      <w:lang w:val="en-US"/>
    </w:rPr>
  </w:style>
  <w:style w:type="character" w:customStyle="1" w:styleId="BalloonTextChar">
    <w:name w:val="Balloon Text Char"/>
    <w:basedOn w:val="DefaultParagraphFont"/>
    <w:link w:val="BalloonText"/>
    <w:uiPriority w:val="99"/>
    <w:rsid w:val="00C9597C"/>
    <w:rPr>
      <w:rFonts w:ascii="Tahoma" w:eastAsia="Calibri" w:hAnsi="Tahoma"/>
      <w:sz w:val="16"/>
      <w:szCs w:val="16"/>
      <w:lang w:val="en-US"/>
    </w:rPr>
  </w:style>
  <w:style w:type="paragraph" w:styleId="Title">
    <w:name w:val="Title"/>
    <w:basedOn w:val="Normal"/>
    <w:link w:val="TitleChar"/>
    <w:qFormat/>
    <w:rsid w:val="00C9597C"/>
    <w:pPr>
      <w:jc w:val="center"/>
    </w:pPr>
    <w:rPr>
      <w:rFonts w:ascii="Times New Roman" w:eastAsia="Times New Roman" w:hAnsi="Times New Roman"/>
      <w:b/>
      <w:u w:val="single"/>
      <w:lang w:val="en-US"/>
    </w:rPr>
  </w:style>
  <w:style w:type="character" w:customStyle="1" w:styleId="TitleChar">
    <w:name w:val="Title Char"/>
    <w:basedOn w:val="DefaultParagraphFont"/>
    <w:link w:val="Title"/>
    <w:rsid w:val="00C9597C"/>
    <w:rPr>
      <w:rFonts w:ascii="Times New Roman" w:eastAsia="Times New Roman" w:hAnsi="Times New Roman"/>
      <w:b/>
      <w:u w:val="single"/>
      <w:lang w:val="en-US"/>
    </w:rPr>
  </w:style>
  <w:style w:type="paragraph" w:styleId="Header">
    <w:name w:val="header"/>
    <w:basedOn w:val="Normal"/>
    <w:link w:val="HeaderChar"/>
    <w:uiPriority w:val="99"/>
    <w:qFormat/>
    <w:rsid w:val="00C9597C"/>
    <w:pPr>
      <w:tabs>
        <w:tab w:val="center" w:pos="4320"/>
        <w:tab w:val="right" w:pos="8640"/>
      </w:tabs>
    </w:pPr>
    <w:rPr>
      <w:rFonts w:ascii="Times New Roman" w:eastAsia="Times New Roman" w:hAnsi="Times New Roman"/>
      <w:szCs w:val="20"/>
      <w:lang w:val="en-US"/>
    </w:rPr>
  </w:style>
  <w:style w:type="character" w:customStyle="1" w:styleId="HeaderChar">
    <w:name w:val="Header Char"/>
    <w:basedOn w:val="DefaultParagraphFont"/>
    <w:link w:val="Header"/>
    <w:uiPriority w:val="99"/>
    <w:rsid w:val="00C9597C"/>
    <w:rPr>
      <w:rFonts w:ascii="Times New Roman" w:eastAsia="Times New Roman" w:hAnsi="Times New Roman"/>
      <w:szCs w:val="20"/>
      <w:lang w:val="en-US"/>
    </w:rPr>
  </w:style>
  <w:style w:type="paragraph" w:styleId="NoSpacing">
    <w:name w:val="No Spacing"/>
    <w:link w:val="NoSpacingChar"/>
    <w:uiPriority w:val="1"/>
    <w:qFormat/>
    <w:rsid w:val="00C9597C"/>
    <w:rPr>
      <w:rFonts w:ascii="Calibri" w:eastAsia="Calibri" w:hAnsi="Calibri"/>
      <w:sz w:val="22"/>
      <w:szCs w:val="22"/>
      <w:lang w:val="en-US"/>
    </w:rPr>
  </w:style>
  <w:style w:type="character" w:customStyle="1" w:styleId="NoSpacingChar">
    <w:name w:val="No Spacing Char"/>
    <w:link w:val="NoSpacing"/>
    <w:uiPriority w:val="1"/>
    <w:rsid w:val="00C9597C"/>
    <w:rPr>
      <w:rFonts w:ascii="Calibri" w:eastAsia="Calibri" w:hAnsi="Calibri"/>
      <w:sz w:val="22"/>
      <w:szCs w:val="22"/>
      <w:lang w:val="en-US"/>
    </w:rPr>
  </w:style>
  <w:style w:type="character" w:customStyle="1" w:styleId="apple-style-span">
    <w:name w:val="apple-style-span"/>
    <w:basedOn w:val="DefaultParagraphFont"/>
    <w:rsid w:val="00C9597C"/>
  </w:style>
  <w:style w:type="character" w:customStyle="1" w:styleId="apple-converted-space">
    <w:name w:val="apple-converted-space"/>
    <w:basedOn w:val="DefaultParagraphFont"/>
    <w:rsid w:val="00C9597C"/>
  </w:style>
  <w:style w:type="character" w:styleId="Strong">
    <w:name w:val="Strong"/>
    <w:uiPriority w:val="22"/>
    <w:qFormat/>
    <w:rsid w:val="00C9597C"/>
    <w:rPr>
      <w:b/>
      <w:bCs/>
    </w:rPr>
  </w:style>
  <w:style w:type="paragraph" w:styleId="Caption">
    <w:name w:val="caption"/>
    <w:basedOn w:val="Normal"/>
    <w:next w:val="Normal"/>
    <w:uiPriority w:val="35"/>
    <w:unhideWhenUsed/>
    <w:qFormat/>
    <w:rsid w:val="00C9597C"/>
    <w:pPr>
      <w:spacing w:after="200"/>
    </w:pPr>
    <w:rPr>
      <w:rFonts w:ascii="Calibri" w:eastAsia="Calibri" w:hAnsi="Calibri"/>
      <w:b/>
      <w:bCs/>
      <w:color w:val="4F81BD"/>
      <w:sz w:val="18"/>
      <w:szCs w:val="18"/>
      <w:lang w:val="en-US"/>
    </w:rPr>
  </w:style>
  <w:style w:type="paragraph" w:customStyle="1" w:styleId="CM10">
    <w:name w:val="CM10"/>
    <w:basedOn w:val="Default"/>
    <w:next w:val="Default"/>
    <w:uiPriority w:val="99"/>
    <w:rsid w:val="00C9597C"/>
    <w:pPr>
      <w:widowControl w:val="0"/>
      <w:spacing w:after="268"/>
    </w:pPr>
    <w:rPr>
      <w:rFonts w:ascii="AWCDV-Prakash" w:eastAsia="Times New Roman" w:hAnsi="AWCDV-Prakash" w:cs="Times New Roman"/>
      <w:color w:val="auto"/>
    </w:rPr>
  </w:style>
  <w:style w:type="paragraph" w:customStyle="1" w:styleId="CM4">
    <w:name w:val="CM4"/>
    <w:basedOn w:val="Default"/>
    <w:next w:val="Default"/>
    <w:uiPriority w:val="99"/>
    <w:rsid w:val="00C9597C"/>
    <w:pPr>
      <w:widowControl w:val="0"/>
      <w:spacing w:line="391" w:lineRule="atLeast"/>
    </w:pPr>
    <w:rPr>
      <w:rFonts w:ascii="AWCDV-Prakash" w:eastAsia="Times New Roman" w:hAnsi="AWCDV-Prakash" w:cs="Times New Roman"/>
      <w:color w:val="auto"/>
    </w:rPr>
  </w:style>
  <w:style w:type="paragraph" w:customStyle="1" w:styleId="CM14">
    <w:name w:val="CM14"/>
    <w:basedOn w:val="Default"/>
    <w:next w:val="Default"/>
    <w:uiPriority w:val="99"/>
    <w:rsid w:val="00C9597C"/>
    <w:pPr>
      <w:widowControl w:val="0"/>
      <w:spacing w:after="128"/>
    </w:pPr>
    <w:rPr>
      <w:rFonts w:ascii="AWCDV-Prakash" w:eastAsia="Times New Roman" w:hAnsi="AWCDV-Prakash" w:cs="Times New Roman"/>
      <w:color w:val="auto"/>
    </w:rPr>
  </w:style>
  <w:style w:type="paragraph" w:customStyle="1" w:styleId="CM6">
    <w:name w:val="CM6"/>
    <w:basedOn w:val="Default"/>
    <w:next w:val="Default"/>
    <w:uiPriority w:val="99"/>
    <w:rsid w:val="00C9597C"/>
    <w:pPr>
      <w:widowControl w:val="0"/>
      <w:spacing w:line="391" w:lineRule="atLeast"/>
    </w:pPr>
    <w:rPr>
      <w:rFonts w:ascii="AWCDV-Prakash" w:eastAsia="Times New Roman" w:hAnsi="AWCDV-Prakash" w:cs="Times New Roman"/>
      <w:color w:val="auto"/>
    </w:rPr>
  </w:style>
  <w:style w:type="paragraph" w:customStyle="1" w:styleId="CM8">
    <w:name w:val="CM8"/>
    <w:basedOn w:val="Default"/>
    <w:next w:val="Default"/>
    <w:uiPriority w:val="99"/>
    <w:rsid w:val="00C9597C"/>
    <w:pPr>
      <w:widowControl w:val="0"/>
      <w:spacing w:line="391" w:lineRule="atLeast"/>
    </w:pPr>
    <w:rPr>
      <w:rFonts w:ascii="AWCDV-Prakash" w:eastAsia="Times New Roman" w:hAnsi="AWCDV-Prakash" w:cs="Times New Roman"/>
      <w:color w:val="auto"/>
    </w:rPr>
  </w:style>
  <w:style w:type="paragraph" w:styleId="NormalWeb">
    <w:name w:val="Normal (Web)"/>
    <w:basedOn w:val="Normal"/>
    <w:uiPriority w:val="99"/>
    <w:qFormat/>
    <w:rsid w:val="00C9597C"/>
    <w:pPr>
      <w:spacing w:before="100" w:beforeAutospacing="1" w:after="100" w:afterAutospacing="1"/>
    </w:pPr>
    <w:rPr>
      <w:rFonts w:ascii="Times New Roman" w:eastAsia="Times New Roman" w:hAnsi="Times New Roman"/>
      <w:lang w:val="en-US"/>
    </w:rPr>
  </w:style>
  <w:style w:type="character" w:styleId="Emphasis">
    <w:name w:val="Emphasis"/>
    <w:uiPriority w:val="20"/>
    <w:qFormat/>
    <w:rsid w:val="00C9597C"/>
    <w:rPr>
      <w:i/>
      <w:iCs/>
    </w:rPr>
  </w:style>
  <w:style w:type="character" w:styleId="Hyperlink">
    <w:name w:val="Hyperlink"/>
    <w:uiPriority w:val="99"/>
    <w:unhideWhenUsed/>
    <w:rsid w:val="00C9597C"/>
    <w:rPr>
      <w:color w:val="0000FF"/>
      <w:u w:val="single"/>
    </w:rPr>
  </w:style>
  <w:style w:type="paragraph" w:styleId="Footer">
    <w:name w:val="footer"/>
    <w:basedOn w:val="Normal"/>
    <w:link w:val="FooterChar"/>
    <w:uiPriority w:val="99"/>
    <w:unhideWhenUsed/>
    <w:qFormat/>
    <w:rsid w:val="00C9597C"/>
    <w:pPr>
      <w:tabs>
        <w:tab w:val="center" w:pos="4680"/>
        <w:tab w:val="right" w:pos="9360"/>
      </w:tabs>
    </w:pPr>
    <w:rPr>
      <w:rFonts w:ascii="Calibri" w:eastAsia="Calibri" w:hAnsi="Calibri"/>
      <w:sz w:val="20"/>
      <w:szCs w:val="20"/>
      <w:lang w:val="en-US"/>
    </w:rPr>
  </w:style>
  <w:style w:type="character" w:customStyle="1" w:styleId="FooterChar">
    <w:name w:val="Footer Char"/>
    <w:basedOn w:val="DefaultParagraphFont"/>
    <w:link w:val="Footer"/>
    <w:uiPriority w:val="99"/>
    <w:rsid w:val="00C9597C"/>
    <w:rPr>
      <w:rFonts w:ascii="Calibri" w:eastAsia="Calibri" w:hAnsi="Calibri"/>
      <w:sz w:val="20"/>
      <w:szCs w:val="20"/>
      <w:lang w:val="en-US"/>
    </w:rPr>
  </w:style>
  <w:style w:type="table" w:styleId="TableGrid">
    <w:name w:val="Table Grid"/>
    <w:basedOn w:val="TableNormal"/>
    <w:uiPriority w:val="5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unhideWhenUsed/>
    <w:qFormat/>
    <w:rsid w:val="00C9597C"/>
    <w:rPr>
      <w:rFonts w:ascii="Calibri" w:eastAsia="Calibri" w:hAnsi="Calibri"/>
      <w:sz w:val="20"/>
      <w:szCs w:val="20"/>
      <w:lang w:val="en-US"/>
    </w:rPr>
  </w:style>
  <w:style w:type="character" w:customStyle="1" w:styleId="EndnoteTextChar">
    <w:name w:val="Endnote Text Char"/>
    <w:basedOn w:val="DefaultParagraphFont"/>
    <w:link w:val="EndnoteText"/>
    <w:uiPriority w:val="99"/>
    <w:rsid w:val="00C9597C"/>
    <w:rPr>
      <w:rFonts w:ascii="Calibri" w:eastAsia="Calibri" w:hAnsi="Calibri"/>
      <w:sz w:val="20"/>
      <w:szCs w:val="20"/>
      <w:lang w:val="en-US"/>
    </w:rPr>
  </w:style>
  <w:style w:type="character" w:styleId="EndnoteReference">
    <w:name w:val="endnote reference"/>
    <w:uiPriority w:val="99"/>
    <w:unhideWhenUsed/>
    <w:qFormat/>
    <w:rsid w:val="00C9597C"/>
    <w:rPr>
      <w:vertAlign w:val="superscript"/>
    </w:rPr>
  </w:style>
  <w:style w:type="paragraph" w:styleId="FootnoteText">
    <w:name w:val="footnote text"/>
    <w:basedOn w:val="Normal"/>
    <w:link w:val="FootnoteTextChar"/>
    <w:uiPriority w:val="99"/>
    <w:unhideWhenUsed/>
    <w:qFormat/>
    <w:rsid w:val="00C9597C"/>
    <w:rPr>
      <w:rFonts w:ascii="Calibri" w:eastAsia="Calibri" w:hAnsi="Calibri"/>
      <w:sz w:val="20"/>
      <w:szCs w:val="20"/>
      <w:lang w:val="en-US"/>
    </w:rPr>
  </w:style>
  <w:style w:type="character" w:customStyle="1" w:styleId="FootnoteTextChar">
    <w:name w:val="Footnote Text Char"/>
    <w:basedOn w:val="DefaultParagraphFont"/>
    <w:link w:val="FootnoteText"/>
    <w:uiPriority w:val="99"/>
    <w:rsid w:val="00C9597C"/>
    <w:rPr>
      <w:rFonts w:ascii="Calibri" w:eastAsia="Calibri" w:hAnsi="Calibri"/>
      <w:sz w:val="20"/>
      <w:szCs w:val="20"/>
      <w:lang w:val="en-US"/>
    </w:rPr>
  </w:style>
  <w:style w:type="character" w:styleId="FootnoteReference">
    <w:name w:val="footnote reference"/>
    <w:uiPriority w:val="99"/>
    <w:unhideWhenUsed/>
    <w:rsid w:val="00C9597C"/>
    <w:rPr>
      <w:vertAlign w:val="superscript"/>
    </w:rPr>
  </w:style>
  <w:style w:type="character" w:customStyle="1" w:styleId="spelle">
    <w:name w:val="spelle"/>
    <w:basedOn w:val="DefaultParagraphFont"/>
    <w:rsid w:val="00C9597C"/>
  </w:style>
  <w:style w:type="character" w:customStyle="1" w:styleId="grame">
    <w:name w:val="grame"/>
    <w:basedOn w:val="DefaultParagraphFont"/>
    <w:rsid w:val="00C9597C"/>
  </w:style>
  <w:style w:type="paragraph" w:styleId="BodyTextIndent">
    <w:name w:val="Body Text Indent"/>
    <w:basedOn w:val="Normal"/>
    <w:link w:val="BodyTextIndentChar"/>
    <w:uiPriority w:val="99"/>
    <w:unhideWhenUsed/>
    <w:qFormat/>
    <w:rsid w:val="00C9597C"/>
    <w:pPr>
      <w:spacing w:before="100" w:beforeAutospacing="1" w:after="100" w:afterAutospacing="1"/>
    </w:pPr>
    <w:rPr>
      <w:rFonts w:ascii="Times New Roman" w:eastAsia="Times New Roman" w:hAnsi="Times New Roman"/>
      <w:lang w:val="en-US"/>
    </w:rPr>
  </w:style>
  <w:style w:type="character" w:customStyle="1" w:styleId="BodyTextIndentChar">
    <w:name w:val="Body Text Indent Char"/>
    <w:basedOn w:val="DefaultParagraphFont"/>
    <w:link w:val="BodyTextIndent"/>
    <w:uiPriority w:val="99"/>
    <w:rsid w:val="00C9597C"/>
    <w:rPr>
      <w:rFonts w:ascii="Times New Roman" w:eastAsia="Times New Roman" w:hAnsi="Times New Roman"/>
      <w:lang w:val="en-US"/>
    </w:rPr>
  </w:style>
  <w:style w:type="paragraph" w:customStyle="1" w:styleId="listparagraph0">
    <w:name w:val="listparagraph"/>
    <w:basedOn w:val="Normal"/>
    <w:rsid w:val="00C9597C"/>
    <w:pPr>
      <w:spacing w:before="100" w:beforeAutospacing="1" w:after="100" w:afterAutospacing="1"/>
    </w:pPr>
    <w:rPr>
      <w:rFonts w:ascii="Times New Roman" w:eastAsia="Times New Roman" w:hAnsi="Times New Roman"/>
      <w:lang w:val="en-US"/>
    </w:rPr>
  </w:style>
  <w:style w:type="paragraph" w:customStyle="1" w:styleId="listparagraphcxspmiddle">
    <w:name w:val="listparagraphcxspmiddle"/>
    <w:basedOn w:val="Normal"/>
    <w:rsid w:val="00C9597C"/>
    <w:pPr>
      <w:spacing w:before="100" w:beforeAutospacing="1" w:after="100" w:afterAutospacing="1"/>
    </w:pPr>
    <w:rPr>
      <w:rFonts w:ascii="Times New Roman" w:eastAsia="Times New Roman" w:hAnsi="Times New Roman"/>
      <w:lang w:val="en-US"/>
    </w:rPr>
  </w:style>
  <w:style w:type="paragraph" w:customStyle="1" w:styleId="listparagraphcxsplast">
    <w:name w:val="listparagraphcxsplast"/>
    <w:basedOn w:val="Normal"/>
    <w:rsid w:val="00C9597C"/>
    <w:pPr>
      <w:spacing w:before="100" w:beforeAutospacing="1" w:after="100" w:afterAutospacing="1"/>
    </w:pPr>
    <w:rPr>
      <w:rFonts w:ascii="Times New Roman" w:eastAsia="Times New Roman" w:hAnsi="Times New Roman"/>
      <w:lang w:val="en-US"/>
    </w:rPr>
  </w:style>
  <w:style w:type="paragraph" w:customStyle="1" w:styleId="style3">
    <w:name w:val="style3"/>
    <w:basedOn w:val="Normal"/>
    <w:rsid w:val="00C9597C"/>
    <w:pPr>
      <w:spacing w:before="100" w:beforeAutospacing="1" w:after="100" w:afterAutospacing="1"/>
    </w:pPr>
    <w:rPr>
      <w:rFonts w:ascii="Arial" w:eastAsia="Times New Roman" w:hAnsi="Arial" w:cs="Arial"/>
      <w:sz w:val="21"/>
      <w:szCs w:val="21"/>
      <w:lang w:val="en-US"/>
    </w:rPr>
  </w:style>
  <w:style w:type="paragraph" w:customStyle="1" w:styleId="style15">
    <w:name w:val="style15"/>
    <w:basedOn w:val="Normal"/>
    <w:rsid w:val="00C9597C"/>
    <w:pPr>
      <w:spacing w:before="100" w:beforeAutospacing="1" w:after="100" w:afterAutospacing="1"/>
    </w:pPr>
    <w:rPr>
      <w:rFonts w:ascii="Arial" w:eastAsia="Times New Roman" w:hAnsi="Arial" w:cs="Arial"/>
      <w:sz w:val="23"/>
      <w:szCs w:val="23"/>
      <w:lang w:val="en-US"/>
    </w:rPr>
  </w:style>
  <w:style w:type="character" w:styleId="FollowedHyperlink">
    <w:name w:val="FollowedHyperlink"/>
    <w:uiPriority w:val="99"/>
    <w:unhideWhenUsed/>
    <w:rsid w:val="00C9597C"/>
    <w:rPr>
      <w:color w:val="800080"/>
      <w:u w:val="single"/>
    </w:rPr>
  </w:style>
  <w:style w:type="character" w:customStyle="1" w:styleId="style151">
    <w:name w:val="style151"/>
    <w:rsid w:val="00C9597C"/>
    <w:rPr>
      <w:rFonts w:ascii="Arial" w:hAnsi="Arial" w:cs="Arial" w:hint="default"/>
      <w:sz w:val="23"/>
      <w:szCs w:val="23"/>
    </w:rPr>
  </w:style>
  <w:style w:type="paragraph" w:customStyle="1" w:styleId="style17">
    <w:name w:val="style17"/>
    <w:basedOn w:val="Normal"/>
    <w:rsid w:val="00C9597C"/>
    <w:pPr>
      <w:spacing w:before="100" w:beforeAutospacing="1" w:after="100" w:afterAutospacing="1"/>
    </w:pPr>
    <w:rPr>
      <w:rFonts w:ascii="Arial" w:eastAsia="Times New Roman" w:hAnsi="Arial" w:cs="Arial"/>
      <w:sz w:val="27"/>
      <w:szCs w:val="27"/>
      <w:lang w:val="en-US"/>
    </w:rPr>
  </w:style>
  <w:style w:type="character" w:customStyle="1" w:styleId="style171">
    <w:name w:val="style171"/>
    <w:rsid w:val="00C9597C"/>
    <w:rPr>
      <w:rFonts w:ascii="Arial" w:hAnsi="Arial" w:cs="Arial" w:hint="default"/>
      <w:sz w:val="27"/>
      <w:szCs w:val="27"/>
    </w:rPr>
  </w:style>
  <w:style w:type="character" w:customStyle="1" w:styleId="style141">
    <w:name w:val="style141"/>
    <w:rsid w:val="00C9597C"/>
    <w:rPr>
      <w:rFonts w:ascii="Arial" w:hAnsi="Arial" w:cs="Arial" w:hint="default"/>
      <w:sz w:val="27"/>
      <w:szCs w:val="27"/>
    </w:rPr>
  </w:style>
  <w:style w:type="character" w:customStyle="1" w:styleId="style161">
    <w:name w:val="style161"/>
    <w:rsid w:val="00C9597C"/>
    <w:rPr>
      <w:color w:val="000000"/>
    </w:rPr>
  </w:style>
  <w:style w:type="paragraph" w:customStyle="1" w:styleId="style22">
    <w:name w:val="style22"/>
    <w:basedOn w:val="Normal"/>
    <w:rsid w:val="00C9597C"/>
    <w:pPr>
      <w:spacing w:before="100" w:beforeAutospacing="1" w:after="100" w:afterAutospacing="1"/>
    </w:pPr>
    <w:rPr>
      <w:rFonts w:ascii="Arial" w:eastAsia="Times New Roman" w:hAnsi="Arial" w:cs="Arial"/>
      <w:sz w:val="22"/>
      <w:szCs w:val="22"/>
      <w:lang w:val="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C9597C"/>
    <w:pPr>
      <w:spacing w:after="160" w:line="240" w:lineRule="exact"/>
    </w:pPr>
    <w:rPr>
      <w:rFonts w:ascii="Verdana" w:eastAsia="Times New Roman" w:hAnsi="Verdana"/>
      <w:sz w:val="20"/>
      <w:szCs w:val="20"/>
      <w:lang w:val="en-US"/>
    </w:rPr>
  </w:style>
  <w:style w:type="character" w:customStyle="1" w:styleId="style221">
    <w:name w:val="style221"/>
    <w:rsid w:val="00C9597C"/>
    <w:rPr>
      <w:rFonts w:ascii="Arial" w:hAnsi="Arial" w:cs="Arial" w:hint="default"/>
      <w:sz w:val="22"/>
      <w:szCs w:val="22"/>
    </w:rPr>
  </w:style>
  <w:style w:type="paragraph" w:customStyle="1" w:styleId="style32">
    <w:name w:val="style32"/>
    <w:basedOn w:val="Normal"/>
    <w:rsid w:val="00C9597C"/>
    <w:pPr>
      <w:spacing w:before="100" w:beforeAutospacing="1" w:after="100" w:afterAutospacing="1"/>
    </w:pPr>
    <w:rPr>
      <w:rFonts w:ascii="Arial" w:eastAsia="Times New Roman" w:hAnsi="Arial" w:cs="Arial"/>
      <w:lang w:val="en-US"/>
    </w:rPr>
  </w:style>
  <w:style w:type="character" w:customStyle="1" w:styleId="style311">
    <w:name w:val="style311"/>
    <w:qFormat/>
    <w:rsid w:val="00C9597C"/>
    <w:rPr>
      <w:sz w:val="24"/>
      <w:szCs w:val="24"/>
    </w:rPr>
  </w:style>
  <w:style w:type="character" w:customStyle="1" w:styleId="style331">
    <w:name w:val="style331"/>
    <w:rsid w:val="00C9597C"/>
    <w:rPr>
      <w:rFonts w:ascii="Calibri" w:hAnsi="Calibri" w:cs="Calibri" w:hint="default"/>
      <w:sz w:val="27"/>
      <w:szCs w:val="27"/>
    </w:rPr>
  </w:style>
  <w:style w:type="character" w:customStyle="1" w:styleId="style31">
    <w:name w:val="style31"/>
    <w:basedOn w:val="DefaultParagraphFont"/>
    <w:rsid w:val="00C9597C"/>
  </w:style>
  <w:style w:type="character" w:customStyle="1" w:styleId="style37">
    <w:name w:val="style37"/>
    <w:basedOn w:val="DefaultParagraphFont"/>
    <w:rsid w:val="00C9597C"/>
  </w:style>
  <w:style w:type="table" w:styleId="MediumGrid3-Accent1">
    <w:name w:val="Medium Grid 3 Accent 1"/>
    <w:basedOn w:val="TableNormal"/>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body">
    <w:name w:val="body"/>
    <w:basedOn w:val="Normal"/>
    <w:rsid w:val="00C9597C"/>
    <w:pPr>
      <w:spacing w:before="100" w:beforeAutospacing="1" w:after="100" w:afterAutospacing="1"/>
      <w:jc w:val="both"/>
    </w:pPr>
    <w:rPr>
      <w:rFonts w:ascii="Times New Roman" w:eastAsia="Times New Roman" w:hAnsi="Times New Roman"/>
      <w:lang w:eastAsia="en-GB"/>
    </w:rPr>
  </w:style>
  <w:style w:type="paragraph" w:customStyle="1" w:styleId="default0">
    <w:name w:val="default"/>
    <w:basedOn w:val="Normal"/>
    <w:rsid w:val="00C9597C"/>
    <w:pPr>
      <w:spacing w:before="100" w:beforeAutospacing="1" w:after="100" w:afterAutospacing="1"/>
    </w:pPr>
    <w:rPr>
      <w:rFonts w:ascii="Times New Roman" w:eastAsia="Times New Roman" w:hAnsi="Times New Roman"/>
      <w:lang w:val="en-US"/>
    </w:rPr>
  </w:style>
  <w:style w:type="paragraph" w:customStyle="1" w:styleId="style34">
    <w:name w:val="style34"/>
    <w:basedOn w:val="Normal"/>
    <w:uiPriority w:val="99"/>
    <w:rsid w:val="00C9597C"/>
    <w:pPr>
      <w:spacing w:before="100" w:beforeAutospacing="1" w:after="100" w:afterAutospacing="1"/>
    </w:pPr>
    <w:rPr>
      <w:rFonts w:ascii="Times New Roman" w:eastAsia="Calibri" w:hAnsi="Times New Roman"/>
      <w:lang w:val="en-US"/>
    </w:rPr>
  </w:style>
  <w:style w:type="paragraph" w:customStyle="1" w:styleId="style361">
    <w:name w:val="style361"/>
    <w:basedOn w:val="Normal"/>
    <w:uiPriority w:val="99"/>
    <w:rsid w:val="00C9597C"/>
    <w:pPr>
      <w:spacing w:before="100" w:beforeAutospacing="1" w:after="100" w:afterAutospacing="1"/>
    </w:pPr>
    <w:rPr>
      <w:rFonts w:ascii="Times New Roman" w:eastAsia="Calibri" w:hAnsi="Times New Roman"/>
      <w:lang w:val="en-US"/>
    </w:rPr>
  </w:style>
  <w:style w:type="character" w:customStyle="1" w:styleId="style36">
    <w:name w:val="style36"/>
    <w:basedOn w:val="DefaultParagraphFont"/>
    <w:rsid w:val="00C9597C"/>
  </w:style>
  <w:style w:type="character" w:styleId="CommentReference">
    <w:name w:val="annotation reference"/>
    <w:uiPriority w:val="99"/>
    <w:unhideWhenUsed/>
    <w:qFormat/>
    <w:rsid w:val="00C9597C"/>
    <w:rPr>
      <w:sz w:val="16"/>
      <w:szCs w:val="16"/>
    </w:rPr>
  </w:style>
  <w:style w:type="paragraph" w:styleId="CommentText">
    <w:name w:val="annotation text"/>
    <w:basedOn w:val="Normal"/>
    <w:link w:val="CommentTextChar"/>
    <w:uiPriority w:val="99"/>
    <w:unhideWhenUsed/>
    <w:qFormat/>
    <w:rsid w:val="00C9597C"/>
    <w:pPr>
      <w:spacing w:after="20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C9597C"/>
    <w:rPr>
      <w:rFonts w:ascii="Calibri" w:eastAsia="Calibri" w:hAnsi="Calibri"/>
      <w:sz w:val="20"/>
      <w:szCs w:val="20"/>
      <w:lang w:val="en-US"/>
    </w:rPr>
  </w:style>
  <w:style w:type="paragraph" w:styleId="CommentSubject">
    <w:name w:val="annotation subject"/>
    <w:basedOn w:val="CommentText"/>
    <w:next w:val="CommentText"/>
    <w:link w:val="CommentSubjectChar"/>
    <w:uiPriority w:val="99"/>
    <w:unhideWhenUsed/>
    <w:qFormat/>
    <w:rsid w:val="00C9597C"/>
    <w:rPr>
      <w:b/>
      <w:bCs/>
    </w:rPr>
  </w:style>
  <w:style w:type="character" w:customStyle="1" w:styleId="CommentSubjectChar">
    <w:name w:val="Comment Subject Char"/>
    <w:basedOn w:val="CommentTextChar"/>
    <w:link w:val="CommentSubject"/>
    <w:uiPriority w:val="99"/>
    <w:rsid w:val="00C9597C"/>
    <w:rPr>
      <w:rFonts w:ascii="Calibri" w:eastAsia="Calibri" w:hAnsi="Calibri"/>
      <w:b/>
      <w:bCs/>
      <w:sz w:val="20"/>
      <w:szCs w:val="20"/>
      <w:lang w:val="en-US"/>
    </w:rPr>
  </w:style>
  <w:style w:type="character" w:customStyle="1" w:styleId="BalloonTextChar1">
    <w:name w:val="Balloon Text Char1"/>
    <w:uiPriority w:val="99"/>
    <w:rsid w:val="00C9597C"/>
    <w:rPr>
      <w:rFonts w:ascii="Tahoma" w:hAnsi="Tahoma" w:cs="Tahoma"/>
      <w:sz w:val="16"/>
      <w:szCs w:val="16"/>
      <w:lang w:val="en-GB"/>
    </w:rPr>
  </w:style>
  <w:style w:type="character" w:customStyle="1" w:styleId="CommentTextChar1">
    <w:name w:val="Comment Text Char1"/>
    <w:uiPriority w:val="99"/>
    <w:rsid w:val="00C9597C"/>
    <w:rPr>
      <w:sz w:val="20"/>
      <w:szCs w:val="20"/>
      <w:lang w:val="en-GB"/>
    </w:rPr>
  </w:style>
  <w:style w:type="character" w:customStyle="1" w:styleId="CommentSubjectChar1">
    <w:name w:val="Comment Subject Char1"/>
    <w:uiPriority w:val="99"/>
    <w:rsid w:val="00C9597C"/>
    <w:rPr>
      <w:b/>
      <w:bCs/>
      <w:sz w:val="20"/>
      <w:szCs w:val="20"/>
      <w:lang w:val="en-GB"/>
    </w:rPr>
  </w:style>
  <w:style w:type="paragraph" w:customStyle="1" w:styleId="style119">
    <w:name w:val="style119"/>
    <w:basedOn w:val="Normal"/>
    <w:rsid w:val="00C9597C"/>
    <w:pPr>
      <w:spacing w:before="100" w:beforeAutospacing="1" w:after="100" w:afterAutospacing="1"/>
    </w:pPr>
    <w:rPr>
      <w:rFonts w:ascii="Arial" w:eastAsia="Calibri" w:hAnsi="Arial" w:cs="Arial"/>
      <w:sz w:val="20"/>
      <w:szCs w:val="20"/>
      <w:lang w:val="en-US" w:bidi="hi-IN"/>
    </w:rPr>
  </w:style>
  <w:style w:type="paragraph" w:customStyle="1" w:styleId="style120">
    <w:name w:val="style120"/>
    <w:basedOn w:val="Normal"/>
    <w:rsid w:val="00C9597C"/>
    <w:pPr>
      <w:spacing w:before="100" w:beforeAutospacing="1" w:after="100" w:afterAutospacing="1"/>
    </w:pPr>
    <w:rPr>
      <w:rFonts w:ascii="Times New Roman" w:eastAsia="Calibri" w:hAnsi="Times New Roman"/>
      <w:sz w:val="20"/>
      <w:szCs w:val="20"/>
      <w:lang w:val="en-US" w:bidi="hi-IN"/>
    </w:rPr>
  </w:style>
  <w:style w:type="character" w:customStyle="1" w:styleId="style1201">
    <w:name w:val="style1201"/>
    <w:rsid w:val="00C9597C"/>
    <w:rPr>
      <w:sz w:val="20"/>
      <w:szCs w:val="20"/>
    </w:rPr>
  </w:style>
  <w:style w:type="character" w:customStyle="1" w:styleId="style1191">
    <w:name w:val="style1191"/>
    <w:rsid w:val="00C9597C"/>
    <w:rPr>
      <w:rFonts w:ascii="Arial" w:hAnsi="Arial" w:cs="Arial" w:hint="default"/>
      <w:sz w:val="20"/>
      <w:szCs w:val="20"/>
    </w:rPr>
  </w:style>
  <w:style w:type="character" w:customStyle="1" w:styleId="Heading1Char1">
    <w:name w:val="Heading 1 Char1"/>
    <w:aliases w:val="Garamond Char1"/>
    <w:uiPriority w:val="9"/>
    <w:rsid w:val="00C9597C"/>
    <w:rPr>
      <w:rFonts w:ascii="Cambria" w:eastAsia="Times New Roman" w:hAnsi="Cambria" w:cs="Times New Roman"/>
      <w:b/>
      <w:bCs/>
      <w:color w:val="365F91"/>
      <w:sz w:val="28"/>
      <w:szCs w:val="28"/>
      <w:lang w:val="en-GB"/>
    </w:rPr>
  </w:style>
  <w:style w:type="table" w:styleId="MediumGrid1-Accent1">
    <w:name w:val="Medium Grid 1 Accent 1"/>
    <w:basedOn w:val="TableNormal"/>
    <w:uiPriority w:val="67"/>
    <w:qFormat/>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
    <w:name w:val="Light Grid - Accent 11"/>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5">
    <w:name w:val="Light Grid Accent 5"/>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
    <w:name w:val="Light Grid - Accent 12"/>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List-Accent5">
    <w:name w:val="Light List Accent 5"/>
    <w:basedOn w:val="TableNormal"/>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style14">
    <w:name w:val="style14"/>
    <w:basedOn w:val="Normal"/>
    <w:uiPriority w:val="99"/>
    <w:rsid w:val="00C9597C"/>
    <w:pPr>
      <w:spacing w:before="100" w:beforeAutospacing="1" w:after="100" w:afterAutospacing="1"/>
    </w:pPr>
    <w:rPr>
      <w:rFonts w:ascii="Arial" w:eastAsia="Calibri" w:hAnsi="Arial" w:cs="Arial"/>
      <w:sz w:val="20"/>
      <w:szCs w:val="20"/>
      <w:lang w:val="en-US" w:bidi="hi-IN"/>
    </w:rPr>
  </w:style>
  <w:style w:type="paragraph" w:customStyle="1" w:styleId="style1">
    <w:name w:val="style1"/>
    <w:basedOn w:val="Normal"/>
    <w:uiPriority w:val="99"/>
    <w:rsid w:val="00C9597C"/>
    <w:pPr>
      <w:spacing w:before="100" w:beforeAutospacing="1" w:after="100" w:afterAutospacing="1"/>
    </w:pPr>
    <w:rPr>
      <w:rFonts w:ascii="Arial" w:eastAsia="Calibri" w:hAnsi="Arial" w:cs="Arial"/>
      <w:sz w:val="20"/>
      <w:szCs w:val="20"/>
      <w:lang w:val="en-US"/>
    </w:rPr>
  </w:style>
  <w:style w:type="paragraph" w:customStyle="1" w:styleId="paraattribute2">
    <w:name w:val="paraattribute2"/>
    <w:basedOn w:val="Normal"/>
    <w:rsid w:val="00C9597C"/>
    <w:pPr>
      <w:spacing w:before="100" w:beforeAutospacing="1" w:after="100" w:afterAutospacing="1"/>
    </w:pPr>
    <w:rPr>
      <w:rFonts w:ascii="Times New Roman" w:eastAsia="Times New Roman" w:hAnsi="Times New Roman"/>
      <w:lang w:val="en-US" w:bidi="hi-IN"/>
    </w:rPr>
  </w:style>
  <w:style w:type="paragraph" w:customStyle="1" w:styleId="bodytext20">
    <w:name w:val="bodytext20"/>
    <w:basedOn w:val="Normal"/>
    <w:rsid w:val="00C9597C"/>
    <w:pPr>
      <w:spacing w:before="100" w:beforeAutospacing="1" w:after="100" w:afterAutospacing="1"/>
    </w:pPr>
    <w:rPr>
      <w:rFonts w:ascii="Times New Roman" w:eastAsia="Times New Roman" w:hAnsi="Times New Roman"/>
      <w:lang w:val="en-US" w:bidi="hi-IN"/>
    </w:rPr>
  </w:style>
  <w:style w:type="paragraph" w:customStyle="1" w:styleId="bodytext0">
    <w:name w:val="bodytext0"/>
    <w:basedOn w:val="Normal"/>
    <w:rsid w:val="00C9597C"/>
    <w:pPr>
      <w:spacing w:before="100" w:beforeAutospacing="1" w:after="100" w:afterAutospacing="1"/>
    </w:pPr>
    <w:rPr>
      <w:rFonts w:ascii="Times New Roman" w:eastAsia="Times New Roman" w:hAnsi="Times New Roman"/>
      <w:lang w:val="en-US"/>
    </w:rPr>
  </w:style>
  <w:style w:type="character" w:customStyle="1" w:styleId="style38">
    <w:name w:val="style38"/>
    <w:basedOn w:val="DefaultParagraphFont"/>
    <w:rsid w:val="00C9597C"/>
  </w:style>
  <w:style w:type="paragraph" w:customStyle="1" w:styleId="style49">
    <w:name w:val="style49"/>
    <w:basedOn w:val="Normal"/>
    <w:uiPriority w:val="99"/>
    <w:rsid w:val="00C9597C"/>
    <w:pPr>
      <w:spacing w:before="100" w:beforeAutospacing="1" w:after="100" w:afterAutospacing="1"/>
    </w:pPr>
    <w:rPr>
      <w:rFonts w:ascii="Times New Roman" w:eastAsia="Calibri" w:hAnsi="Times New Roman"/>
      <w:sz w:val="20"/>
      <w:szCs w:val="20"/>
      <w:lang w:val="en-US" w:bidi="hi-IN"/>
    </w:rPr>
  </w:style>
  <w:style w:type="character" w:customStyle="1" w:styleId="style1361">
    <w:name w:val="style1361"/>
    <w:rsid w:val="00C9597C"/>
    <w:rPr>
      <w:b/>
      <w:bCs/>
    </w:rPr>
  </w:style>
  <w:style w:type="character" w:customStyle="1" w:styleId="style1351">
    <w:name w:val="style1351"/>
    <w:rsid w:val="00C9597C"/>
    <w:rPr>
      <w:b/>
      <w:bCs/>
    </w:rPr>
  </w:style>
  <w:style w:type="character" w:customStyle="1" w:styleId="style1341">
    <w:name w:val="style1341"/>
    <w:rsid w:val="00C9597C"/>
    <w:rPr>
      <w:b/>
      <w:bCs/>
    </w:rPr>
  </w:style>
  <w:style w:type="character" w:customStyle="1" w:styleId="style1331">
    <w:name w:val="style1331"/>
    <w:rsid w:val="00C9597C"/>
    <w:rPr>
      <w:b/>
      <w:bCs/>
    </w:rPr>
  </w:style>
  <w:style w:type="character" w:customStyle="1" w:styleId="style1321">
    <w:name w:val="style1321"/>
    <w:qFormat/>
    <w:rsid w:val="00C9597C"/>
    <w:rPr>
      <w:b/>
      <w:bCs/>
    </w:rPr>
  </w:style>
  <w:style w:type="character" w:customStyle="1" w:styleId="style1311">
    <w:name w:val="style1311"/>
    <w:rsid w:val="00C9597C"/>
    <w:rPr>
      <w:b/>
      <w:bCs/>
    </w:rPr>
  </w:style>
  <w:style w:type="character" w:customStyle="1" w:styleId="style201">
    <w:name w:val="style201"/>
    <w:rsid w:val="00C9597C"/>
    <w:rPr>
      <w:b/>
      <w:bCs/>
    </w:rPr>
  </w:style>
  <w:style w:type="character" w:customStyle="1" w:styleId="style191">
    <w:name w:val="style191"/>
    <w:rsid w:val="00C9597C"/>
    <w:rPr>
      <w:b/>
      <w:bCs/>
    </w:rPr>
  </w:style>
  <w:style w:type="character" w:customStyle="1" w:styleId="style181">
    <w:name w:val="style181"/>
    <w:rsid w:val="00C9597C"/>
    <w:rPr>
      <w:b/>
      <w:bCs/>
    </w:rPr>
  </w:style>
  <w:style w:type="table" w:customStyle="1" w:styleId="LightGrid-Accent13">
    <w:name w:val="Light Grid - Accent 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yle291">
    <w:name w:val="style291"/>
    <w:rsid w:val="00C9597C"/>
    <w:rPr>
      <w:rFonts w:ascii="Arial" w:hAnsi="Arial" w:cs="Arial" w:hint="default"/>
    </w:rPr>
  </w:style>
  <w:style w:type="paragraph" w:customStyle="1" w:styleId="style2">
    <w:name w:val="style2"/>
    <w:basedOn w:val="Normal"/>
    <w:uiPriority w:val="99"/>
    <w:rsid w:val="00C9597C"/>
    <w:pPr>
      <w:spacing w:before="100" w:beforeAutospacing="1" w:after="100" w:afterAutospacing="1"/>
    </w:pPr>
    <w:rPr>
      <w:rFonts w:ascii="Times New Roman" w:eastAsia="Calibri" w:hAnsi="Times New Roman"/>
      <w:b/>
      <w:bCs/>
      <w:sz w:val="20"/>
      <w:szCs w:val="20"/>
      <w:lang w:val="en-US"/>
    </w:rPr>
  </w:style>
  <w:style w:type="character" w:customStyle="1" w:styleId="ListParagraphChar">
    <w:name w:val="List Paragraph Char"/>
    <w:aliases w:val="lp1 Char,elenco Char,Equipment Char,Figure_name Char,List Paragraph Char Char Char,List Paragraph1 Char,List Paragraph11 Char,List Paragraph2 Char,List_TIS Char,Normal Sentence Char,Number_1 Char,Numbered Indented Text Char,Ref Char"/>
    <w:link w:val="ListParagraph"/>
    <w:uiPriority w:val="34"/>
    <w:qFormat/>
    <w:locked/>
    <w:rsid w:val="00C9597C"/>
    <w:rPr>
      <w:rFonts w:ascii="Calibri" w:eastAsia="Calibri" w:hAnsi="Calibri"/>
      <w:sz w:val="20"/>
      <w:szCs w:val="20"/>
      <w:lang w:val="en-US"/>
    </w:rPr>
  </w:style>
  <w:style w:type="table" w:styleId="MediumGrid1-Accent3">
    <w:name w:val="Medium Grid 1 Accent 3"/>
    <w:basedOn w:val="TableNormal"/>
    <w:uiPriority w:val="67"/>
    <w:qFormat/>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paragraph">
    <w:name w:val="paragraph"/>
    <w:basedOn w:val="Normal"/>
    <w:rsid w:val="00C9597C"/>
    <w:pPr>
      <w:spacing w:before="100" w:beforeAutospacing="1" w:after="100" w:afterAutospacing="1"/>
    </w:pPr>
    <w:rPr>
      <w:rFonts w:ascii="Times New Roman" w:eastAsia="Times New Roman" w:hAnsi="Times New Roman"/>
      <w:lang w:val="en-US"/>
    </w:rPr>
  </w:style>
  <w:style w:type="character" w:customStyle="1" w:styleId="ilad">
    <w:name w:val="il_ad"/>
    <w:basedOn w:val="DefaultParagraphFont"/>
    <w:rsid w:val="00C9597C"/>
  </w:style>
  <w:style w:type="paragraph" w:customStyle="1" w:styleId="s8">
    <w:name w:val="s8"/>
    <w:basedOn w:val="Normal"/>
    <w:rsid w:val="00C9597C"/>
    <w:pPr>
      <w:spacing w:before="100" w:beforeAutospacing="1" w:after="100" w:afterAutospacing="1"/>
    </w:pPr>
    <w:rPr>
      <w:rFonts w:ascii="Times New Roman" w:eastAsia="Times New Roman" w:hAnsi="Times New Roman"/>
      <w:lang w:val="en-US"/>
    </w:rPr>
  </w:style>
  <w:style w:type="character" w:customStyle="1" w:styleId="s7">
    <w:name w:val="s7"/>
    <w:basedOn w:val="DefaultParagraphFont"/>
    <w:rsid w:val="00C9597C"/>
  </w:style>
  <w:style w:type="paragraph" w:customStyle="1" w:styleId="s10">
    <w:name w:val="s10"/>
    <w:basedOn w:val="Normal"/>
    <w:rsid w:val="00C9597C"/>
    <w:pPr>
      <w:spacing w:before="100" w:beforeAutospacing="1" w:after="100" w:afterAutospacing="1"/>
    </w:pPr>
    <w:rPr>
      <w:rFonts w:ascii="Times New Roman" w:eastAsia="Times New Roman" w:hAnsi="Times New Roman"/>
      <w:lang w:val="en-US"/>
    </w:rPr>
  </w:style>
  <w:style w:type="numbering" w:customStyle="1" w:styleId="NoList1">
    <w:name w:val="No List1"/>
    <w:next w:val="NoList"/>
    <w:uiPriority w:val="99"/>
    <w:unhideWhenUsed/>
    <w:rsid w:val="00C9597C"/>
  </w:style>
  <w:style w:type="table" w:customStyle="1" w:styleId="MediumGrid1-Accent11">
    <w:name w:val="Medium Grid 1 - Accent 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
    <w:name w:val="Light Grid - Accent 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
    <w:name w:val="Light Grid - Accent 5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
    <w:name w:val="Light Grid - Accent 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
    <w:name w:val="Light List - Accent 5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
    <w:name w:val="Light Grid - Accent 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
    <w:name w:val="Medium Grid 1 - Accent 31"/>
    <w:basedOn w:val="TableNormal"/>
    <w:next w:val="MediumGrid1-Accent3"/>
    <w:uiPriority w:val="67"/>
    <w:qFormat/>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
    <w:name w:val="Grid Table 4 - Accent 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styleId="Revision">
    <w:name w:val="Revision"/>
    <w:hidden/>
    <w:uiPriority w:val="99"/>
    <w:rsid w:val="00C9597C"/>
    <w:rPr>
      <w:rFonts w:ascii="Calibri" w:eastAsia="Calibri" w:hAnsi="Calibri"/>
      <w:sz w:val="22"/>
      <w:szCs w:val="22"/>
      <w:lang w:val="en-US"/>
    </w:rPr>
  </w:style>
  <w:style w:type="numbering" w:customStyle="1" w:styleId="NoList2">
    <w:name w:val="No List2"/>
    <w:next w:val="NoList"/>
    <w:uiPriority w:val="99"/>
    <w:unhideWhenUsed/>
    <w:rsid w:val="00C9597C"/>
  </w:style>
  <w:style w:type="table" w:customStyle="1" w:styleId="MediumGrid1-Accent12">
    <w:name w:val="Medium Grid 1 - Accent 12"/>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2">
    <w:name w:val="Light Grid - Accent 112"/>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2">
    <w:name w:val="Light Grid - Accent 52"/>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2">
    <w:name w:val="Light Grid - Accent 122"/>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2">
    <w:name w:val="Light List - Accent 52"/>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2">
    <w:name w:val="Light List - Accent 112"/>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2">
    <w:name w:val="Light Grid - Accent 132"/>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2">
    <w:name w:val="Medium Grid 1 - Accent 32"/>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dTable4Accent31">
    <w:name w:val="Grid Table 4 Accent 31"/>
    <w:basedOn w:val="TableNormal"/>
    <w:uiPriority w:val="49"/>
    <w:rsid w:val="00C9597C"/>
    <w:pPr>
      <w:jc w:val="both"/>
    </w:pPr>
    <w:rPr>
      <w:rFonts w:ascii="Times New Roman" w:hAnsi="Times New Roman"/>
      <w:lang w:val="en-I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3">
    <w:name w:val="No List3"/>
    <w:next w:val="NoList"/>
    <w:uiPriority w:val="99"/>
    <w:unhideWhenUsed/>
    <w:rsid w:val="00C9597C"/>
  </w:style>
  <w:style w:type="table" w:customStyle="1" w:styleId="MediumGrid1-Accent13">
    <w:name w:val="Medium Grid 1 - Accent 13"/>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3">
    <w:name w:val="Light Grid - Accent 113"/>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3">
    <w:name w:val="Light Grid - Accent 53"/>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3">
    <w:name w:val="Light Grid - Accent 123"/>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3">
    <w:name w:val="Light List - Accent 53"/>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3">
    <w:name w:val="Light List - Accent 113"/>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3">
    <w:name w:val="Light Grid - Accent 133"/>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3">
    <w:name w:val="Medium Grid 1 - Accent 33"/>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dTable4Accent32">
    <w:name w:val="Grid Table 4 Accent 32"/>
    <w:basedOn w:val="TableNormal"/>
    <w:uiPriority w:val="49"/>
    <w:rsid w:val="00C9597C"/>
    <w:pPr>
      <w:jc w:val="both"/>
    </w:pPr>
    <w:rPr>
      <w:rFonts w:ascii="Times New Roman" w:hAnsi="Times New Roman"/>
      <w:lang w:val="en-I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TMLPreformatted">
    <w:name w:val="HTML Preformatted"/>
    <w:basedOn w:val="Normal"/>
    <w:link w:val="HTMLPreformattedChar"/>
    <w:uiPriority w:val="99"/>
    <w:unhideWhenUsed/>
    <w:qFormat/>
    <w:rsid w:val="00C95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9597C"/>
    <w:rPr>
      <w:rFonts w:ascii="Courier New" w:eastAsia="Times New Roman" w:hAnsi="Courier New" w:cs="Courier New"/>
      <w:sz w:val="20"/>
      <w:szCs w:val="20"/>
      <w:lang w:val="en-US"/>
    </w:rPr>
  </w:style>
  <w:style w:type="character" w:customStyle="1" w:styleId="unicode">
    <w:name w:val="unicode"/>
    <w:basedOn w:val="DefaultParagraphFont"/>
    <w:rsid w:val="00C9597C"/>
  </w:style>
  <w:style w:type="character" w:customStyle="1" w:styleId="fn">
    <w:name w:val="fn"/>
    <w:basedOn w:val="DefaultParagraphFont"/>
    <w:rsid w:val="00C9597C"/>
  </w:style>
  <w:style w:type="table" w:customStyle="1" w:styleId="TableGrid1">
    <w:name w:val="Table Grid1"/>
    <w:basedOn w:val="TableNormal"/>
    <w:next w:val="TableGrid"/>
    <w:uiPriority w:val="39"/>
    <w:rsid w:val="00C9597C"/>
    <w:rPr>
      <w:rFonts w:asciiTheme="minorHAnsi" w:hAnsiTheme="minorHAnsi" w:cstheme="minorBidi"/>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
    <w:name w:val="bold"/>
    <w:basedOn w:val="DefaultParagraphFont"/>
    <w:rsid w:val="00C9597C"/>
  </w:style>
  <w:style w:type="character" w:customStyle="1" w:styleId="aqj">
    <w:name w:val="aqj"/>
    <w:basedOn w:val="DefaultParagraphFont"/>
    <w:rsid w:val="00C9597C"/>
  </w:style>
  <w:style w:type="character" w:customStyle="1" w:styleId="slc367992977963056178">
    <w:name w:val="sl_c_36799297_79_63056178"/>
    <w:basedOn w:val="DefaultParagraphFont"/>
    <w:rsid w:val="00C9597C"/>
  </w:style>
  <w:style w:type="character" w:customStyle="1" w:styleId="slc3679929710863056178">
    <w:name w:val="sl_c_36799297_108_63056178"/>
    <w:basedOn w:val="DefaultParagraphFont"/>
    <w:rsid w:val="00C9597C"/>
  </w:style>
  <w:style w:type="paragraph" w:styleId="Subtitle">
    <w:name w:val="Subtitle"/>
    <w:basedOn w:val="Normal"/>
    <w:next w:val="Normal"/>
    <w:link w:val="SubtitleChar"/>
    <w:qFormat/>
    <w:rsid w:val="00C9597C"/>
    <w:pPr>
      <w:keepNext/>
      <w:keepLines/>
      <w:spacing w:before="360" w:after="80"/>
      <w:contextualSpacing/>
      <w:jc w:val="both"/>
    </w:pPr>
    <w:rPr>
      <w:rFonts w:ascii="Georgia" w:eastAsia="Georgia" w:hAnsi="Georgia" w:cs="Georgia"/>
      <w:i/>
      <w:color w:val="666666"/>
      <w:sz w:val="48"/>
      <w:szCs w:val="48"/>
      <w:lang w:val="en-IN" w:eastAsia="en-IN"/>
    </w:rPr>
  </w:style>
  <w:style w:type="character" w:customStyle="1" w:styleId="SubtitleChar">
    <w:name w:val="Subtitle Char"/>
    <w:basedOn w:val="DefaultParagraphFont"/>
    <w:link w:val="Subtitle"/>
    <w:rsid w:val="00C9597C"/>
    <w:rPr>
      <w:rFonts w:ascii="Georgia" w:eastAsia="Georgia" w:hAnsi="Georgia" w:cs="Georgia"/>
      <w:i/>
      <w:color w:val="666666"/>
      <w:sz w:val="48"/>
      <w:szCs w:val="48"/>
      <w:lang w:val="en-IN" w:eastAsia="en-IN"/>
    </w:rPr>
  </w:style>
  <w:style w:type="character" w:customStyle="1" w:styleId="lede-headlinehighlighted">
    <w:name w:val="lede-headline__highlighted"/>
    <w:basedOn w:val="DefaultParagraphFont"/>
    <w:rsid w:val="00C9597C"/>
  </w:style>
  <w:style w:type="character" w:customStyle="1" w:styleId="mfirst-letter">
    <w:name w:val="m_first-letter"/>
    <w:basedOn w:val="DefaultParagraphFont"/>
    <w:rsid w:val="00C9597C"/>
  </w:style>
  <w:style w:type="character" w:customStyle="1" w:styleId="dictionary">
    <w:name w:val="dictionary"/>
    <w:basedOn w:val="DefaultParagraphFont"/>
    <w:rsid w:val="00C9597C"/>
  </w:style>
  <w:style w:type="table" w:customStyle="1" w:styleId="TableGrid2">
    <w:name w:val="Table Grid2"/>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unhideWhenUsed/>
    <w:rsid w:val="00C9597C"/>
  </w:style>
  <w:style w:type="table" w:customStyle="1" w:styleId="MediumGrid1-Accent14">
    <w:name w:val="Medium Grid 1 - Accent 14"/>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4">
    <w:name w:val="Light Grid - Accent 114"/>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4">
    <w:name w:val="Light Grid - Accent 54"/>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4">
    <w:name w:val="Light Grid - Accent 124"/>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4">
    <w:name w:val="Light List - Accent 54"/>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4">
    <w:name w:val="Light List - Accent 114"/>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4">
    <w:name w:val="Light Grid - Accent 134"/>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4">
    <w:name w:val="Medium Grid 1 - Accent 34"/>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TableGrid3">
    <w:name w:val="Table Grid3"/>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
    <w:name w:val="Medium Grid 3 - Accent 1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
    <w:name w:val="No List11"/>
    <w:next w:val="NoList"/>
    <w:uiPriority w:val="99"/>
    <w:unhideWhenUsed/>
    <w:rsid w:val="00C9597C"/>
  </w:style>
  <w:style w:type="table" w:customStyle="1" w:styleId="MediumGrid1-Accent111">
    <w:name w:val="Medium Grid 1 - Accent 1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
    <w:name w:val="Light Grid - Accent 1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
    <w:name w:val="Light Grid - Accent 51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
    <w:name w:val="Light Grid - Accent 12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
    <w:name w:val="Light List - Accent 51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
    <w:name w:val="Light Grid - Accent 13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
    <w:name w:val="Medium Grid 1 - Accent 3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
    <w:name w:val="Grid Table 4 - Accent 3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
    <w:name w:val="No List21"/>
    <w:next w:val="NoList"/>
    <w:uiPriority w:val="99"/>
    <w:unhideWhenUsed/>
    <w:rsid w:val="00C9597C"/>
  </w:style>
  <w:style w:type="table" w:customStyle="1" w:styleId="MediumGrid1-Accent121">
    <w:name w:val="Medium Grid 1 - Accent 121"/>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21">
    <w:name w:val="Light Grid - Accent 1121"/>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21">
    <w:name w:val="Light Grid - Accent 521"/>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21">
    <w:name w:val="Light Grid - Accent 1221"/>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21">
    <w:name w:val="Light List - Accent 521"/>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21">
    <w:name w:val="Light List - Accent 1121"/>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21">
    <w:name w:val="Light Grid - Accent 1321"/>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21">
    <w:name w:val="Medium Grid 1 - Accent 321"/>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dTable4Accent311">
    <w:name w:val="Grid Table 4 Accent 311"/>
    <w:basedOn w:val="TableNormal"/>
    <w:uiPriority w:val="49"/>
    <w:rsid w:val="00C9597C"/>
    <w:pPr>
      <w:jc w:val="both"/>
    </w:pPr>
    <w:rPr>
      <w:rFonts w:ascii="Times New Roman" w:hAnsi="Times New Roman"/>
      <w:lang w:val="en-I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31">
    <w:name w:val="No List31"/>
    <w:next w:val="NoList"/>
    <w:uiPriority w:val="99"/>
    <w:unhideWhenUsed/>
    <w:rsid w:val="00C9597C"/>
  </w:style>
  <w:style w:type="table" w:customStyle="1" w:styleId="MediumGrid1-Accent131">
    <w:name w:val="Medium Grid 1 - Accent 131"/>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31">
    <w:name w:val="Light Grid - Accent 1131"/>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31">
    <w:name w:val="Light Grid - Accent 531"/>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31">
    <w:name w:val="Light Grid - Accent 1231"/>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31">
    <w:name w:val="Light List - Accent 531"/>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31">
    <w:name w:val="Light List - Accent 1131"/>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31">
    <w:name w:val="Light Grid - Accent 1331"/>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31">
    <w:name w:val="Medium Grid 1 - Accent 331"/>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dTable4Accent321">
    <w:name w:val="Grid Table 4 Accent 321"/>
    <w:basedOn w:val="TableNormal"/>
    <w:uiPriority w:val="49"/>
    <w:rsid w:val="00C9597C"/>
    <w:pPr>
      <w:jc w:val="both"/>
    </w:pPr>
    <w:rPr>
      <w:rFonts w:ascii="Times New Roman" w:hAnsi="Times New Roman"/>
      <w:lang w:val="en-I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1">
    <w:name w:val="Table Grid11"/>
    <w:basedOn w:val="TableNormal"/>
    <w:next w:val="TableGrid"/>
    <w:uiPriority w:val="39"/>
    <w:rsid w:val="00C9597C"/>
    <w:rPr>
      <w:rFonts w:asciiTheme="minorHAnsi" w:hAnsiTheme="minorHAnsi" w:cstheme="minorBidi"/>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unhideWhenUsed/>
    <w:rsid w:val="00C9597C"/>
  </w:style>
  <w:style w:type="table" w:customStyle="1" w:styleId="TableGrid4">
    <w:name w:val="Table Grid4"/>
    <w:basedOn w:val="TableNormal"/>
    <w:next w:val="TableGrid"/>
    <w:uiPriority w:val="5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2">
    <w:name w:val="Medium Grid 3 - Accent 12"/>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5">
    <w:name w:val="Medium Grid 1 - Accent 15"/>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
    <w:name w:val="Light Grid - Accent 115"/>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5">
    <w:name w:val="Light Grid - Accent 55"/>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5">
    <w:name w:val="Light Grid - Accent 125"/>
    <w:basedOn w:val="TableNormal"/>
    <w:uiPriority w:val="62"/>
    <w:qFormat/>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5">
    <w:name w:val="Light List - Accent 55"/>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
    <w:name w:val="Light List - Accent 115"/>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5">
    <w:name w:val="Light Grid - Accent 13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5">
    <w:name w:val="Medium Grid 1 - Accent 3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
    <w:name w:val="No List12"/>
    <w:next w:val="NoList"/>
    <w:uiPriority w:val="99"/>
    <w:unhideWhenUsed/>
    <w:rsid w:val="00C9597C"/>
  </w:style>
  <w:style w:type="table" w:customStyle="1" w:styleId="MediumGrid1-Accent112">
    <w:name w:val="Medium Grid 1 - Accent 11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2">
    <w:name w:val="Light Grid - Accent 11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
    <w:name w:val="Light Grid - Accent 512"/>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2">
    <w:name w:val="Light Grid - Accent 12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2">
    <w:name w:val="Light List - Accent 512"/>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2">
    <w:name w:val="Light Grid - Accent 13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2">
    <w:name w:val="Medium Grid 1 - Accent 31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2">
    <w:name w:val="Grid Table 4 - Accent 312"/>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2">
    <w:name w:val="No List22"/>
    <w:next w:val="NoList"/>
    <w:uiPriority w:val="99"/>
    <w:unhideWhenUsed/>
    <w:rsid w:val="00C9597C"/>
  </w:style>
  <w:style w:type="table" w:customStyle="1" w:styleId="MediumGrid1-Accent122">
    <w:name w:val="Medium Grid 1 - Accent 122"/>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22">
    <w:name w:val="Light Grid - Accent 1122"/>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22">
    <w:name w:val="Light Grid - Accent 522"/>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22">
    <w:name w:val="Light Grid - Accent 1222"/>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22">
    <w:name w:val="Light List - Accent 522"/>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22">
    <w:name w:val="Light List - Accent 1122"/>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22">
    <w:name w:val="Light Grid - Accent 1322"/>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22">
    <w:name w:val="Medium Grid 1 - Accent 322"/>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dTable4Accent312">
    <w:name w:val="Grid Table 4 Accent 312"/>
    <w:basedOn w:val="TableNormal"/>
    <w:uiPriority w:val="49"/>
    <w:rsid w:val="00C9597C"/>
    <w:pPr>
      <w:jc w:val="both"/>
    </w:pPr>
    <w:rPr>
      <w:rFonts w:ascii="Times New Roman" w:hAnsi="Times New Roman"/>
      <w:lang w:val="en-I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NoList32">
    <w:name w:val="No List32"/>
    <w:next w:val="NoList"/>
    <w:uiPriority w:val="99"/>
    <w:unhideWhenUsed/>
    <w:rsid w:val="00C9597C"/>
  </w:style>
  <w:style w:type="table" w:customStyle="1" w:styleId="MediumGrid1-Accent132">
    <w:name w:val="Medium Grid 1 - Accent 132"/>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32">
    <w:name w:val="Light Grid - Accent 1132"/>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32">
    <w:name w:val="Light Grid - Accent 532"/>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32">
    <w:name w:val="Light Grid - Accent 1232"/>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32">
    <w:name w:val="Light List - Accent 532"/>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32">
    <w:name w:val="Light List - Accent 1132"/>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32">
    <w:name w:val="Light Grid - Accent 1332"/>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32">
    <w:name w:val="Medium Grid 1 - Accent 332"/>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dTable4Accent322">
    <w:name w:val="Grid Table 4 Accent 322"/>
    <w:basedOn w:val="TableNormal"/>
    <w:uiPriority w:val="49"/>
    <w:rsid w:val="00C9597C"/>
    <w:pPr>
      <w:jc w:val="both"/>
    </w:pPr>
    <w:rPr>
      <w:rFonts w:ascii="Times New Roman" w:hAnsi="Times New Roman"/>
      <w:lang w:val="en-I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2">
    <w:name w:val="Table Grid12"/>
    <w:basedOn w:val="TableNormal"/>
    <w:next w:val="TableGrid"/>
    <w:uiPriority w:val="39"/>
    <w:rsid w:val="00C9597C"/>
    <w:rPr>
      <w:rFonts w:asciiTheme="minorHAnsi" w:hAnsiTheme="minorHAnsi" w:cstheme="minorBidi"/>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unhideWhenUsed/>
    <w:rsid w:val="00C9597C"/>
  </w:style>
  <w:style w:type="table" w:customStyle="1" w:styleId="MediumGrid1-Accent16">
    <w:name w:val="Medium Grid 1 - Accent 16"/>
    <w:basedOn w:val="TableNormal"/>
    <w:next w:val="MediumGrid1-Accent1"/>
    <w:uiPriority w:val="67"/>
    <w:rsid w:val="00C9597C"/>
    <w:pPr>
      <w:jc w:val="both"/>
    </w:pPr>
    <w:rPr>
      <w:rFonts w:ascii="Times New Roman" w:hAnsi="Times New Roman"/>
      <w:lang w:val="en-I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LightGrid-Accent116">
    <w:name w:val="Light Grid - Accent 116"/>
    <w:basedOn w:val="TableNormal"/>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Grid-Accent56">
    <w:name w:val="Light Grid - Accent 56"/>
    <w:basedOn w:val="TableNormal"/>
    <w:next w:val="LightGrid-Accent5"/>
    <w:uiPriority w:val="62"/>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LightGrid-Accent126">
    <w:name w:val="Light Grid - Accent 126"/>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ghtList-Accent56">
    <w:name w:val="Light List - Accent 56"/>
    <w:basedOn w:val="TableNormal"/>
    <w:next w:val="LightList-Accent5"/>
    <w:uiPriority w:val="61"/>
    <w:rsid w:val="00C9597C"/>
    <w:pPr>
      <w:jc w:val="both"/>
    </w:pPr>
    <w:rPr>
      <w:rFonts w:asciiTheme="minorHAnsi" w:hAnsiTheme="minorHAnsi" w:cstheme="minorBidi"/>
      <w:sz w:val="22"/>
      <w:szCs w:val="22"/>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LightList-Accent116">
    <w:name w:val="Light List - Accent 116"/>
    <w:basedOn w:val="TableNormal"/>
    <w:uiPriority w:val="61"/>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LightGrid-Accent136">
    <w:name w:val="Light Grid - Accent 136"/>
    <w:basedOn w:val="TableNormal"/>
    <w:uiPriority w:val="62"/>
    <w:rsid w:val="00C9597C"/>
    <w:pPr>
      <w:jc w:val="both"/>
    </w:pPr>
    <w:rPr>
      <w:rFonts w:ascii="Times New Roman" w:hAnsi="Times New Roman"/>
      <w:lang w:val="en-I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Grid1-Accent36">
    <w:name w:val="Medium Grid 1 - Accent 36"/>
    <w:basedOn w:val="TableNormal"/>
    <w:next w:val="MediumGrid1-Accent3"/>
    <w:uiPriority w:val="67"/>
    <w:rsid w:val="00C9597C"/>
    <w:pPr>
      <w:jc w:val="both"/>
    </w:pPr>
    <w:rPr>
      <w:rFonts w:ascii="Times New Roman" w:hAnsi="Times New Roman"/>
      <w:lang w:val="en-I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numbering" w:customStyle="1" w:styleId="NoList13">
    <w:name w:val="No List13"/>
    <w:next w:val="NoList"/>
    <w:uiPriority w:val="99"/>
    <w:unhideWhenUsed/>
    <w:rsid w:val="00C9597C"/>
  </w:style>
  <w:style w:type="numbering" w:customStyle="1" w:styleId="NoList23">
    <w:name w:val="No List23"/>
    <w:next w:val="NoList"/>
    <w:uiPriority w:val="99"/>
    <w:unhideWhenUsed/>
    <w:rsid w:val="00C9597C"/>
  </w:style>
  <w:style w:type="numbering" w:customStyle="1" w:styleId="NoList33">
    <w:name w:val="No List33"/>
    <w:next w:val="NoList"/>
    <w:uiPriority w:val="99"/>
    <w:unhideWhenUsed/>
    <w:rsid w:val="00C9597C"/>
  </w:style>
  <w:style w:type="numbering" w:customStyle="1" w:styleId="NoList7">
    <w:name w:val="No List7"/>
    <w:next w:val="NoList"/>
    <w:uiPriority w:val="99"/>
    <w:unhideWhenUsed/>
    <w:rsid w:val="00C9597C"/>
  </w:style>
  <w:style w:type="table" w:customStyle="1" w:styleId="TableGrid5">
    <w:name w:val="Table Grid5"/>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3">
    <w:name w:val="Medium Grid 3 - Accent 13"/>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7">
    <w:name w:val="Medium Grid 1 - Accent 17"/>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
    <w:name w:val="Light Grid - Accent 117"/>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7">
    <w:name w:val="Light Grid - Accent 57"/>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7">
    <w:name w:val="Light Grid - Accent 127"/>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7">
    <w:name w:val="Light List - Accent 57"/>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7">
    <w:name w:val="Light List - Accent 117"/>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7">
    <w:name w:val="Light Grid - Accent 137"/>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7">
    <w:name w:val="Medium Grid 1 - Accent 37"/>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4">
    <w:name w:val="No List14"/>
    <w:next w:val="NoList"/>
    <w:uiPriority w:val="99"/>
    <w:unhideWhenUsed/>
    <w:rsid w:val="00C9597C"/>
  </w:style>
  <w:style w:type="table" w:customStyle="1" w:styleId="MediumGrid1-Accent113">
    <w:name w:val="Medium Grid 1 - Accent 11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
    <w:name w:val="Light Grid - Accent 11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
    <w:name w:val="Light Grid - Accent 513"/>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3">
    <w:name w:val="Light Grid - Accent 12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3">
    <w:name w:val="Light List - Accent 513"/>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3">
    <w:name w:val="Light Grid - Accent 13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3">
    <w:name w:val="Medium Grid 1 - Accent 31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3">
    <w:name w:val="Grid Table 4 - Accent 313"/>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4">
    <w:name w:val="No List24"/>
    <w:next w:val="NoList"/>
    <w:uiPriority w:val="99"/>
    <w:unhideWhenUsed/>
    <w:rsid w:val="00C9597C"/>
  </w:style>
  <w:style w:type="table" w:customStyle="1" w:styleId="MediumGrid1-Accent123">
    <w:name w:val="Medium Grid 1 - Accent 12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3">
    <w:name w:val="Light Grid - Accent 112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3">
    <w:name w:val="Light Grid - Accent 52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3">
    <w:name w:val="Light Grid - Accent 122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3">
    <w:name w:val="Light List - Accent 52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3">
    <w:name w:val="Light List - Accent 112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3">
    <w:name w:val="Light Grid - Accent 132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3">
    <w:name w:val="Medium Grid 1 - Accent 32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3">
    <w:name w:val="Grid Table 4 Accent 313"/>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4">
    <w:name w:val="No List34"/>
    <w:next w:val="NoList"/>
    <w:uiPriority w:val="99"/>
    <w:unhideWhenUsed/>
    <w:rsid w:val="00C9597C"/>
  </w:style>
  <w:style w:type="table" w:customStyle="1" w:styleId="MediumGrid1-Accent133">
    <w:name w:val="Medium Grid 1 - Accent 13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3">
    <w:name w:val="Light Grid - Accent 113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3">
    <w:name w:val="Light Grid - Accent 53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3">
    <w:name w:val="Light Grid - Accent 123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3">
    <w:name w:val="Light List - Accent 53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3">
    <w:name w:val="Light List - Accent 113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3">
    <w:name w:val="Light Grid - Accent 133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3">
    <w:name w:val="Medium Grid 1 - Accent 33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3">
    <w:name w:val="Grid Table 4 Accent 323"/>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3">
    <w:name w:val="Table Grid13"/>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unhideWhenUsed/>
    <w:rsid w:val="00C9597C"/>
  </w:style>
  <w:style w:type="table" w:customStyle="1" w:styleId="MediumGrid1-Accent141">
    <w:name w:val="Medium Grid 1 - Accent 1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1">
    <w:name w:val="Light Grid - Accent 11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1">
    <w:name w:val="Light Grid - Accent 5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1">
    <w:name w:val="Light Grid - Accent 12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1">
    <w:name w:val="Light List - Accent 5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1">
    <w:name w:val="Light List - Accent 11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1">
    <w:name w:val="Light Grid - Accent 13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1">
    <w:name w:val="Medium Grid 1 - Accent 3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1">
    <w:name w:val="Table Grid21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1">
    <w:name w:val="Medium Grid 3 - Accent 11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
    <w:name w:val="No List111"/>
    <w:next w:val="NoList"/>
    <w:uiPriority w:val="99"/>
    <w:unhideWhenUsed/>
    <w:rsid w:val="00C9597C"/>
  </w:style>
  <w:style w:type="table" w:customStyle="1" w:styleId="MediumGrid1-Accent1111">
    <w:name w:val="Medium Grid 1 - Accent 11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
    <w:name w:val="Light Grid - Accent 11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
    <w:name w:val="Light Grid - Accent 511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
    <w:name w:val="Light Grid - Accent 12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
    <w:name w:val="Light List - Accent 511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
    <w:name w:val="Light Grid - Accent 13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
    <w:name w:val="Medium Grid 1 - Accent 31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1">
    <w:name w:val="Grid Table 4 - Accent 31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1">
    <w:name w:val="No List211"/>
    <w:next w:val="NoList"/>
    <w:uiPriority w:val="99"/>
    <w:unhideWhenUsed/>
    <w:rsid w:val="00C9597C"/>
  </w:style>
  <w:style w:type="table" w:customStyle="1" w:styleId="MediumGrid1-Accent1211">
    <w:name w:val="Medium Grid 1 - Accent 12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1">
    <w:name w:val="Light Grid - Accent 112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1">
    <w:name w:val="Light Grid - Accent 52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1">
    <w:name w:val="Light Grid - Accent 122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1">
    <w:name w:val="Light List - Accent 52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1">
    <w:name w:val="Light List - Accent 112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1">
    <w:name w:val="Light Grid - Accent 132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1">
    <w:name w:val="Medium Grid 1 - Accent 32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1">
    <w:name w:val="Grid Table 4 Accent 31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1">
    <w:name w:val="No List311"/>
    <w:next w:val="NoList"/>
    <w:uiPriority w:val="99"/>
    <w:unhideWhenUsed/>
    <w:rsid w:val="00C9597C"/>
  </w:style>
  <w:style w:type="table" w:customStyle="1" w:styleId="MediumGrid1-Accent1311">
    <w:name w:val="Medium Grid 1 - Accent 13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1">
    <w:name w:val="Light Grid - Accent 113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1">
    <w:name w:val="Light Grid - Accent 53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1">
    <w:name w:val="Light Grid - Accent 123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1">
    <w:name w:val="Light List - Accent 53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1">
    <w:name w:val="Light List - Accent 113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1">
    <w:name w:val="Light Grid - Accent 133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1">
    <w:name w:val="Medium Grid 1 - Accent 33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1">
    <w:name w:val="Grid Table 4 Accent 32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1">
    <w:name w:val="Table Grid11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unhideWhenUsed/>
    <w:rsid w:val="00C9597C"/>
  </w:style>
  <w:style w:type="table" w:customStyle="1" w:styleId="MediumGrid1-Accent151">
    <w:name w:val="Medium Grid 1 - Accent 1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1">
    <w:name w:val="Light Grid - Accent 11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1">
    <w:name w:val="Light Grid - Accent 5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1">
    <w:name w:val="Light Grid - Accent 12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1">
    <w:name w:val="Light List - Accent 5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1">
    <w:name w:val="Light List - Accent 11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1">
    <w:name w:val="Light Grid - Accent 13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1">
    <w:name w:val="Medium Grid 1 - Accent 3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1">
    <w:name w:val="No List121"/>
    <w:next w:val="NoList"/>
    <w:uiPriority w:val="99"/>
    <w:unhideWhenUsed/>
    <w:rsid w:val="00C9597C"/>
  </w:style>
  <w:style w:type="numbering" w:customStyle="1" w:styleId="NoList221">
    <w:name w:val="No List221"/>
    <w:next w:val="NoList"/>
    <w:uiPriority w:val="99"/>
    <w:unhideWhenUsed/>
    <w:rsid w:val="00C9597C"/>
  </w:style>
  <w:style w:type="numbering" w:customStyle="1" w:styleId="NoList321">
    <w:name w:val="No List321"/>
    <w:next w:val="NoList"/>
    <w:uiPriority w:val="99"/>
    <w:unhideWhenUsed/>
    <w:rsid w:val="00C9597C"/>
  </w:style>
  <w:style w:type="numbering" w:customStyle="1" w:styleId="NoList61">
    <w:name w:val="No List61"/>
    <w:next w:val="NoList"/>
    <w:uiPriority w:val="99"/>
    <w:unhideWhenUsed/>
    <w:rsid w:val="00C9597C"/>
  </w:style>
  <w:style w:type="table" w:customStyle="1" w:styleId="MediumGrid1-Accent161">
    <w:name w:val="Medium Grid 1 - Accent 16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1">
    <w:name w:val="Light Grid - Accent 116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1">
    <w:name w:val="Light Grid - Accent 56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1">
    <w:name w:val="Light Grid - Accent 12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1">
    <w:name w:val="Light List - Accent 56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1">
    <w:name w:val="Light List - Accent 116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1">
    <w:name w:val="Light Grid - Accent 13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1">
    <w:name w:val="Medium Grid 1 - Accent 36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1">
    <w:name w:val="No List131"/>
    <w:next w:val="NoList"/>
    <w:uiPriority w:val="99"/>
    <w:unhideWhenUsed/>
    <w:rsid w:val="00C9597C"/>
  </w:style>
  <w:style w:type="numbering" w:customStyle="1" w:styleId="NoList231">
    <w:name w:val="No List231"/>
    <w:next w:val="NoList"/>
    <w:uiPriority w:val="99"/>
    <w:unhideWhenUsed/>
    <w:rsid w:val="00C9597C"/>
  </w:style>
  <w:style w:type="numbering" w:customStyle="1" w:styleId="NoList331">
    <w:name w:val="No List331"/>
    <w:next w:val="NoList"/>
    <w:uiPriority w:val="99"/>
    <w:unhideWhenUsed/>
    <w:rsid w:val="00C9597C"/>
  </w:style>
  <w:style w:type="numbering" w:customStyle="1" w:styleId="NoList8">
    <w:name w:val="No List8"/>
    <w:next w:val="NoList"/>
    <w:uiPriority w:val="99"/>
    <w:unhideWhenUsed/>
    <w:rsid w:val="00C9597C"/>
  </w:style>
  <w:style w:type="table" w:customStyle="1" w:styleId="TableGrid6">
    <w:name w:val="Table Grid6"/>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4">
    <w:name w:val="Medium Grid 3 - Accent 14"/>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8">
    <w:name w:val="Medium Grid 1 - Accent 18"/>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8">
    <w:name w:val="Light Grid - Accent 118"/>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8">
    <w:name w:val="Light Grid - Accent 58"/>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8">
    <w:name w:val="Light Grid - Accent 128"/>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8">
    <w:name w:val="Light List - Accent 58"/>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8">
    <w:name w:val="Light List - Accent 118"/>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8">
    <w:name w:val="Light Grid - Accent 13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8">
    <w:name w:val="Medium Grid 1 - Accent 38"/>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5">
    <w:name w:val="No List15"/>
    <w:next w:val="NoList"/>
    <w:uiPriority w:val="99"/>
    <w:unhideWhenUsed/>
    <w:rsid w:val="00C9597C"/>
  </w:style>
  <w:style w:type="table" w:customStyle="1" w:styleId="MediumGrid1-Accent114">
    <w:name w:val="Medium Grid 1 - Accent 11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
    <w:name w:val="Light Grid - Accent 11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
    <w:name w:val="Light Grid - Accent 514"/>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4">
    <w:name w:val="Light Grid - Accent 12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4">
    <w:name w:val="Light List - Accent 514"/>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4">
    <w:name w:val="Light List - Accent 111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4">
    <w:name w:val="Light Grid - Accent 13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4">
    <w:name w:val="Medium Grid 1 - Accent 31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4">
    <w:name w:val="Grid Table 4 - Accent 314"/>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5">
    <w:name w:val="No List25"/>
    <w:next w:val="NoList"/>
    <w:uiPriority w:val="99"/>
    <w:unhideWhenUsed/>
    <w:rsid w:val="00C9597C"/>
  </w:style>
  <w:style w:type="table" w:customStyle="1" w:styleId="MediumGrid1-Accent124">
    <w:name w:val="Medium Grid 1 - Accent 12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4">
    <w:name w:val="Light Grid - Accent 112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4">
    <w:name w:val="Light Grid - Accent 52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4">
    <w:name w:val="Light Grid - Accent 122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4">
    <w:name w:val="Light List - Accent 52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4">
    <w:name w:val="Light List - Accent 112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4">
    <w:name w:val="Light Grid - Accent 132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4">
    <w:name w:val="Medium Grid 1 - Accent 32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4">
    <w:name w:val="Grid Table 4 Accent 314"/>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5">
    <w:name w:val="No List35"/>
    <w:next w:val="NoList"/>
    <w:uiPriority w:val="99"/>
    <w:unhideWhenUsed/>
    <w:rsid w:val="00C9597C"/>
  </w:style>
  <w:style w:type="table" w:customStyle="1" w:styleId="MediumGrid1-Accent134">
    <w:name w:val="Medium Grid 1 - Accent 13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4">
    <w:name w:val="Light Grid - Accent 113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4">
    <w:name w:val="Light Grid - Accent 53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4">
    <w:name w:val="Light Grid - Accent 123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4">
    <w:name w:val="Light List - Accent 53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4">
    <w:name w:val="Light List - Accent 113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4">
    <w:name w:val="Light Grid - Accent 133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4">
    <w:name w:val="Medium Grid 1 - Accent 33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4">
    <w:name w:val="Grid Table 4 Accent 324"/>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
    <w:name w:val="Table Grid14"/>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unhideWhenUsed/>
    <w:rsid w:val="00C9597C"/>
  </w:style>
  <w:style w:type="table" w:customStyle="1" w:styleId="MediumGrid1-Accent142">
    <w:name w:val="Medium Grid 1 - Accent 14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2">
    <w:name w:val="Light Grid - Accent 1142"/>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2">
    <w:name w:val="Light Grid - Accent 542"/>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2">
    <w:name w:val="Light Grid - Accent 124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2">
    <w:name w:val="Light List - Accent 542"/>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2">
    <w:name w:val="Light List - Accent 114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2">
    <w:name w:val="Light Grid - Accent 134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2">
    <w:name w:val="Medium Grid 1 - Accent 34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2">
    <w:name w:val="Table Grid212"/>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2">
    <w:name w:val="Medium Grid 3 - Accent 112"/>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2">
    <w:name w:val="No List112"/>
    <w:next w:val="NoList"/>
    <w:uiPriority w:val="99"/>
    <w:unhideWhenUsed/>
    <w:rsid w:val="00C9597C"/>
  </w:style>
  <w:style w:type="table" w:customStyle="1" w:styleId="MediumGrid1-Accent1112">
    <w:name w:val="Medium Grid 1 - Accent 111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2">
    <w:name w:val="Light Grid - Accent 111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
    <w:name w:val="Light Grid - Accent 5112"/>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2">
    <w:name w:val="Light Grid - Accent 121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2">
    <w:name w:val="Light List - Accent 5112"/>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2">
    <w:name w:val="Light List - Accent 1111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2">
    <w:name w:val="Light Grid - Accent 131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2">
    <w:name w:val="Medium Grid 1 - Accent 311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2">
    <w:name w:val="Grid Table 4 - Accent 3112"/>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2">
    <w:name w:val="No List212"/>
    <w:next w:val="NoList"/>
    <w:uiPriority w:val="99"/>
    <w:unhideWhenUsed/>
    <w:rsid w:val="00C9597C"/>
  </w:style>
  <w:style w:type="table" w:customStyle="1" w:styleId="MediumGrid1-Accent1212">
    <w:name w:val="Medium Grid 1 - Accent 121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2">
    <w:name w:val="Light Grid - Accent 11212"/>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2">
    <w:name w:val="Light Grid - Accent 5212"/>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2">
    <w:name w:val="Light Grid - Accent 122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2">
    <w:name w:val="Light List - Accent 5212"/>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2">
    <w:name w:val="Light List - Accent 1121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2">
    <w:name w:val="Light Grid - Accent 132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2">
    <w:name w:val="Medium Grid 1 - Accent 321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2">
    <w:name w:val="Grid Table 4 Accent 3112"/>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2">
    <w:name w:val="No List312"/>
    <w:next w:val="NoList"/>
    <w:uiPriority w:val="99"/>
    <w:unhideWhenUsed/>
    <w:rsid w:val="00C9597C"/>
  </w:style>
  <w:style w:type="table" w:customStyle="1" w:styleId="MediumGrid1-Accent1312">
    <w:name w:val="Medium Grid 1 - Accent 131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2">
    <w:name w:val="Light Grid - Accent 11312"/>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2">
    <w:name w:val="Light Grid - Accent 5312"/>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2">
    <w:name w:val="Light Grid - Accent 123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2">
    <w:name w:val="Light List - Accent 5312"/>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2">
    <w:name w:val="Light List - Accent 1131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2">
    <w:name w:val="Light Grid - Accent 1331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2">
    <w:name w:val="Medium Grid 1 - Accent 331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2">
    <w:name w:val="Grid Table 4 Accent 3212"/>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2">
    <w:name w:val="Table Grid112"/>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NoList"/>
    <w:uiPriority w:val="99"/>
    <w:unhideWhenUsed/>
    <w:rsid w:val="00C9597C"/>
  </w:style>
  <w:style w:type="table" w:customStyle="1" w:styleId="MediumGrid1-Accent152">
    <w:name w:val="Medium Grid 1 - Accent 15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2">
    <w:name w:val="Light Grid - Accent 1152"/>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2">
    <w:name w:val="Light Grid - Accent 552"/>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2">
    <w:name w:val="Light Grid - Accent 125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2">
    <w:name w:val="Light List - Accent 552"/>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2">
    <w:name w:val="Light List - Accent 115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2">
    <w:name w:val="Light Grid - Accent 135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2">
    <w:name w:val="Medium Grid 1 - Accent 35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2">
    <w:name w:val="No List122"/>
    <w:next w:val="NoList"/>
    <w:uiPriority w:val="99"/>
    <w:unhideWhenUsed/>
    <w:rsid w:val="00C9597C"/>
  </w:style>
  <w:style w:type="numbering" w:customStyle="1" w:styleId="NoList222">
    <w:name w:val="No List222"/>
    <w:next w:val="NoList"/>
    <w:uiPriority w:val="99"/>
    <w:unhideWhenUsed/>
    <w:rsid w:val="00C9597C"/>
  </w:style>
  <w:style w:type="numbering" w:customStyle="1" w:styleId="NoList322">
    <w:name w:val="No List322"/>
    <w:next w:val="NoList"/>
    <w:uiPriority w:val="99"/>
    <w:unhideWhenUsed/>
    <w:rsid w:val="00C9597C"/>
  </w:style>
  <w:style w:type="numbering" w:customStyle="1" w:styleId="NoList62">
    <w:name w:val="No List62"/>
    <w:next w:val="NoList"/>
    <w:uiPriority w:val="99"/>
    <w:unhideWhenUsed/>
    <w:rsid w:val="00C9597C"/>
  </w:style>
  <w:style w:type="table" w:customStyle="1" w:styleId="MediumGrid1-Accent162">
    <w:name w:val="Medium Grid 1 - Accent 162"/>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2">
    <w:name w:val="Light Grid - Accent 1162"/>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2">
    <w:name w:val="Light Grid - Accent 562"/>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2">
    <w:name w:val="Light Grid - Accent 126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2">
    <w:name w:val="Light List - Accent 562"/>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2">
    <w:name w:val="Light List - Accent 1162"/>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2">
    <w:name w:val="Light Grid - Accent 1362"/>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2">
    <w:name w:val="Medium Grid 1 - Accent 362"/>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2">
    <w:name w:val="No List132"/>
    <w:next w:val="NoList"/>
    <w:uiPriority w:val="99"/>
    <w:unhideWhenUsed/>
    <w:rsid w:val="00C9597C"/>
  </w:style>
  <w:style w:type="numbering" w:customStyle="1" w:styleId="NoList232">
    <w:name w:val="No List232"/>
    <w:next w:val="NoList"/>
    <w:uiPriority w:val="99"/>
    <w:unhideWhenUsed/>
    <w:rsid w:val="00C9597C"/>
  </w:style>
  <w:style w:type="numbering" w:customStyle="1" w:styleId="NoList332">
    <w:name w:val="No List332"/>
    <w:next w:val="NoList"/>
    <w:uiPriority w:val="99"/>
    <w:unhideWhenUsed/>
    <w:rsid w:val="00C9597C"/>
  </w:style>
  <w:style w:type="numbering" w:customStyle="1" w:styleId="NoList9">
    <w:name w:val="No List9"/>
    <w:next w:val="NoList"/>
    <w:uiPriority w:val="99"/>
    <w:unhideWhenUsed/>
    <w:rsid w:val="00C9597C"/>
  </w:style>
  <w:style w:type="table" w:customStyle="1" w:styleId="TableGrid7">
    <w:name w:val="Table Grid7"/>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5">
    <w:name w:val="Medium Grid 3 - Accent 15"/>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9">
    <w:name w:val="Medium Grid 1 - Accent 19"/>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
    <w:name w:val="Light Grid - Accent 119"/>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9">
    <w:name w:val="Light Grid - Accent 59"/>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9">
    <w:name w:val="Light Grid - Accent 129"/>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9">
    <w:name w:val="Light List - Accent 59"/>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9">
    <w:name w:val="Light Grid - Accent 139"/>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9">
    <w:name w:val="Medium Grid 1 - Accent 39"/>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6">
    <w:name w:val="No List16"/>
    <w:next w:val="NoList"/>
    <w:uiPriority w:val="99"/>
    <w:unhideWhenUsed/>
    <w:rsid w:val="00C9597C"/>
  </w:style>
  <w:style w:type="table" w:customStyle="1" w:styleId="MediumGrid1-Accent115">
    <w:name w:val="Medium Grid 1 - Accent 11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
    <w:name w:val="Light Grid - Accent 11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
    <w:name w:val="Light Grid - Accent 515"/>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5">
    <w:name w:val="Light Grid - Accent 12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5">
    <w:name w:val="Light List - Accent 515"/>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5">
    <w:name w:val="Light List - Accent 111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5">
    <w:name w:val="Light Grid - Accent 13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5">
    <w:name w:val="Medium Grid 1 - Accent 31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5">
    <w:name w:val="Grid Table 4 - Accent 315"/>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6">
    <w:name w:val="No List26"/>
    <w:next w:val="NoList"/>
    <w:uiPriority w:val="99"/>
    <w:unhideWhenUsed/>
    <w:rsid w:val="00C9597C"/>
  </w:style>
  <w:style w:type="table" w:customStyle="1" w:styleId="MediumGrid1-Accent125">
    <w:name w:val="Medium Grid 1 - Accent 12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5">
    <w:name w:val="Light Grid - Accent 112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5">
    <w:name w:val="Light Grid - Accent 52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5">
    <w:name w:val="Light Grid - Accent 122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5">
    <w:name w:val="Light List - Accent 52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5">
    <w:name w:val="Light List - Accent 112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5">
    <w:name w:val="Light Grid - Accent 132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5">
    <w:name w:val="Medium Grid 1 - Accent 32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5">
    <w:name w:val="Grid Table 4 Accent 315"/>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6">
    <w:name w:val="No List36"/>
    <w:next w:val="NoList"/>
    <w:uiPriority w:val="99"/>
    <w:unhideWhenUsed/>
    <w:rsid w:val="00C9597C"/>
  </w:style>
  <w:style w:type="table" w:customStyle="1" w:styleId="MediumGrid1-Accent135">
    <w:name w:val="Medium Grid 1 - Accent 13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5">
    <w:name w:val="Light Grid - Accent 113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5">
    <w:name w:val="Light Grid - Accent 53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5">
    <w:name w:val="Light Grid - Accent 123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5">
    <w:name w:val="Light List - Accent 53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5">
    <w:name w:val="Light List - Accent 113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5">
    <w:name w:val="Light Grid - Accent 133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5">
    <w:name w:val="Medium Grid 1 - Accent 33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5">
    <w:name w:val="Grid Table 4 Accent 325"/>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5">
    <w:name w:val="Table Grid15"/>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NoList"/>
    <w:uiPriority w:val="99"/>
    <w:unhideWhenUsed/>
    <w:rsid w:val="00C9597C"/>
  </w:style>
  <w:style w:type="table" w:customStyle="1" w:styleId="MediumGrid1-Accent143">
    <w:name w:val="Medium Grid 1 - Accent 14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3">
    <w:name w:val="Light Grid - Accent 114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3">
    <w:name w:val="Light Grid - Accent 54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3">
    <w:name w:val="Light Grid - Accent 124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3">
    <w:name w:val="Light List - Accent 54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3">
    <w:name w:val="Light List - Accent 114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3">
    <w:name w:val="Light Grid - Accent 134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3">
    <w:name w:val="Medium Grid 1 - Accent 34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3">
    <w:name w:val="Table Grid213"/>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3">
    <w:name w:val="Medium Grid 3 - Accent 113"/>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3">
    <w:name w:val="No List113"/>
    <w:next w:val="NoList"/>
    <w:uiPriority w:val="99"/>
    <w:unhideWhenUsed/>
    <w:rsid w:val="00C9597C"/>
  </w:style>
  <w:style w:type="table" w:customStyle="1" w:styleId="MediumGrid1-Accent1113">
    <w:name w:val="Medium Grid 1 - Accent 111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3">
    <w:name w:val="Light Grid - Accent 111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
    <w:name w:val="Light Grid - Accent 5113"/>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3">
    <w:name w:val="Light Grid - Accent 121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3">
    <w:name w:val="Light List - Accent 5113"/>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
    <w:name w:val="Light List - Accent 1111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3">
    <w:name w:val="Light Grid - Accent 131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3">
    <w:name w:val="Medium Grid 1 - Accent 311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3">
    <w:name w:val="Grid Table 4 - Accent 3113"/>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3">
    <w:name w:val="No List213"/>
    <w:next w:val="NoList"/>
    <w:uiPriority w:val="99"/>
    <w:unhideWhenUsed/>
    <w:rsid w:val="00C9597C"/>
  </w:style>
  <w:style w:type="table" w:customStyle="1" w:styleId="MediumGrid1-Accent1213">
    <w:name w:val="Medium Grid 1 - Accent 121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3">
    <w:name w:val="Light Grid - Accent 1121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3">
    <w:name w:val="Light Grid - Accent 521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3">
    <w:name w:val="Light Grid - Accent 122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3">
    <w:name w:val="Light List - Accent 521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3">
    <w:name w:val="Light List - Accent 1121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3">
    <w:name w:val="Light Grid - Accent 132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3">
    <w:name w:val="Medium Grid 1 - Accent 321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3">
    <w:name w:val="Grid Table 4 Accent 3113"/>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3">
    <w:name w:val="No List313"/>
    <w:next w:val="NoList"/>
    <w:uiPriority w:val="99"/>
    <w:unhideWhenUsed/>
    <w:rsid w:val="00C9597C"/>
  </w:style>
  <w:style w:type="table" w:customStyle="1" w:styleId="MediumGrid1-Accent1313">
    <w:name w:val="Medium Grid 1 - Accent 131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3">
    <w:name w:val="Light Grid - Accent 1131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3">
    <w:name w:val="Light Grid - Accent 531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3">
    <w:name w:val="Light Grid - Accent 123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3">
    <w:name w:val="Light List - Accent 531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3">
    <w:name w:val="Light List - Accent 1131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3">
    <w:name w:val="Light Grid - Accent 1331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3">
    <w:name w:val="Medium Grid 1 - Accent 331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3">
    <w:name w:val="Grid Table 4 Accent 3213"/>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3">
    <w:name w:val="Table Grid113"/>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NoList"/>
    <w:uiPriority w:val="99"/>
    <w:unhideWhenUsed/>
    <w:rsid w:val="00C9597C"/>
  </w:style>
  <w:style w:type="table" w:customStyle="1" w:styleId="MediumGrid1-Accent153">
    <w:name w:val="Medium Grid 1 - Accent 15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3">
    <w:name w:val="Light Grid - Accent 115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3">
    <w:name w:val="Light Grid - Accent 55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3">
    <w:name w:val="Light Grid - Accent 125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3">
    <w:name w:val="Light List - Accent 55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3">
    <w:name w:val="Light List - Accent 115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3">
    <w:name w:val="Light Grid - Accent 135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3">
    <w:name w:val="Medium Grid 1 - Accent 35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3">
    <w:name w:val="No List123"/>
    <w:next w:val="NoList"/>
    <w:uiPriority w:val="99"/>
    <w:unhideWhenUsed/>
    <w:rsid w:val="00C9597C"/>
  </w:style>
  <w:style w:type="numbering" w:customStyle="1" w:styleId="NoList223">
    <w:name w:val="No List223"/>
    <w:next w:val="NoList"/>
    <w:uiPriority w:val="99"/>
    <w:unhideWhenUsed/>
    <w:rsid w:val="00C9597C"/>
  </w:style>
  <w:style w:type="numbering" w:customStyle="1" w:styleId="NoList323">
    <w:name w:val="No List323"/>
    <w:next w:val="NoList"/>
    <w:uiPriority w:val="99"/>
    <w:unhideWhenUsed/>
    <w:rsid w:val="00C9597C"/>
  </w:style>
  <w:style w:type="numbering" w:customStyle="1" w:styleId="NoList63">
    <w:name w:val="No List63"/>
    <w:next w:val="NoList"/>
    <w:uiPriority w:val="99"/>
    <w:unhideWhenUsed/>
    <w:rsid w:val="00C9597C"/>
  </w:style>
  <w:style w:type="table" w:customStyle="1" w:styleId="MediumGrid1-Accent163">
    <w:name w:val="Medium Grid 1 - Accent 163"/>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3">
    <w:name w:val="Light Grid - Accent 1163"/>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3">
    <w:name w:val="Light Grid - Accent 563"/>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3">
    <w:name w:val="Light Grid - Accent 126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3">
    <w:name w:val="Light List - Accent 563"/>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3">
    <w:name w:val="Light List - Accent 1163"/>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3">
    <w:name w:val="Light Grid - Accent 1363"/>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3">
    <w:name w:val="Medium Grid 1 - Accent 363"/>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3">
    <w:name w:val="No List133"/>
    <w:next w:val="NoList"/>
    <w:uiPriority w:val="99"/>
    <w:unhideWhenUsed/>
    <w:rsid w:val="00C9597C"/>
  </w:style>
  <w:style w:type="numbering" w:customStyle="1" w:styleId="NoList233">
    <w:name w:val="No List233"/>
    <w:next w:val="NoList"/>
    <w:uiPriority w:val="99"/>
    <w:unhideWhenUsed/>
    <w:rsid w:val="00C9597C"/>
  </w:style>
  <w:style w:type="numbering" w:customStyle="1" w:styleId="NoList333">
    <w:name w:val="No List333"/>
    <w:next w:val="NoList"/>
    <w:uiPriority w:val="99"/>
    <w:unhideWhenUsed/>
    <w:rsid w:val="00C9597C"/>
  </w:style>
  <w:style w:type="numbering" w:customStyle="1" w:styleId="NoList10">
    <w:name w:val="No List10"/>
    <w:next w:val="NoList"/>
    <w:uiPriority w:val="99"/>
    <w:unhideWhenUsed/>
    <w:rsid w:val="00C9597C"/>
  </w:style>
  <w:style w:type="table" w:customStyle="1" w:styleId="TableGrid8">
    <w:name w:val="Table Grid8"/>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6">
    <w:name w:val="Medium Grid 3 - Accent 16"/>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0">
    <w:name w:val="Medium Grid 1 - Accent 110"/>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
    <w:name w:val="Light Grid - Accent 1110"/>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0">
    <w:name w:val="Light Grid - Accent 510"/>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0">
    <w:name w:val="Light Grid - Accent 1210"/>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0">
    <w:name w:val="Light List - Accent 510"/>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0">
    <w:name w:val="Light List - Accent 1110"/>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0">
    <w:name w:val="Light Grid - Accent 1310"/>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0">
    <w:name w:val="Medium Grid 1 - Accent 310"/>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7">
    <w:name w:val="No List17"/>
    <w:next w:val="NoList"/>
    <w:uiPriority w:val="99"/>
    <w:unhideWhenUsed/>
    <w:rsid w:val="00C9597C"/>
  </w:style>
  <w:style w:type="table" w:customStyle="1" w:styleId="MediumGrid1-Accent116">
    <w:name w:val="Medium Grid 1 - Accent 11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6">
    <w:name w:val="Light Grid - Accent 11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
    <w:name w:val="Light Grid - Accent 516"/>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6">
    <w:name w:val="Light Grid - Accent 12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6">
    <w:name w:val="Light List - Accent 516"/>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6">
    <w:name w:val="Light List - Accent 111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6">
    <w:name w:val="Light Grid - Accent 13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6">
    <w:name w:val="Medium Grid 1 - Accent 31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6">
    <w:name w:val="Grid Table 4 - Accent 316"/>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7">
    <w:name w:val="No List27"/>
    <w:next w:val="NoList"/>
    <w:uiPriority w:val="99"/>
    <w:unhideWhenUsed/>
    <w:rsid w:val="00C9597C"/>
  </w:style>
  <w:style w:type="table" w:customStyle="1" w:styleId="MediumGrid1-Accent126">
    <w:name w:val="Medium Grid 1 - Accent 12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6">
    <w:name w:val="Light Grid - Accent 1126"/>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6">
    <w:name w:val="Light Grid - Accent 526"/>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6">
    <w:name w:val="Light Grid - Accent 122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6">
    <w:name w:val="Light List - Accent 526"/>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6">
    <w:name w:val="Light List - Accent 112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6">
    <w:name w:val="Light Grid - Accent 132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6">
    <w:name w:val="Medium Grid 1 - Accent 32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6">
    <w:name w:val="Grid Table 4 Accent 316"/>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7">
    <w:name w:val="No List37"/>
    <w:next w:val="NoList"/>
    <w:uiPriority w:val="99"/>
    <w:unhideWhenUsed/>
    <w:rsid w:val="00C9597C"/>
  </w:style>
  <w:style w:type="table" w:customStyle="1" w:styleId="MediumGrid1-Accent136">
    <w:name w:val="Medium Grid 1 - Accent 13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6">
    <w:name w:val="Light Grid - Accent 1136"/>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6">
    <w:name w:val="Light Grid - Accent 536"/>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6">
    <w:name w:val="Light Grid - Accent 123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6">
    <w:name w:val="Light List - Accent 536"/>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6">
    <w:name w:val="Light List - Accent 113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6">
    <w:name w:val="Light Grid - Accent 133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6">
    <w:name w:val="Medium Grid 1 - Accent 33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6">
    <w:name w:val="Grid Table 4 Accent 326"/>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6">
    <w:name w:val="Table Grid16"/>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
    <w:name w:val="No List44"/>
    <w:next w:val="NoList"/>
    <w:uiPriority w:val="99"/>
    <w:unhideWhenUsed/>
    <w:rsid w:val="00C9597C"/>
  </w:style>
  <w:style w:type="table" w:customStyle="1" w:styleId="MediumGrid1-Accent144">
    <w:name w:val="Medium Grid 1 - Accent 14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4">
    <w:name w:val="Light Grid - Accent 114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4">
    <w:name w:val="Light Grid - Accent 54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4">
    <w:name w:val="Light Grid - Accent 124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4">
    <w:name w:val="Light List - Accent 54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4">
    <w:name w:val="Light List - Accent 114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4">
    <w:name w:val="Light Grid - Accent 134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4">
    <w:name w:val="Medium Grid 1 - Accent 34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4">
    <w:name w:val="Table Grid214"/>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4">
    <w:name w:val="Medium Grid 3 - Accent 114"/>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4">
    <w:name w:val="No List114"/>
    <w:next w:val="NoList"/>
    <w:uiPriority w:val="99"/>
    <w:unhideWhenUsed/>
    <w:rsid w:val="00C9597C"/>
  </w:style>
  <w:style w:type="table" w:customStyle="1" w:styleId="MediumGrid1-Accent1114">
    <w:name w:val="Medium Grid 1 - Accent 111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4">
    <w:name w:val="Light Grid - Accent 111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4">
    <w:name w:val="Light Grid - Accent 5114"/>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4">
    <w:name w:val="Light Grid - Accent 121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4">
    <w:name w:val="Light List - Accent 5114"/>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4">
    <w:name w:val="Light List - Accent 1111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4">
    <w:name w:val="Light Grid - Accent 131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4">
    <w:name w:val="Medium Grid 1 - Accent 311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4">
    <w:name w:val="Grid Table 4 - Accent 3114"/>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4">
    <w:name w:val="No List214"/>
    <w:next w:val="NoList"/>
    <w:uiPriority w:val="99"/>
    <w:unhideWhenUsed/>
    <w:rsid w:val="00C9597C"/>
  </w:style>
  <w:style w:type="table" w:customStyle="1" w:styleId="MediumGrid1-Accent1214">
    <w:name w:val="Medium Grid 1 - Accent 121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4">
    <w:name w:val="Light Grid - Accent 1121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4">
    <w:name w:val="Light Grid - Accent 521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4">
    <w:name w:val="Light Grid - Accent 122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4">
    <w:name w:val="Light List - Accent 521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4">
    <w:name w:val="Light List - Accent 1121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4">
    <w:name w:val="Light Grid - Accent 132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4">
    <w:name w:val="Medium Grid 1 - Accent 321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4">
    <w:name w:val="Grid Table 4 Accent 3114"/>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4">
    <w:name w:val="No List314"/>
    <w:next w:val="NoList"/>
    <w:uiPriority w:val="99"/>
    <w:unhideWhenUsed/>
    <w:rsid w:val="00C9597C"/>
  </w:style>
  <w:style w:type="table" w:customStyle="1" w:styleId="MediumGrid1-Accent1314">
    <w:name w:val="Medium Grid 1 - Accent 131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4">
    <w:name w:val="Light Grid - Accent 1131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4">
    <w:name w:val="Light Grid - Accent 531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4">
    <w:name w:val="Light Grid - Accent 123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4">
    <w:name w:val="Light List - Accent 531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4">
    <w:name w:val="Light List - Accent 1131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4">
    <w:name w:val="Light Grid - Accent 1331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4">
    <w:name w:val="Medium Grid 1 - Accent 331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4">
    <w:name w:val="Grid Table 4 Accent 3214"/>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4">
    <w:name w:val="Table Grid114"/>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
    <w:name w:val="No List54"/>
    <w:next w:val="NoList"/>
    <w:uiPriority w:val="99"/>
    <w:unhideWhenUsed/>
    <w:rsid w:val="00C9597C"/>
  </w:style>
  <w:style w:type="table" w:customStyle="1" w:styleId="MediumGrid1-Accent154">
    <w:name w:val="Medium Grid 1 - Accent 15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4">
    <w:name w:val="Light Grid - Accent 115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4">
    <w:name w:val="Light Grid - Accent 55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4">
    <w:name w:val="Light Grid - Accent 125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4">
    <w:name w:val="Light List - Accent 55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4">
    <w:name w:val="Light List - Accent 115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4">
    <w:name w:val="Light Grid - Accent 135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4">
    <w:name w:val="Medium Grid 1 - Accent 35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4">
    <w:name w:val="No List124"/>
    <w:next w:val="NoList"/>
    <w:uiPriority w:val="99"/>
    <w:unhideWhenUsed/>
    <w:rsid w:val="00C9597C"/>
  </w:style>
  <w:style w:type="numbering" w:customStyle="1" w:styleId="NoList224">
    <w:name w:val="No List224"/>
    <w:next w:val="NoList"/>
    <w:uiPriority w:val="99"/>
    <w:unhideWhenUsed/>
    <w:rsid w:val="00C9597C"/>
  </w:style>
  <w:style w:type="numbering" w:customStyle="1" w:styleId="NoList324">
    <w:name w:val="No List324"/>
    <w:next w:val="NoList"/>
    <w:uiPriority w:val="99"/>
    <w:unhideWhenUsed/>
    <w:rsid w:val="00C9597C"/>
  </w:style>
  <w:style w:type="numbering" w:customStyle="1" w:styleId="NoList64">
    <w:name w:val="No List64"/>
    <w:next w:val="NoList"/>
    <w:uiPriority w:val="99"/>
    <w:unhideWhenUsed/>
    <w:rsid w:val="00C9597C"/>
  </w:style>
  <w:style w:type="table" w:customStyle="1" w:styleId="MediumGrid1-Accent164">
    <w:name w:val="Medium Grid 1 - Accent 164"/>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4">
    <w:name w:val="Light Grid - Accent 1164"/>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4">
    <w:name w:val="Light Grid - Accent 564"/>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4">
    <w:name w:val="Light Grid - Accent 126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4">
    <w:name w:val="Light List - Accent 564"/>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4">
    <w:name w:val="Light List - Accent 1164"/>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4">
    <w:name w:val="Light Grid - Accent 1364"/>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4">
    <w:name w:val="Medium Grid 1 - Accent 364"/>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4">
    <w:name w:val="No List134"/>
    <w:next w:val="NoList"/>
    <w:uiPriority w:val="99"/>
    <w:unhideWhenUsed/>
    <w:rsid w:val="00C9597C"/>
  </w:style>
  <w:style w:type="numbering" w:customStyle="1" w:styleId="NoList234">
    <w:name w:val="No List234"/>
    <w:next w:val="NoList"/>
    <w:uiPriority w:val="99"/>
    <w:unhideWhenUsed/>
    <w:rsid w:val="00C9597C"/>
  </w:style>
  <w:style w:type="numbering" w:customStyle="1" w:styleId="NoList334">
    <w:name w:val="No List334"/>
    <w:next w:val="NoList"/>
    <w:uiPriority w:val="99"/>
    <w:unhideWhenUsed/>
    <w:rsid w:val="00C9597C"/>
  </w:style>
  <w:style w:type="numbering" w:customStyle="1" w:styleId="NoList18">
    <w:name w:val="No List18"/>
    <w:next w:val="NoList"/>
    <w:uiPriority w:val="99"/>
    <w:unhideWhenUsed/>
    <w:rsid w:val="00C9597C"/>
  </w:style>
  <w:style w:type="table" w:customStyle="1" w:styleId="TableGrid9">
    <w:name w:val="Table Grid9"/>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7">
    <w:name w:val="Medium Grid 3 - Accent 17"/>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7">
    <w:name w:val="Medium Grid 1 - Accent 117"/>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7">
    <w:name w:val="Light Grid - Accent 1117"/>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7">
    <w:name w:val="Light Grid - Accent 517"/>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7">
    <w:name w:val="Light Grid - Accent 1217"/>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7">
    <w:name w:val="Light List - Accent 517"/>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7">
    <w:name w:val="Light List - Accent 1117"/>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7">
    <w:name w:val="Light Grid - Accent 1317"/>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7">
    <w:name w:val="Medium Grid 1 - Accent 317"/>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9">
    <w:name w:val="No List19"/>
    <w:next w:val="NoList"/>
    <w:uiPriority w:val="99"/>
    <w:unhideWhenUsed/>
    <w:rsid w:val="00C9597C"/>
  </w:style>
  <w:style w:type="table" w:customStyle="1" w:styleId="MediumGrid1-Accent118">
    <w:name w:val="Medium Grid 1 - Accent 118"/>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8">
    <w:name w:val="Light Grid - Accent 111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8">
    <w:name w:val="Light Grid - Accent 518"/>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8">
    <w:name w:val="Light Grid - Accent 121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8">
    <w:name w:val="Light List - Accent 518"/>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8">
    <w:name w:val="Light List - Accent 1118"/>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8">
    <w:name w:val="Light Grid - Accent 131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8">
    <w:name w:val="Medium Grid 1 - Accent 318"/>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7">
    <w:name w:val="Grid Table 4 - Accent 317"/>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8">
    <w:name w:val="No List28"/>
    <w:next w:val="NoList"/>
    <w:uiPriority w:val="99"/>
    <w:unhideWhenUsed/>
    <w:rsid w:val="00C9597C"/>
  </w:style>
  <w:style w:type="table" w:customStyle="1" w:styleId="MediumGrid1-Accent127">
    <w:name w:val="Medium Grid 1 - Accent 127"/>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7">
    <w:name w:val="Light Grid - Accent 1127"/>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7">
    <w:name w:val="Light Grid - Accent 527"/>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7">
    <w:name w:val="Light Grid - Accent 1227"/>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7">
    <w:name w:val="Light List - Accent 527"/>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7">
    <w:name w:val="Light List - Accent 1127"/>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7">
    <w:name w:val="Light Grid - Accent 1327"/>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7">
    <w:name w:val="Medium Grid 1 - Accent 327"/>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7">
    <w:name w:val="Grid Table 4 Accent 317"/>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8">
    <w:name w:val="No List38"/>
    <w:next w:val="NoList"/>
    <w:uiPriority w:val="99"/>
    <w:unhideWhenUsed/>
    <w:rsid w:val="00C9597C"/>
  </w:style>
  <w:style w:type="table" w:customStyle="1" w:styleId="MediumGrid1-Accent137">
    <w:name w:val="Medium Grid 1 - Accent 137"/>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7">
    <w:name w:val="Light Grid - Accent 1137"/>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7">
    <w:name w:val="Light Grid - Accent 537"/>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7">
    <w:name w:val="Light Grid - Accent 1237"/>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7">
    <w:name w:val="Light List - Accent 537"/>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7">
    <w:name w:val="Light List - Accent 1137"/>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7">
    <w:name w:val="Light Grid - Accent 1337"/>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7">
    <w:name w:val="Medium Grid 1 - Accent 337"/>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7">
    <w:name w:val="Grid Table 4 Accent 327"/>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7">
    <w:name w:val="Table Grid17"/>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
    <w:name w:val="No List45"/>
    <w:next w:val="NoList"/>
    <w:uiPriority w:val="99"/>
    <w:unhideWhenUsed/>
    <w:rsid w:val="00C9597C"/>
  </w:style>
  <w:style w:type="table" w:customStyle="1" w:styleId="MediumGrid1-Accent145">
    <w:name w:val="Medium Grid 1 - Accent 14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5">
    <w:name w:val="Light Grid - Accent 114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5">
    <w:name w:val="Light Grid - Accent 54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5">
    <w:name w:val="Light Grid - Accent 124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5">
    <w:name w:val="Light List - Accent 54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5">
    <w:name w:val="Light List - Accent 114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5">
    <w:name w:val="Light Grid - Accent 134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5">
    <w:name w:val="Medium Grid 1 - Accent 34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5">
    <w:name w:val="Table Grid215"/>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5">
    <w:name w:val="Medium Grid 3 - Accent 115"/>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5">
    <w:name w:val="No List115"/>
    <w:next w:val="NoList"/>
    <w:uiPriority w:val="99"/>
    <w:unhideWhenUsed/>
    <w:rsid w:val="00C9597C"/>
  </w:style>
  <w:style w:type="table" w:customStyle="1" w:styleId="MediumGrid1-Accent1115">
    <w:name w:val="Medium Grid 1 - Accent 111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5">
    <w:name w:val="Light Grid - Accent 111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5">
    <w:name w:val="Light Grid - Accent 5115"/>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5">
    <w:name w:val="Light Grid - Accent 121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5">
    <w:name w:val="Light List - Accent 5115"/>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5">
    <w:name w:val="Light List - Accent 1111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5">
    <w:name w:val="Light Grid - Accent 131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5">
    <w:name w:val="Medium Grid 1 - Accent 311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5">
    <w:name w:val="Grid Table 4 - Accent 3115"/>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5">
    <w:name w:val="No List215"/>
    <w:next w:val="NoList"/>
    <w:uiPriority w:val="99"/>
    <w:unhideWhenUsed/>
    <w:rsid w:val="00C9597C"/>
  </w:style>
  <w:style w:type="table" w:customStyle="1" w:styleId="MediumGrid1-Accent1215">
    <w:name w:val="Medium Grid 1 - Accent 121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5">
    <w:name w:val="Light Grid - Accent 1121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5">
    <w:name w:val="Light Grid - Accent 521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5">
    <w:name w:val="Light Grid - Accent 122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5">
    <w:name w:val="Light List - Accent 521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5">
    <w:name w:val="Light List - Accent 1121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5">
    <w:name w:val="Light Grid - Accent 132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5">
    <w:name w:val="Medium Grid 1 - Accent 321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5">
    <w:name w:val="Grid Table 4 Accent 3115"/>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5">
    <w:name w:val="No List315"/>
    <w:next w:val="NoList"/>
    <w:uiPriority w:val="99"/>
    <w:unhideWhenUsed/>
    <w:rsid w:val="00C9597C"/>
  </w:style>
  <w:style w:type="table" w:customStyle="1" w:styleId="MediumGrid1-Accent1315">
    <w:name w:val="Medium Grid 1 - Accent 131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5">
    <w:name w:val="Light Grid - Accent 1131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5">
    <w:name w:val="Light Grid - Accent 531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5">
    <w:name w:val="Light Grid - Accent 123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5">
    <w:name w:val="Light List - Accent 531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5">
    <w:name w:val="Light List - Accent 1131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5">
    <w:name w:val="Light Grid - Accent 1331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5">
    <w:name w:val="Medium Grid 1 - Accent 331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5">
    <w:name w:val="Grid Table 4 Accent 3215"/>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5">
    <w:name w:val="Table Grid115"/>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
    <w:name w:val="No List55"/>
    <w:next w:val="NoList"/>
    <w:uiPriority w:val="99"/>
    <w:unhideWhenUsed/>
    <w:rsid w:val="00C9597C"/>
  </w:style>
  <w:style w:type="table" w:customStyle="1" w:styleId="MediumGrid1-Accent155">
    <w:name w:val="Medium Grid 1 - Accent 15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5">
    <w:name w:val="Light Grid - Accent 115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5">
    <w:name w:val="Light Grid - Accent 55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5">
    <w:name w:val="Light Grid - Accent 125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5">
    <w:name w:val="Light List - Accent 55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5">
    <w:name w:val="Light List - Accent 115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5">
    <w:name w:val="Light Grid - Accent 135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5">
    <w:name w:val="Medium Grid 1 - Accent 35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5">
    <w:name w:val="No List125"/>
    <w:next w:val="NoList"/>
    <w:uiPriority w:val="99"/>
    <w:unhideWhenUsed/>
    <w:rsid w:val="00C9597C"/>
  </w:style>
  <w:style w:type="numbering" w:customStyle="1" w:styleId="NoList225">
    <w:name w:val="No List225"/>
    <w:next w:val="NoList"/>
    <w:uiPriority w:val="99"/>
    <w:unhideWhenUsed/>
    <w:rsid w:val="00C9597C"/>
  </w:style>
  <w:style w:type="numbering" w:customStyle="1" w:styleId="NoList325">
    <w:name w:val="No List325"/>
    <w:next w:val="NoList"/>
    <w:uiPriority w:val="99"/>
    <w:unhideWhenUsed/>
    <w:rsid w:val="00C9597C"/>
  </w:style>
  <w:style w:type="numbering" w:customStyle="1" w:styleId="NoList65">
    <w:name w:val="No List65"/>
    <w:next w:val="NoList"/>
    <w:uiPriority w:val="99"/>
    <w:unhideWhenUsed/>
    <w:rsid w:val="00C9597C"/>
  </w:style>
  <w:style w:type="table" w:customStyle="1" w:styleId="MediumGrid1-Accent165">
    <w:name w:val="Medium Grid 1 - Accent 165"/>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5">
    <w:name w:val="Light Grid - Accent 1165"/>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5">
    <w:name w:val="Light Grid - Accent 565"/>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5">
    <w:name w:val="Light Grid - Accent 126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5">
    <w:name w:val="Light List - Accent 565"/>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5">
    <w:name w:val="Light List - Accent 1165"/>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5">
    <w:name w:val="Light Grid - Accent 1365"/>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5">
    <w:name w:val="Medium Grid 1 - Accent 365"/>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5">
    <w:name w:val="No List135"/>
    <w:next w:val="NoList"/>
    <w:uiPriority w:val="99"/>
    <w:unhideWhenUsed/>
    <w:rsid w:val="00C9597C"/>
  </w:style>
  <w:style w:type="numbering" w:customStyle="1" w:styleId="NoList235">
    <w:name w:val="No List235"/>
    <w:next w:val="NoList"/>
    <w:uiPriority w:val="99"/>
    <w:unhideWhenUsed/>
    <w:rsid w:val="00C9597C"/>
  </w:style>
  <w:style w:type="numbering" w:customStyle="1" w:styleId="NoList335">
    <w:name w:val="No List335"/>
    <w:next w:val="NoList"/>
    <w:uiPriority w:val="99"/>
    <w:unhideWhenUsed/>
    <w:rsid w:val="00C9597C"/>
  </w:style>
  <w:style w:type="numbering" w:customStyle="1" w:styleId="NoList20">
    <w:name w:val="No List20"/>
    <w:next w:val="NoList"/>
    <w:uiPriority w:val="99"/>
    <w:unhideWhenUsed/>
    <w:rsid w:val="00C9597C"/>
  </w:style>
  <w:style w:type="table" w:customStyle="1" w:styleId="TableGrid10">
    <w:name w:val="Table Grid10"/>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8">
    <w:name w:val="Medium Grid 3 - Accent 18"/>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9">
    <w:name w:val="Medium Grid 1 - Accent 119"/>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9">
    <w:name w:val="Light Grid - Accent 1119"/>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9">
    <w:name w:val="Light Grid - Accent 519"/>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9">
    <w:name w:val="Light Grid - Accent 1219"/>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9">
    <w:name w:val="Light List - Accent 519"/>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9">
    <w:name w:val="Light List - Accent 1119"/>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9">
    <w:name w:val="Light Grid - Accent 1319"/>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9">
    <w:name w:val="Medium Grid 1 - Accent 319"/>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10">
    <w:name w:val="No List110"/>
    <w:next w:val="NoList"/>
    <w:uiPriority w:val="99"/>
    <w:unhideWhenUsed/>
    <w:rsid w:val="00C9597C"/>
  </w:style>
  <w:style w:type="table" w:customStyle="1" w:styleId="MediumGrid1-Accent1110">
    <w:name w:val="Medium Grid 1 - Accent 1110"/>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0">
    <w:name w:val="Light Grid - Accent 11110"/>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0">
    <w:name w:val="Light Grid - Accent 5110"/>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0">
    <w:name w:val="Light Grid - Accent 12110"/>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0">
    <w:name w:val="Light List - Accent 5110"/>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0">
    <w:name w:val="Light List - Accent 11110"/>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0">
    <w:name w:val="Light Grid - Accent 13110"/>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0">
    <w:name w:val="Medium Grid 1 - Accent 3110"/>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8">
    <w:name w:val="Grid Table 4 - Accent 318"/>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9">
    <w:name w:val="No List29"/>
    <w:next w:val="NoList"/>
    <w:uiPriority w:val="99"/>
    <w:unhideWhenUsed/>
    <w:rsid w:val="00C9597C"/>
  </w:style>
  <w:style w:type="table" w:customStyle="1" w:styleId="MediumGrid1-Accent128">
    <w:name w:val="Medium Grid 1 - Accent 128"/>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8">
    <w:name w:val="Light Grid - Accent 1128"/>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8">
    <w:name w:val="Light Grid - Accent 528"/>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8">
    <w:name w:val="Light Grid - Accent 122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8">
    <w:name w:val="Light List - Accent 528"/>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8">
    <w:name w:val="Light List - Accent 1128"/>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8">
    <w:name w:val="Light Grid - Accent 132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8">
    <w:name w:val="Medium Grid 1 - Accent 328"/>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8">
    <w:name w:val="Grid Table 4 Accent 318"/>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9">
    <w:name w:val="No List39"/>
    <w:next w:val="NoList"/>
    <w:uiPriority w:val="99"/>
    <w:unhideWhenUsed/>
    <w:rsid w:val="00C9597C"/>
  </w:style>
  <w:style w:type="table" w:customStyle="1" w:styleId="MediumGrid1-Accent138">
    <w:name w:val="Medium Grid 1 - Accent 138"/>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8">
    <w:name w:val="Light Grid - Accent 1138"/>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8">
    <w:name w:val="Light Grid - Accent 538"/>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8">
    <w:name w:val="Light Grid - Accent 123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8">
    <w:name w:val="Light List - Accent 538"/>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8">
    <w:name w:val="Light List - Accent 1138"/>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8">
    <w:name w:val="Light Grid - Accent 1338"/>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8">
    <w:name w:val="Medium Grid 1 - Accent 338"/>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8">
    <w:name w:val="Grid Table 4 Accent 328"/>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8">
    <w:name w:val="Table Grid18"/>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6">
    <w:name w:val="No List46"/>
    <w:next w:val="NoList"/>
    <w:uiPriority w:val="99"/>
    <w:unhideWhenUsed/>
    <w:rsid w:val="00C9597C"/>
  </w:style>
  <w:style w:type="table" w:customStyle="1" w:styleId="MediumGrid1-Accent146">
    <w:name w:val="Medium Grid 1 - Accent 14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6">
    <w:name w:val="Light Grid - Accent 1146"/>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6">
    <w:name w:val="Light Grid - Accent 546"/>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6">
    <w:name w:val="Light Grid - Accent 124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6">
    <w:name w:val="Light List - Accent 546"/>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6">
    <w:name w:val="Light List - Accent 114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6">
    <w:name w:val="Light Grid - Accent 134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6">
    <w:name w:val="Medium Grid 1 - Accent 34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31">
    <w:name w:val="Table Grid3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6">
    <w:name w:val="Medium Grid 3 - Accent 116"/>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6">
    <w:name w:val="No List116"/>
    <w:next w:val="NoList"/>
    <w:uiPriority w:val="99"/>
    <w:unhideWhenUsed/>
    <w:rsid w:val="00C9597C"/>
  </w:style>
  <w:style w:type="table" w:customStyle="1" w:styleId="MediumGrid1-Accent1116">
    <w:name w:val="Medium Grid 1 - Accent 111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6">
    <w:name w:val="Light Grid - Accent 111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6">
    <w:name w:val="Light Grid - Accent 5116"/>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6">
    <w:name w:val="Light Grid - Accent 121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6">
    <w:name w:val="Light List - Accent 5116"/>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6">
    <w:name w:val="Light List - Accent 1111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6">
    <w:name w:val="Light Grid - Accent 131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6">
    <w:name w:val="Medium Grid 1 - Accent 311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6">
    <w:name w:val="Grid Table 4 - Accent 3116"/>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6">
    <w:name w:val="No List216"/>
    <w:next w:val="NoList"/>
    <w:uiPriority w:val="99"/>
    <w:unhideWhenUsed/>
    <w:rsid w:val="00C9597C"/>
  </w:style>
  <w:style w:type="table" w:customStyle="1" w:styleId="MediumGrid1-Accent1216">
    <w:name w:val="Medium Grid 1 - Accent 121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6">
    <w:name w:val="Light Grid - Accent 11216"/>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6">
    <w:name w:val="Light Grid - Accent 5216"/>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6">
    <w:name w:val="Light Grid - Accent 122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6">
    <w:name w:val="Light List - Accent 5216"/>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6">
    <w:name w:val="Light List - Accent 1121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6">
    <w:name w:val="Light Grid - Accent 132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6">
    <w:name w:val="Medium Grid 1 - Accent 321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6">
    <w:name w:val="Grid Table 4 Accent 3116"/>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6">
    <w:name w:val="No List316"/>
    <w:next w:val="NoList"/>
    <w:uiPriority w:val="99"/>
    <w:unhideWhenUsed/>
    <w:rsid w:val="00C9597C"/>
  </w:style>
  <w:style w:type="table" w:customStyle="1" w:styleId="MediumGrid1-Accent1316">
    <w:name w:val="Medium Grid 1 - Accent 131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6">
    <w:name w:val="Light Grid - Accent 11316"/>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6">
    <w:name w:val="Light Grid - Accent 5316"/>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6">
    <w:name w:val="Light Grid - Accent 123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6">
    <w:name w:val="Light List - Accent 5316"/>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6">
    <w:name w:val="Light List - Accent 1131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6">
    <w:name w:val="Light Grid - Accent 1331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6">
    <w:name w:val="Medium Grid 1 - Accent 331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6">
    <w:name w:val="Grid Table 4 Accent 3216"/>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6">
    <w:name w:val="Table Grid116"/>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6">
    <w:name w:val="No List56"/>
    <w:next w:val="NoList"/>
    <w:uiPriority w:val="99"/>
    <w:unhideWhenUsed/>
    <w:rsid w:val="00C9597C"/>
  </w:style>
  <w:style w:type="table" w:customStyle="1" w:styleId="TableGrid41">
    <w:name w:val="Table Grid41"/>
    <w:basedOn w:val="TableNormal"/>
    <w:next w:val="TableGrid"/>
    <w:uiPriority w:val="5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21">
    <w:name w:val="Medium Grid 3 - Accent 12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56">
    <w:name w:val="Medium Grid 1 - Accent 156"/>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6">
    <w:name w:val="Light Grid - Accent 1156"/>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56">
    <w:name w:val="Light Grid - Accent 556"/>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56">
    <w:name w:val="Light Grid - Accent 1256"/>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56">
    <w:name w:val="Light List - Accent 556"/>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6">
    <w:name w:val="Light List - Accent 1156"/>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56">
    <w:name w:val="Light Grid - Accent 135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56">
    <w:name w:val="Medium Grid 1 - Accent 35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6">
    <w:name w:val="No List126"/>
    <w:next w:val="NoList"/>
    <w:uiPriority w:val="99"/>
    <w:unhideWhenUsed/>
    <w:rsid w:val="00C9597C"/>
  </w:style>
  <w:style w:type="table" w:customStyle="1" w:styleId="MediumGrid1-Accent1121">
    <w:name w:val="Medium Grid 1 - Accent 11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21">
    <w:name w:val="Light Grid - Accent 11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1">
    <w:name w:val="Light Grid - Accent 512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21">
    <w:name w:val="Light Grid - Accent 12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21">
    <w:name w:val="Light List - Accent 512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21">
    <w:name w:val="Light Grid - Accent 13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21">
    <w:name w:val="Medium Grid 1 - Accent 31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21">
    <w:name w:val="Grid Table 4 - Accent 312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26">
    <w:name w:val="No List226"/>
    <w:next w:val="NoList"/>
    <w:uiPriority w:val="99"/>
    <w:unhideWhenUsed/>
    <w:rsid w:val="00C9597C"/>
  </w:style>
  <w:style w:type="table" w:customStyle="1" w:styleId="MediumGrid1-Accent1221">
    <w:name w:val="Medium Grid 1 - Accent 12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21">
    <w:name w:val="Light Grid - Accent 112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21">
    <w:name w:val="Light Grid - Accent 52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21">
    <w:name w:val="Light Grid - Accent 122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21">
    <w:name w:val="Light List - Accent 52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21">
    <w:name w:val="Light List - Accent 112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21">
    <w:name w:val="Light Grid - Accent 132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21">
    <w:name w:val="Medium Grid 1 - Accent 32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21">
    <w:name w:val="Grid Table 4 Accent 312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26">
    <w:name w:val="No List326"/>
    <w:next w:val="NoList"/>
    <w:uiPriority w:val="99"/>
    <w:unhideWhenUsed/>
    <w:rsid w:val="00C9597C"/>
  </w:style>
  <w:style w:type="table" w:customStyle="1" w:styleId="MediumGrid1-Accent1321">
    <w:name w:val="Medium Grid 1 - Accent 13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21">
    <w:name w:val="Light Grid - Accent 113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21">
    <w:name w:val="Light Grid - Accent 53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21">
    <w:name w:val="Light Grid - Accent 123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21">
    <w:name w:val="Light List - Accent 53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21">
    <w:name w:val="Light List - Accent 113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21">
    <w:name w:val="Light Grid - Accent 133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21">
    <w:name w:val="Medium Grid 1 - Accent 33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21">
    <w:name w:val="Grid Table 4 Accent 322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1">
    <w:name w:val="Table Grid12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6">
    <w:name w:val="Table Grid216"/>
    <w:basedOn w:val="TableNormal"/>
    <w:next w:val="TableGrid"/>
    <w:uiPriority w:val="3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6">
    <w:name w:val="No List66"/>
    <w:next w:val="NoList"/>
    <w:uiPriority w:val="99"/>
    <w:unhideWhenUsed/>
    <w:rsid w:val="00C9597C"/>
  </w:style>
  <w:style w:type="table" w:customStyle="1" w:styleId="MediumGrid1-Accent166">
    <w:name w:val="Medium Grid 1 - Accent 166"/>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6">
    <w:name w:val="Light Grid - Accent 1166"/>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6">
    <w:name w:val="Light Grid - Accent 566"/>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6">
    <w:name w:val="Light Grid - Accent 126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6">
    <w:name w:val="Light List - Accent 566"/>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6">
    <w:name w:val="Light List - Accent 1166"/>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6">
    <w:name w:val="Light Grid - Accent 1366"/>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6">
    <w:name w:val="Medium Grid 1 - Accent 366"/>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6">
    <w:name w:val="No List136"/>
    <w:next w:val="NoList"/>
    <w:uiPriority w:val="99"/>
    <w:unhideWhenUsed/>
    <w:rsid w:val="00C9597C"/>
  </w:style>
  <w:style w:type="numbering" w:customStyle="1" w:styleId="NoList236">
    <w:name w:val="No List236"/>
    <w:next w:val="NoList"/>
    <w:uiPriority w:val="99"/>
    <w:unhideWhenUsed/>
    <w:rsid w:val="00C9597C"/>
  </w:style>
  <w:style w:type="numbering" w:customStyle="1" w:styleId="NoList336">
    <w:name w:val="No List336"/>
    <w:next w:val="NoList"/>
    <w:uiPriority w:val="99"/>
    <w:unhideWhenUsed/>
    <w:rsid w:val="00C9597C"/>
  </w:style>
  <w:style w:type="numbering" w:customStyle="1" w:styleId="NoList71">
    <w:name w:val="No List71"/>
    <w:next w:val="NoList"/>
    <w:uiPriority w:val="99"/>
    <w:unhideWhenUsed/>
    <w:rsid w:val="00C9597C"/>
  </w:style>
  <w:style w:type="table" w:customStyle="1" w:styleId="TableGrid51">
    <w:name w:val="Table Grid5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31">
    <w:name w:val="Medium Grid 3 - Accent 13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71">
    <w:name w:val="Medium Grid 1 - Accent 171"/>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1">
    <w:name w:val="Light Grid - Accent 1171"/>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71">
    <w:name w:val="Light Grid - Accent 571"/>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71">
    <w:name w:val="Light Grid - Accent 1271"/>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71">
    <w:name w:val="Light List - Accent 571"/>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71">
    <w:name w:val="Light List - Accent 1171"/>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71">
    <w:name w:val="Light Grid - Accent 137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71">
    <w:name w:val="Medium Grid 1 - Accent 37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41">
    <w:name w:val="No List141"/>
    <w:next w:val="NoList"/>
    <w:uiPriority w:val="99"/>
    <w:unhideWhenUsed/>
    <w:rsid w:val="00C9597C"/>
  </w:style>
  <w:style w:type="table" w:customStyle="1" w:styleId="MediumGrid1-Accent1131">
    <w:name w:val="Medium Grid 1 - Accent 11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1">
    <w:name w:val="Light Grid - Accent 11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1">
    <w:name w:val="Light Grid - Accent 513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31">
    <w:name w:val="Light Grid - Accent 12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31">
    <w:name w:val="Light List - Accent 513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1">
    <w:name w:val="Light List - Accent 111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31">
    <w:name w:val="Light Grid - Accent 13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31">
    <w:name w:val="Medium Grid 1 - Accent 31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31">
    <w:name w:val="Grid Table 4 - Accent 31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41">
    <w:name w:val="No List241"/>
    <w:next w:val="NoList"/>
    <w:uiPriority w:val="99"/>
    <w:unhideWhenUsed/>
    <w:rsid w:val="00C9597C"/>
  </w:style>
  <w:style w:type="table" w:customStyle="1" w:styleId="MediumGrid1-Accent1231">
    <w:name w:val="Medium Grid 1 - Accent 12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31">
    <w:name w:val="Light Grid - Accent 112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31">
    <w:name w:val="Light Grid - Accent 52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31">
    <w:name w:val="Light Grid - Accent 122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31">
    <w:name w:val="Light List - Accent 52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31">
    <w:name w:val="Light List - Accent 112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31">
    <w:name w:val="Light Grid - Accent 132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31">
    <w:name w:val="Medium Grid 1 - Accent 32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31">
    <w:name w:val="Grid Table 4 Accent 31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41">
    <w:name w:val="No List341"/>
    <w:next w:val="NoList"/>
    <w:uiPriority w:val="99"/>
    <w:unhideWhenUsed/>
    <w:rsid w:val="00C9597C"/>
  </w:style>
  <w:style w:type="table" w:customStyle="1" w:styleId="MediumGrid1-Accent1331">
    <w:name w:val="Medium Grid 1 - Accent 13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31">
    <w:name w:val="Light Grid - Accent 113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31">
    <w:name w:val="Light Grid - Accent 53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31">
    <w:name w:val="Light Grid - Accent 123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31">
    <w:name w:val="Light List - Accent 53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31">
    <w:name w:val="Light List - Accent 113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31">
    <w:name w:val="Light Grid - Accent 133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31">
    <w:name w:val="Medium Grid 1 - Accent 33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31">
    <w:name w:val="Grid Table 4 Accent 32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31">
    <w:name w:val="Table Grid13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NoList"/>
    <w:uiPriority w:val="99"/>
    <w:unhideWhenUsed/>
    <w:rsid w:val="00C9597C"/>
  </w:style>
  <w:style w:type="table" w:customStyle="1" w:styleId="MediumGrid1-Accent1411">
    <w:name w:val="Medium Grid 1 - Accent 14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11">
    <w:name w:val="Light Grid - Accent 114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11">
    <w:name w:val="Light Grid - Accent 54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11">
    <w:name w:val="Light Grid - Accent 124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11">
    <w:name w:val="Light List - Accent 54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11">
    <w:name w:val="Light List - Accent 114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11">
    <w:name w:val="Light Grid - Accent 134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11">
    <w:name w:val="Medium Grid 1 - Accent 34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11">
    <w:name w:val="Table Grid211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11">
    <w:name w:val="Medium Grid 3 - Accent 111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1">
    <w:name w:val="No List1111"/>
    <w:next w:val="NoList"/>
    <w:uiPriority w:val="99"/>
    <w:unhideWhenUsed/>
    <w:rsid w:val="00C9597C"/>
  </w:style>
  <w:style w:type="table" w:customStyle="1" w:styleId="MediumGrid1-Accent11111">
    <w:name w:val="Medium Grid 1 - Accent 111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1">
    <w:name w:val="Light Grid - Accent 111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1">
    <w:name w:val="Light Grid - Accent 5111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1">
    <w:name w:val="Light Grid - Accent 121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1">
    <w:name w:val="Light List - Accent 5111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1">
    <w:name w:val="Light List - Accent 1111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1">
    <w:name w:val="Light Grid - Accent 131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1">
    <w:name w:val="Medium Grid 1 - Accent 311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11">
    <w:name w:val="Grid Table 4 - Accent 311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11">
    <w:name w:val="No List2111"/>
    <w:next w:val="NoList"/>
    <w:uiPriority w:val="99"/>
    <w:unhideWhenUsed/>
    <w:rsid w:val="00C9597C"/>
  </w:style>
  <w:style w:type="table" w:customStyle="1" w:styleId="MediumGrid1-Accent12111">
    <w:name w:val="Medium Grid 1 - Accent 121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11">
    <w:name w:val="Light Grid - Accent 1121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11">
    <w:name w:val="Light Grid - Accent 521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11">
    <w:name w:val="Light Grid - Accent 122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11">
    <w:name w:val="Light List - Accent 521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11">
    <w:name w:val="Light List - Accent 1121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11">
    <w:name w:val="Light Grid - Accent 132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11">
    <w:name w:val="Medium Grid 1 - Accent 321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11">
    <w:name w:val="Grid Table 4 Accent 311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11">
    <w:name w:val="No List3111"/>
    <w:next w:val="NoList"/>
    <w:uiPriority w:val="99"/>
    <w:unhideWhenUsed/>
    <w:rsid w:val="00C9597C"/>
  </w:style>
  <w:style w:type="table" w:customStyle="1" w:styleId="MediumGrid1-Accent13111">
    <w:name w:val="Medium Grid 1 - Accent 131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11">
    <w:name w:val="Light Grid - Accent 1131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11">
    <w:name w:val="Light Grid - Accent 531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11">
    <w:name w:val="Light Grid - Accent 123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11">
    <w:name w:val="Light List - Accent 531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11">
    <w:name w:val="Light List - Accent 1131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11">
    <w:name w:val="Light Grid - Accent 1331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11">
    <w:name w:val="Medium Grid 1 - Accent 331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11">
    <w:name w:val="Grid Table 4 Accent 3211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11">
    <w:name w:val="Table Grid111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NoList"/>
    <w:uiPriority w:val="99"/>
    <w:unhideWhenUsed/>
    <w:rsid w:val="00C9597C"/>
  </w:style>
  <w:style w:type="table" w:customStyle="1" w:styleId="MediumGrid1-Accent1511">
    <w:name w:val="Medium Grid 1 - Accent 15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11">
    <w:name w:val="Light Grid - Accent 115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11">
    <w:name w:val="Light Grid - Accent 55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11">
    <w:name w:val="Light Grid - Accent 125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11">
    <w:name w:val="Light List - Accent 55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11">
    <w:name w:val="Light List - Accent 115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11">
    <w:name w:val="Light Grid - Accent 135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11">
    <w:name w:val="Medium Grid 1 - Accent 35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11">
    <w:name w:val="No List1211"/>
    <w:next w:val="NoList"/>
    <w:uiPriority w:val="99"/>
    <w:unhideWhenUsed/>
    <w:rsid w:val="00C9597C"/>
  </w:style>
  <w:style w:type="numbering" w:customStyle="1" w:styleId="NoList2211">
    <w:name w:val="No List2211"/>
    <w:next w:val="NoList"/>
    <w:uiPriority w:val="99"/>
    <w:unhideWhenUsed/>
    <w:rsid w:val="00C9597C"/>
  </w:style>
  <w:style w:type="numbering" w:customStyle="1" w:styleId="NoList3211">
    <w:name w:val="No List3211"/>
    <w:next w:val="NoList"/>
    <w:uiPriority w:val="99"/>
    <w:unhideWhenUsed/>
    <w:rsid w:val="00C9597C"/>
  </w:style>
  <w:style w:type="numbering" w:customStyle="1" w:styleId="NoList611">
    <w:name w:val="No List611"/>
    <w:next w:val="NoList"/>
    <w:uiPriority w:val="99"/>
    <w:unhideWhenUsed/>
    <w:rsid w:val="00C9597C"/>
  </w:style>
  <w:style w:type="table" w:customStyle="1" w:styleId="MediumGrid1-Accent1611">
    <w:name w:val="Medium Grid 1 - Accent 161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11">
    <w:name w:val="Light Grid - Accent 1161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11">
    <w:name w:val="Light Grid - Accent 561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11">
    <w:name w:val="Light Grid - Accent 126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11">
    <w:name w:val="Light List - Accent 561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11">
    <w:name w:val="Light List - Accent 1161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11">
    <w:name w:val="Light Grid - Accent 1361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11">
    <w:name w:val="Medium Grid 1 - Accent 361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11">
    <w:name w:val="No List1311"/>
    <w:next w:val="NoList"/>
    <w:uiPriority w:val="99"/>
    <w:unhideWhenUsed/>
    <w:rsid w:val="00C9597C"/>
  </w:style>
  <w:style w:type="numbering" w:customStyle="1" w:styleId="NoList2311">
    <w:name w:val="No List2311"/>
    <w:next w:val="NoList"/>
    <w:uiPriority w:val="99"/>
    <w:unhideWhenUsed/>
    <w:rsid w:val="00C9597C"/>
  </w:style>
  <w:style w:type="numbering" w:customStyle="1" w:styleId="NoList3311">
    <w:name w:val="No List3311"/>
    <w:next w:val="NoList"/>
    <w:uiPriority w:val="99"/>
    <w:unhideWhenUsed/>
    <w:rsid w:val="00C9597C"/>
  </w:style>
  <w:style w:type="numbering" w:customStyle="1" w:styleId="NoList81">
    <w:name w:val="No List81"/>
    <w:next w:val="NoList"/>
    <w:uiPriority w:val="99"/>
    <w:unhideWhenUsed/>
    <w:rsid w:val="00C9597C"/>
  </w:style>
  <w:style w:type="table" w:customStyle="1" w:styleId="TableGrid61">
    <w:name w:val="Table Grid6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41">
    <w:name w:val="Medium Grid 3 - Accent 14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81">
    <w:name w:val="Medium Grid 1 - Accent 181"/>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81">
    <w:name w:val="Light Grid - Accent 1181"/>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81">
    <w:name w:val="Light Grid - Accent 581"/>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81">
    <w:name w:val="Light Grid - Accent 1281"/>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81">
    <w:name w:val="Light List - Accent 581"/>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81">
    <w:name w:val="Light List - Accent 1181"/>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81">
    <w:name w:val="Light Grid - Accent 138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81">
    <w:name w:val="Medium Grid 1 - Accent 38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51">
    <w:name w:val="No List151"/>
    <w:next w:val="NoList"/>
    <w:uiPriority w:val="99"/>
    <w:unhideWhenUsed/>
    <w:rsid w:val="00C9597C"/>
  </w:style>
  <w:style w:type="table" w:customStyle="1" w:styleId="MediumGrid1-Accent1141">
    <w:name w:val="Medium Grid 1 - Accent 11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1">
    <w:name w:val="Light Grid - Accent 11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1">
    <w:name w:val="Light Grid - Accent 514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41">
    <w:name w:val="Light Grid - Accent 12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41">
    <w:name w:val="Light List - Accent 514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41">
    <w:name w:val="Light List - Accent 111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41">
    <w:name w:val="Light Grid - Accent 13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41">
    <w:name w:val="Medium Grid 1 - Accent 31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41">
    <w:name w:val="Grid Table 4 - Accent 314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51">
    <w:name w:val="No List251"/>
    <w:next w:val="NoList"/>
    <w:uiPriority w:val="99"/>
    <w:unhideWhenUsed/>
    <w:rsid w:val="00C9597C"/>
  </w:style>
  <w:style w:type="table" w:customStyle="1" w:styleId="MediumGrid1-Accent1241">
    <w:name w:val="Medium Grid 1 - Accent 12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41">
    <w:name w:val="Light Grid - Accent 112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41">
    <w:name w:val="Light Grid - Accent 52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41">
    <w:name w:val="Light Grid - Accent 122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41">
    <w:name w:val="Light List - Accent 52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41">
    <w:name w:val="Light List - Accent 112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41">
    <w:name w:val="Light Grid - Accent 132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41">
    <w:name w:val="Medium Grid 1 - Accent 32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41">
    <w:name w:val="Grid Table 4 Accent 314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51">
    <w:name w:val="No List351"/>
    <w:next w:val="NoList"/>
    <w:uiPriority w:val="99"/>
    <w:unhideWhenUsed/>
    <w:rsid w:val="00C9597C"/>
  </w:style>
  <w:style w:type="table" w:customStyle="1" w:styleId="MediumGrid1-Accent1341">
    <w:name w:val="Medium Grid 1 - Accent 13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41">
    <w:name w:val="Light Grid - Accent 113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41">
    <w:name w:val="Light Grid - Accent 53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41">
    <w:name w:val="Light Grid - Accent 123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41">
    <w:name w:val="Light List - Accent 53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41">
    <w:name w:val="Light List - Accent 113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41">
    <w:name w:val="Light Grid - Accent 133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41">
    <w:name w:val="Medium Grid 1 - Accent 33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41">
    <w:name w:val="Grid Table 4 Accent 324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
    <w:name w:val="Table Grid14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
    <w:name w:val="Table Grid231"/>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
    <w:name w:val="No List421"/>
    <w:next w:val="NoList"/>
    <w:uiPriority w:val="99"/>
    <w:unhideWhenUsed/>
    <w:rsid w:val="00C9597C"/>
  </w:style>
  <w:style w:type="table" w:customStyle="1" w:styleId="MediumGrid1-Accent1421">
    <w:name w:val="Medium Grid 1 - Accent 14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21">
    <w:name w:val="Light Grid - Accent 114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21">
    <w:name w:val="Light Grid - Accent 54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21">
    <w:name w:val="Light Grid - Accent 124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21">
    <w:name w:val="Light List - Accent 54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21">
    <w:name w:val="Light List - Accent 114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21">
    <w:name w:val="Light Grid - Accent 134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21">
    <w:name w:val="Medium Grid 1 - Accent 34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21">
    <w:name w:val="Table Grid212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21">
    <w:name w:val="Medium Grid 3 - Accent 112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21">
    <w:name w:val="No List1121"/>
    <w:next w:val="NoList"/>
    <w:uiPriority w:val="99"/>
    <w:unhideWhenUsed/>
    <w:rsid w:val="00C9597C"/>
  </w:style>
  <w:style w:type="table" w:customStyle="1" w:styleId="MediumGrid1-Accent11121">
    <w:name w:val="Medium Grid 1 - Accent 111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21">
    <w:name w:val="Light Grid - Accent 111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1">
    <w:name w:val="Light Grid - Accent 5112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21">
    <w:name w:val="Light Grid - Accent 121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21">
    <w:name w:val="Light List - Accent 5112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21">
    <w:name w:val="Light List - Accent 1111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21">
    <w:name w:val="Light Grid - Accent 131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21">
    <w:name w:val="Medium Grid 1 - Accent 311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21">
    <w:name w:val="Grid Table 4 - Accent 3112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21">
    <w:name w:val="No List2121"/>
    <w:next w:val="NoList"/>
    <w:uiPriority w:val="99"/>
    <w:unhideWhenUsed/>
    <w:rsid w:val="00C9597C"/>
  </w:style>
  <w:style w:type="table" w:customStyle="1" w:styleId="MediumGrid1-Accent12121">
    <w:name w:val="Medium Grid 1 - Accent 121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21">
    <w:name w:val="Light Grid - Accent 1121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21">
    <w:name w:val="Light Grid - Accent 521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21">
    <w:name w:val="Light Grid - Accent 122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21">
    <w:name w:val="Light List - Accent 521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21">
    <w:name w:val="Light List - Accent 1121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21">
    <w:name w:val="Light Grid - Accent 132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21">
    <w:name w:val="Medium Grid 1 - Accent 321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21">
    <w:name w:val="Grid Table 4 Accent 3112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21">
    <w:name w:val="No List3121"/>
    <w:next w:val="NoList"/>
    <w:uiPriority w:val="99"/>
    <w:unhideWhenUsed/>
    <w:rsid w:val="00C9597C"/>
  </w:style>
  <w:style w:type="table" w:customStyle="1" w:styleId="MediumGrid1-Accent13121">
    <w:name w:val="Medium Grid 1 - Accent 131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21">
    <w:name w:val="Light Grid - Accent 1131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21">
    <w:name w:val="Light Grid - Accent 531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21">
    <w:name w:val="Light Grid - Accent 123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21">
    <w:name w:val="Light List - Accent 531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21">
    <w:name w:val="Light List - Accent 1131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21">
    <w:name w:val="Light Grid - Accent 1331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21">
    <w:name w:val="Medium Grid 1 - Accent 331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21">
    <w:name w:val="Grid Table 4 Accent 3212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21">
    <w:name w:val="Table Grid112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
    <w:name w:val="No List521"/>
    <w:next w:val="NoList"/>
    <w:uiPriority w:val="99"/>
    <w:unhideWhenUsed/>
    <w:rsid w:val="00C9597C"/>
  </w:style>
  <w:style w:type="table" w:customStyle="1" w:styleId="MediumGrid1-Accent1521">
    <w:name w:val="Medium Grid 1 - Accent 15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21">
    <w:name w:val="Light Grid - Accent 115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21">
    <w:name w:val="Light Grid - Accent 55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21">
    <w:name w:val="Light Grid - Accent 125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21">
    <w:name w:val="Light List - Accent 55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21">
    <w:name w:val="Light List - Accent 115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21">
    <w:name w:val="Light Grid - Accent 135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21">
    <w:name w:val="Medium Grid 1 - Accent 35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21">
    <w:name w:val="No List1221"/>
    <w:next w:val="NoList"/>
    <w:uiPriority w:val="99"/>
    <w:unhideWhenUsed/>
    <w:rsid w:val="00C9597C"/>
  </w:style>
  <w:style w:type="numbering" w:customStyle="1" w:styleId="NoList2221">
    <w:name w:val="No List2221"/>
    <w:next w:val="NoList"/>
    <w:uiPriority w:val="99"/>
    <w:unhideWhenUsed/>
    <w:rsid w:val="00C9597C"/>
  </w:style>
  <w:style w:type="numbering" w:customStyle="1" w:styleId="NoList3221">
    <w:name w:val="No List3221"/>
    <w:next w:val="NoList"/>
    <w:uiPriority w:val="99"/>
    <w:unhideWhenUsed/>
    <w:rsid w:val="00C9597C"/>
  </w:style>
  <w:style w:type="numbering" w:customStyle="1" w:styleId="NoList621">
    <w:name w:val="No List621"/>
    <w:next w:val="NoList"/>
    <w:uiPriority w:val="99"/>
    <w:unhideWhenUsed/>
    <w:rsid w:val="00C9597C"/>
  </w:style>
  <w:style w:type="table" w:customStyle="1" w:styleId="MediumGrid1-Accent1621">
    <w:name w:val="Medium Grid 1 - Accent 162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21">
    <w:name w:val="Light Grid - Accent 1162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21">
    <w:name w:val="Light Grid - Accent 562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21">
    <w:name w:val="Light Grid - Accent 126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21">
    <w:name w:val="Light List - Accent 562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21">
    <w:name w:val="Light List - Accent 1162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21">
    <w:name w:val="Light Grid - Accent 1362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21">
    <w:name w:val="Medium Grid 1 - Accent 362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21">
    <w:name w:val="No List1321"/>
    <w:next w:val="NoList"/>
    <w:uiPriority w:val="99"/>
    <w:unhideWhenUsed/>
    <w:rsid w:val="00C9597C"/>
  </w:style>
  <w:style w:type="numbering" w:customStyle="1" w:styleId="NoList2321">
    <w:name w:val="No List2321"/>
    <w:next w:val="NoList"/>
    <w:uiPriority w:val="99"/>
    <w:unhideWhenUsed/>
    <w:rsid w:val="00C9597C"/>
  </w:style>
  <w:style w:type="numbering" w:customStyle="1" w:styleId="NoList3321">
    <w:name w:val="No List3321"/>
    <w:next w:val="NoList"/>
    <w:uiPriority w:val="99"/>
    <w:unhideWhenUsed/>
    <w:rsid w:val="00C9597C"/>
  </w:style>
  <w:style w:type="numbering" w:customStyle="1" w:styleId="NoList91">
    <w:name w:val="No List91"/>
    <w:next w:val="NoList"/>
    <w:uiPriority w:val="99"/>
    <w:unhideWhenUsed/>
    <w:rsid w:val="00C9597C"/>
  </w:style>
  <w:style w:type="table" w:customStyle="1" w:styleId="TableGrid71">
    <w:name w:val="Table Grid7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51">
    <w:name w:val="Medium Grid 3 - Accent 151"/>
    <w:basedOn w:val="TableNormal"/>
    <w:next w:val="MediumGrid3-Accent1"/>
    <w:uiPriority w:val="69"/>
    <w:locked/>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91">
    <w:name w:val="Medium Grid 1 - Accent 191"/>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1">
    <w:name w:val="Light Grid - Accent 1191"/>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91">
    <w:name w:val="Light Grid - Accent 591"/>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91">
    <w:name w:val="Light Grid - Accent 1291"/>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91">
    <w:name w:val="Light List - Accent 591"/>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1">
    <w:name w:val="Light List - Accent 1191"/>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91">
    <w:name w:val="Light Grid - Accent 139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91">
    <w:name w:val="Medium Grid 1 - Accent 39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61">
    <w:name w:val="No List161"/>
    <w:next w:val="NoList"/>
    <w:uiPriority w:val="99"/>
    <w:unhideWhenUsed/>
    <w:rsid w:val="00C9597C"/>
  </w:style>
  <w:style w:type="table" w:customStyle="1" w:styleId="MediumGrid1-Accent1151">
    <w:name w:val="Medium Grid 1 - Accent 11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1">
    <w:name w:val="Light Grid - Accent 11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1">
    <w:name w:val="Light Grid - Accent 515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51">
    <w:name w:val="Light Grid - Accent 12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51">
    <w:name w:val="Light List - Accent 515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51">
    <w:name w:val="Light List - Accent 111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51">
    <w:name w:val="Light Grid - Accent 13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51">
    <w:name w:val="Medium Grid 1 - Accent 31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51">
    <w:name w:val="Grid Table 4 - Accent 315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61">
    <w:name w:val="No List261"/>
    <w:next w:val="NoList"/>
    <w:uiPriority w:val="99"/>
    <w:unhideWhenUsed/>
    <w:rsid w:val="00C9597C"/>
  </w:style>
  <w:style w:type="table" w:customStyle="1" w:styleId="MediumGrid1-Accent1251">
    <w:name w:val="Medium Grid 1 - Accent 1251"/>
    <w:basedOn w:val="TableNormal"/>
    <w:next w:val="MediumGrid1-Accent1"/>
    <w:uiPriority w:val="67"/>
    <w:qFormat/>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51">
    <w:name w:val="Light Grid - Accent 112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51">
    <w:name w:val="Light Grid - Accent 52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51">
    <w:name w:val="Light Grid - Accent 122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51">
    <w:name w:val="Light List - Accent 52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51">
    <w:name w:val="Light List - Accent 112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51">
    <w:name w:val="Light Grid - Accent 132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51">
    <w:name w:val="Medium Grid 1 - Accent 32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51">
    <w:name w:val="Grid Table 4 Accent 315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61">
    <w:name w:val="No List361"/>
    <w:next w:val="NoList"/>
    <w:uiPriority w:val="99"/>
    <w:unhideWhenUsed/>
    <w:rsid w:val="00C9597C"/>
  </w:style>
  <w:style w:type="table" w:customStyle="1" w:styleId="MediumGrid1-Accent1351">
    <w:name w:val="Medium Grid 1 - Accent 13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51">
    <w:name w:val="Light Grid - Accent 113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51">
    <w:name w:val="Light Grid - Accent 53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51">
    <w:name w:val="Light Grid - Accent 123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51">
    <w:name w:val="Light List - Accent 53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51">
    <w:name w:val="Light List - Accent 113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51">
    <w:name w:val="Light Grid - Accent 133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51">
    <w:name w:val="Medium Grid 1 - Accent 33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51">
    <w:name w:val="Grid Table 4 Accent 325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51">
    <w:name w:val="Table Grid15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
    <w:name w:val="No List431"/>
    <w:next w:val="NoList"/>
    <w:uiPriority w:val="99"/>
    <w:unhideWhenUsed/>
    <w:rsid w:val="00C9597C"/>
  </w:style>
  <w:style w:type="table" w:customStyle="1" w:styleId="MediumGrid1-Accent1431">
    <w:name w:val="Medium Grid 1 - Accent 14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31">
    <w:name w:val="Light Grid - Accent 114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31">
    <w:name w:val="Light Grid - Accent 54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31">
    <w:name w:val="Light Grid - Accent 124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31">
    <w:name w:val="Light List - Accent 54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31">
    <w:name w:val="Light List - Accent 114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31">
    <w:name w:val="Light Grid - Accent 134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31">
    <w:name w:val="Medium Grid 1 - Accent 34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31">
    <w:name w:val="Table Grid213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31">
    <w:name w:val="Medium Grid 3 - Accent 113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31">
    <w:name w:val="No List1131"/>
    <w:next w:val="NoList"/>
    <w:uiPriority w:val="99"/>
    <w:unhideWhenUsed/>
    <w:rsid w:val="00C9597C"/>
  </w:style>
  <w:style w:type="table" w:customStyle="1" w:styleId="MediumGrid1-Accent11131">
    <w:name w:val="Medium Grid 1 - Accent 111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31">
    <w:name w:val="Light Grid - Accent 111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1">
    <w:name w:val="Light Grid - Accent 5113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31">
    <w:name w:val="Light Grid - Accent 121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31">
    <w:name w:val="Light List - Accent 5113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1">
    <w:name w:val="Light List - Accent 1111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31">
    <w:name w:val="Light Grid - Accent 131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31">
    <w:name w:val="Medium Grid 1 - Accent 311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31">
    <w:name w:val="Grid Table 4 - Accent 311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31">
    <w:name w:val="No List2131"/>
    <w:next w:val="NoList"/>
    <w:uiPriority w:val="99"/>
    <w:unhideWhenUsed/>
    <w:rsid w:val="00C9597C"/>
  </w:style>
  <w:style w:type="table" w:customStyle="1" w:styleId="MediumGrid1-Accent12131">
    <w:name w:val="Medium Grid 1 - Accent 121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31">
    <w:name w:val="Light Grid - Accent 1121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31">
    <w:name w:val="Light Grid - Accent 521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31">
    <w:name w:val="Light Grid - Accent 122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31">
    <w:name w:val="Light List - Accent 521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31">
    <w:name w:val="Light List - Accent 1121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31">
    <w:name w:val="Light Grid - Accent 132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31">
    <w:name w:val="Medium Grid 1 - Accent 321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31">
    <w:name w:val="Grid Table 4 Accent 311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31">
    <w:name w:val="No List3131"/>
    <w:next w:val="NoList"/>
    <w:uiPriority w:val="99"/>
    <w:unhideWhenUsed/>
    <w:rsid w:val="00C9597C"/>
  </w:style>
  <w:style w:type="table" w:customStyle="1" w:styleId="MediumGrid1-Accent13131">
    <w:name w:val="Medium Grid 1 - Accent 131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31">
    <w:name w:val="Light Grid - Accent 1131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31">
    <w:name w:val="Light Grid - Accent 531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31">
    <w:name w:val="Light Grid - Accent 123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31">
    <w:name w:val="Light List - Accent 531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31">
    <w:name w:val="Light List - Accent 1131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31">
    <w:name w:val="Light Grid - Accent 1331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31">
    <w:name w:val="Medium Grid 1 - Accent 331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31">
    <w:name w:val="Grid Table 4 Accent 3213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31">
    <w:name w:val="Table Grid113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1">
    <w:name w:val="No List531"/>
    <w:next w:val="NoList"/>
    <w:uiPriority w:val="99"/>
    <w:unhideWhenUsed/>
    <w:rsid w:val="00C9597C"/>
  </w:style>
  <w:style w:type="table" w:customStyle="1" w:styleId="MediumGrid1-Accent1531">
    <w:name w:val="Medium Grid 1 - Accent 15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31">
    <w:name w:val="Light Grid - Accent 115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31">
    <w:name w:val="Light Grid - Accent 55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31">
    <w:name w:val="Light Grid - Accent 125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31">
    <w:name w:val="Light List - Accent 55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31">
    <w:name w:val="Light List - Accent 115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31">
    <w:name w:val="Light Grid - Accent 135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31">
    <w:name w:val="Medium Grid 1 - Accent 35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31">
    <w:name w:val="No List1231"/>
    <w:next w:val="NoList"/>
    <w:uiPriority w:val="99"/>
    <w:unhideWhenUsed/>
    <w:rsid w:val="00C9597C"/>
  </w:style>
  <w:style w:type="numbering" w:customStyle="1" w:styleId="NoList2231">
    <w:name w:val="No List2231"/>
    <w:next w:val="NoList"/>
    <w:uiPriority w:val="99"/>
    <w:unhideWhenUsed/>
    <w:rsid w:val="00C9597C"/>
  </w:style>
  <w:style w:type="numbering" w:customStyle="1" w:styleId="NoList3231">
    <w:name w:val="No List3231"/>
    <w:next w:val="NoList"/>
    <w:uiPriority w:val="99"/>
    <w:unhideWhenUsed/>
    <w:rsid w:val="00C9597C"/>
  </w:style>
  <w:style w:type="numbering" w:customStyle="1" w:styleId="NoList631">
    <w:name w:val="No List631"/>
    <w:next w:val="NoList"/>
    <w:uiPriority w:val="99"/>
    <w:unhideWhenUsed/>
    <w:rsid w:val="00C9597C"/>
  </w:style>
  <w:style w:type="table" w:customStyle="1" w:styleId="MediumGrid1-Accent1631">
    <w:name w:val="Medium Grid 1 - Accent 163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31">
    <w:name w:val="Light Grid - Accent 1163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31">
    <w:name w:val="Light Grid - Accent 563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31">
    <w:name w:val="Light Grid - Accent 126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31">
    <w:name w:val="Light List - Accent 563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31">
    <w:name w:val="Light List - Accent 1163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31">
    <w:name w:val="Light Grid - Accent 1363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31">
    <w:name w:val="Medium Grid 1 - Accent 363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31">
    <w:name w:val="No List1331"/>
    <w:next w:val="NoList"/>
    <w:uiPriority w:val="99"/>
    <w:unhideWhenUsed/>
    <w:rsid w:val="00C9597C"/>
  </w:style>
  <w:style w:type="numbering" w:customStyle="1" w:styleId="NoList2331">
    <w:name w:val="No List2331"/>
    <w:next w:val="NoList"/>
    <w:uiPriority w:val="99"/>
    <w:unhideWhenUsed/>
    <w:rsid w:val="00C9597C"/>
  </w:style>
  <w:style w:type="numbering" w:customStyle="1" w:styleId="NoList3331">
    <w:name w:val="No List3331"/>
    <w:next w:val="NoList"/>
    <w:uiPriority w:val="99"/>
    <w:unhideWhenUsed/>
    <w:rsid w:val="00C9597C"/>
  </w:style>
  <w:style w:type="numbering" w:customStyle="1" w:styleId="NoList101">
    <w:name w:val="No List101"/>
    <w:next w:val="NoList"/>
    <w:uiPriority w:val="99"/>
    <w:unhideWhenUsed/>
    <w:rsid w:val="00C9597C"/>
  </w:style>
  <w:style w:type="table" w:customStyle="1" w:styleId="TableGrid81">
    <w:name w:val="Table Grid8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61">
    <w:name w:val="Medium Grid 3 - Accent 16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01">
    <w:name w:val="Medium Grid 1 - Accent 1101"/>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1">
    <w:name w:val="Light Grid - Accent 11101"/>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01">
    <w:name w:val="Light Grid - Accent 5101"/>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01">
    <w:name w:val="Light Grid - Accent 12101"/>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01">
    <w:name w:val="Light List - Accent 5101"/>
    <w:basedOn w:val="TableNormal"/>
    <w:next w:val="LightList-Accent5"/>
    <w:uiPriority w:val="61"/>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01">
    <w:name w:val="Light List - Accent 11101"/>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01">
    <w:name w:val="Light Grid - Accent 1310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01">
    <w:name w:val="Medium Grid 1 - Accent 310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71">
    <w:name w:val="No List171"/>
    <w:next w:val="NoList"/>
    <w:uiPriority w:val="99"/>
    <w:unhideWhenUsed/>
    <w:rsid w:val="00C9597C"/>
  </w:style>
  <w:style w:type="table" w:customStyle="1" w:styleId="MediumGrid1-Accent1161">
    <w:name w:val="Medium Grid 1 - Accent 116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61">
    <w:name w:val="Light Grid - Accent 111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1">
    <w:name w:val="Light Grid - Accent 516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61">
    <w:name w:val="Light Grid - Accent 121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61">
    <w:name w:val="Light List - Accent 516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61">
    <w:name w:val="Light List - Accent 1116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61">
    <w:name w:val="Light Grid - Accent 131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61">
    <w:name w:val="Medium Grid 1 - Accent 316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61">
    <w:name w:val="Grid Table 4 - Accent 316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71">
    <w:name w:val="No List271"/>
    <w:next w:val="NoList"/>
    <w:uiPriority w:val="99"/>
    <w:unhideWhenUsed/>
    <w:rsid w:val="00C9597C"/>
  </w:style>
  <w:style w:type="table" w:customStyle="1" w:styleId="MediumGrid1-Accent1261">
    <w:name w:val="Medium Grid 1 - Accent 126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61">
    <w:name w:val="Light Grid - Accent 1126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61">
    <w:name w:val="Light Grid - Accent 526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61">
    <w:name w:val="Light Grid - Accent 122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61">
    <w:name w:val="Light List - Accent 526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61">
    <w:name w:val="Light List - Accent 1126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61">
    <w:name w:val="Light Grid - Accent 132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61">
    <w:name w:val="Medium Grid 1 - Accent 326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61">
    <w:name w:val="Grid Table 4 Accent 316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71">
    <w:name w:val="No List371"/>
    <w:next w:val="NoList"/>
    <w:uiPriority w:val="99"/>
    <w:unhideWhenUsed/>
    <w:rsid w:val="00C9597C"/>
  </w:style>
  <w:style w:type="table" w:customStyle="1" w:styleId="MediumGrid1-Accent1361">
    <w:name w:val="Medium Grid 1 - Accent 136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61">
    <w:name w:val="Light Grid - Accent 1136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61">
    <w:name w:val="Light Grid - Accent 536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61">
    <w:name w:val="Light Grid - Accent 123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61">
    <w:name w:val="Light List - Accent 536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61">
    <w:name w:val="Light List - Accent 1136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61">
    <w:name w:val="Light Grid - Accent 1336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61">
    <w:name w:val="Medium Grid 1 - Accent 336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61">
    <w:name w:val="Grid Table 4 Accent 326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61">
    <w:name w:val="Table Grid16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1">
    <w:name w:val="Table Grid251"/>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1">
    <w:name w:val="No List441"/>
    <w:next w:val="NoList"/>
    <w:uiPriority w:val="99"/>
    <w:unhideWhenUsed/>
    <w:rsid w:val="00C9597C"/>
  </w:style>
  <w:style w:type="table" w:customStyle="1" w:styleId="MediumGrid1-Accent1441">
    <w:name w:val="Medium Grid 1 - Accent 14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41">
    <w:name w:val="Light Grid - Accent 114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41">
    <w:name w:val="Light Grid - Accent 54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41">
    <w:name w:val="Light Grid - Accent 124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41">
    <w:name w:val="Light List - Accent 54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41">
    <w:name w:val="Light List - Accent 114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41">
    <w:name w:val="Light Grid - Accent 134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41">
    <w:name w:val="Medium Grid 1 - Accent 34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41">
    <w:name w:val="Table Grid214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41">
    <w:name w:val="Medium Grid 3 - Accent 114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41">
    <w:name w:val="No List1141"/>
    <w:next w:val="NoList"/>
    <w:uiPriority w:val="99"/>
    <w:unhideWhenUsed/>
    <w:rsid w:val="00C9597C"/>
  </w:style>
  <w:style w:type="table" w:customStyle="1" w:styleId="MediumGrid1-Accent11141">
    <w:name w:val="Medium Grid 1 - Accent 111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41">
    <w:name w:val="Light Grid - Accent 111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41">
    <w:name w:val="Light Grid - Accent 5114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41">
    <w:name w:val="Light Grid - Accent 121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41">
    <w:name w:val="Light List - Accent 5114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41">
    <w:name w:val="Light List - Accent 1111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41">
    <w:name w:val="Light Grid - Accent 131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41">
    <w:name w:val="Medium Grid 1 - Accent 311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41">
    <w:name w:val="Grid Table 4 - Accent 3114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41">
    <w:name w:val="No List2141"/>
    <w:next w:val="NoList"/>
    <w:uiPriority w:val="99"/>
    <w:unhideWhenUsed/>
    <w:rsid w:val="00C9597C"/>
  </w:style>
  <w:style w:type="table" w:customStyle="1" w:styleId="MediumGrid1-Accent12141">
    <w:name w:val="Medium Grid 1 - Accent 121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41">
    <w:name w:val="Light Grid - Accent 1121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41">
    <w:name w:val="Light Grid - Accent 521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41">
    <w:name w:val="Light Grid - Accent 122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41">
    <w:name w:val="Light List - Accent 521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41">
    <w:name w:val="Light List - Accent 1121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41">
    <w:name w:val="Light Grid - Accent 132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41">
    <w:name w:val="Medium Grid 1 - Accent 321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41">
    <w:name w:val="Grid Table 4 Accent 3114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41">
    <w:name w:val="No List3141"/>
    <w:next w:val="NoList"/>
    <w:uiPriority w:val="99"/>
    <w:unhideWhenUsed/>
    <w:rsid w:val="00C9597C"/>
  </w:style>
  <w:style w:type="table" w:customStyle="1" w:styleId="MediumGrid1-Accent13141">
    <w:name w:val="Medium Grid 1 - Accent 131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41">
    <w:name w:val="Light Grid - Accent 1131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41">
    <w:name w:val="Light Grid - Accent 531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41">
    <w:name w:val="Light Grid - Accent 123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41">
    <w:name w:val="Light List - Accent 531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41">
    <w:name w:val="Light List - Accent 1131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41">
    <w:name w:val="Light Grid - Accent 1331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41">
    <w:name w:val="Medium Grid 1 - Accent 331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41">
    <w:name w:val="Grid Table 4 Accent 3214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41">
    <w:name w:val="Table Grid114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1">
    <w:name w:val="No List541"/>
    <w:next w:val="NoList"/>
    <w:uiPriority w:val="99"/>
    <w:unhideWhenUsed/>
    <w:rsid w:val="00C9597C"/>
  </w:style>
  <w:style w:type="table" w:customStyle="1" w:styleId="MediumGrid1-Accent1541">
    <w:name w:val="Medium Grid 1 - Accent 15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41">
    <w:name w:val="Light Grid - Accent 115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41">
    <w:name w:val="Light Grid - Accent 55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41">
    <w:name w:val="Light Grid - Accent 125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41">
    <w:name w:val="Light List - Accent 55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41">
    <w:name w:val="Light List - Accent 115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41">
    <w:name w:val="Light Grid - Accent 135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41">
    <w:name w:val="Medium Grid 1 - Accent 35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41">
    <w:name w:val="No List1241"/>
    <w:next w:val="NoList"/>
    <w:uiPriority w:val="99"/>
    <w:unhideWhenUsed/>
    <w:rsid w:val="00C9597C"/>
  </w:style>
  <w:style w:type="numbering" w:customStyle="1" w:styleId="NoList2241">
    <w:name w:val="No List2241"/>
    <w:next w:val="NoList"/>
    <w:uiPriority w:val="99"/>
    <w:unhideWhenUsed/>
    <w:rsid w:val="00C9597C"/>
  </w:style>
  <w:style w:type="numbering" w:customStyle="1" w:styleId="NoList3241">
    <w:name w:val="No List3241"/>
    <w:next w:val="NoList"/>
    <w:uiPriority w:val="99"/>
    <w:unhideWhenUsed/>
    <w:rsid w:val="00C9597C"/>
  </w:style>
  <w:style w:type="numbering" w:customStyle="1" w:styleId="NoList641">
    <w:name w:val="No List641"/>
    <w:next w:val="NoList"/>
    <w:uiPriority w:val="99"/>
    <w:unhideWhenUsed/>
    <w:rsid w:val="00C9597C"/>
  </w:style>
  <w:style w:type="table" w:customStyle="1" w:styleId="MediumGrid1-Accent1641">
    <w:name w:val="Medium Grid 1 - Accent 164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41">
    <w:name w:val="Light Grid - Accent 1164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41">
    <w:name w:val="Light Grid - Accent 564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41">
    <w:name w:val="Light Grid - Accent 126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41">
    <w:name w:val="Light List - Accent 564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41">
    <w:name w:val="Light List - Accent 1164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41">
    <w:name w:val="Light Grid - Accent 1364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41">
    <w:name w:val="Medium Grid 1 - Accent 364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41">
    <w:name w:val="No List1341"/>
    <w:next w:val="NoList"/>
    <w:uiPriority w:val="99"/>
    <w:unhideWhenUsed/>
    <w:rsid w:val="00C9597C"/>
  </w:style>
  <w:style w:type="numbering" w:customStyle="1" w:styleId="NoList2341">
    <w:name w:val="No List2341"/>
    <w:next w:val="NoList"/>
    <w:uiPriority w:val="99"/>
    <w:unhideWhenUsed/>
    <w:rsid w:val="00C9597C"/>
  </w:style>
  <w:style w:type="numbering" w:customStyle="1" w:styleId="NoList3341">
    <w:name w:val="No List3341"/>
    <w:next w:val="NoList"/>
    <w:uiPriority w:val="99"/>
    <w:unhideWhenUsed/>
    <w:rsid w:val="00C9597C"/>
  </w:style>
  <w:style w:type="numbering" w:customStyle="1" w:styleId="NoList181">
    <w:name w:val="No List181"/>
    <w:next w:val="NoList"/>
    <w:uiPriority w:val="99"/>
    <w:unhideWhenUsed/>
    <w:rsid w:val="00C9597C"/>
  </w:style>
  <w:style w:type="table" w:customStyle="1" w:styleId="TableGrid91">
    <w:name w:val="Table Grid9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71">
    <w:name w:val="Medium Grid 3 - Accent 17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71">
    <w:name w:val="Medium Grid 1 - Accent 1171"/>
    <w:basedOn w:val="TableNormal"/>
    <w:next w:val="MediumGrid1-Accent1"/>
    <w:uiPriority w:val="67"/>
    <w:rsid w:val="00C9597C"/>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71">
    <w:name w:val="Light Grid - Accent 11171"/>
    <w:basedOn w:val="TableNormal"/>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71">
    <w:name w:val="Light Grid - Accent 5171"/>
    <w:basedOn w:val="TableNormal"/>
    <w:next w:val="LightGrid-Accent5"/>
    <w:uiPriority w:val="62"/>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71">
    <w:name w:val="Light Grid - Accent 12171"/>
    <w:basedOn w:val="TableNormal"/>
    <w:uiPriority w:val="62"/>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71">
    <w:name w:val="Light List - Accent 5171"/>
    <w:basedOn w:val="TableNormal"/>
    <w:next w:val="LightList-Accent5"/>
    <w:uiPriority w:val="61"/>
    <w:locked/>
    <w:rsid w:val="00C9597C"/>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71">
    <w:name w:val="Light List - Accent 11171"/>
    <w:basedOn w:val="TableNormal"/>
    <w:uiPriority w:val="61"/>
    <w:rsid w:val="00C9597C"/>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71">
    <w:name w:val="Light Grid - Accent 1317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71">
    <w:name w:val="Medium Grid 1 - Accent 317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91">
    <w:name w:val="No List191"/>
    <w:next w:val="NoList"/>
    <w:uiPriority w:val="99"/>
    <w:unhideWhenUsed/>
    <w:rsid w:val="00C9597C"/>
  </w:style>
  <w:style w:type="table" w:customStyle="1" w:styleId="MediumGrid1-Accent1181">
    <w:name w:val="Medium Grid 1 - Accent 118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81">
    <w:name w:val="Light Grid - Accent 1118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81">
    <w:name w:val="Light Grid - Accent 518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81">
    <w:name w:val="Light Grid - Accent 1218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81">
    <w:name w:val="Light List - Accent 518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81">
    <w:name w:val="Light List - Accent 1118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81">
    <w:name w:val="Light Grid - Accent 1318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81">
    <w:name w:val="Medium Grid 1 - Accent 318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71">
    <w:name w:val="Grid Table 4 - Accent 317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81">
    <w:name w:val="No List281"/>
    <w:next w:val="NoList"/>
    <w:uiPriority w:val="99"/>
    <w:unhideWhenUsed/>
    <w:rsid w:val="00C9597C"/>
  </w:style>
  <w:style w:type="table" w:customStyle="1" w:styleId="MediumGrid1-Accent1271">
    <w:name w:val="Medium Grid 1 - Accent 127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71">
    <w:name w:val="Light Grid - Accent 1127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71">
    <w:name w:val="Light Grid - Accent 527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71">
    <w:name w:val="Light Grid - Accent 1227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71">
    <w:name w:val="Light List - Accent 527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71">
    <w:name w:val="Light List - Accent 1127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71">
    <w:name w:val="Light Grid - Accent 1327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71">
    <w:name w:val="Medium Grid 1 - Accent 327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71">
    <w:name w:val="Grid Table 4 Accent 317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81">
    <w:name w:val="No List381"/>
    <w:next w:val="NoList"/>
    <w:uiPriority w:val="99"/>
    <w:unhideWhenUsed/>
    <w:rsid w:val="00C9597C"/>
  </w:style>
  <w:style w:type="table" w:customStyle="1" w:styleId="MediumGrid1-Accent1371">
    <w:name w:val="Medium Grid 1 - Accent 137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71">
    <w:name w:val="Light Grid - Accent 1137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71">
    <w:name w:val="Light Grid - Accent 537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71">
    <w:name w:val="Light Grid - Accent 1237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71">
    <w:name w:val="Light List - Accent 537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71">
    <w:name w:val="Light List - Accent 1137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71">
    <w:name w:val="Light Grid - Accent 1337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71">
    <w:name w:val="Medium Grid 1 - Accent 337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71">
    <w:name w:val="Grid Table 4 Accent 327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71">
    <w:name w:val="Table Grid17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1">
    <w:name w:val="Table Grid261"/>
    <w:basedOn w:val="TableNormal"/>
    <w:next w:val="TableGrid"/>
    <w:uiPriority w:val="59"/>
    <w:rsid w:val="00C9597C"/>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1">
    <w:name w:val="No List451"/>
    <w:next w:val="NoList"/>
    <w:uiPriority w:val="99"/>
    <w:unhideWhenUsed/>
    <w:rsid w:val="00C9597C"/>
  </w:style>
  <w:style w:type="table" w:customStyle="1" w:styleId="MediumGrid1-Accent1451">
    <w:name w:val="Medium Grid 1 - Accent 14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51">
    <w:name w:val="Light Grid - Accent 114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51">
    <w:name w:val="Light Grid - Accent 54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51">
    <w:name w:val="Light Grid - Accent 124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51">
    <w:name w:val="Light List - Accent 54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51">
    <w:name w:val="Light List - Accent 114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51">
    <w:name w:val="Light Grid - Accent 134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51">
    <w:name w:val="Medium Grid 1 - Accent 34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51">
    <w:name w:val="Table Grid2151"/>
    <w:basedOn w:val="TableNormal"/>
    <w:next w:val="TableGrid"/>
    <w:uiPriority w:val="39"/>
    <w:rsid w:val="00C9597C"/>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51">
    <w:name w:val="Medium Grid 3 - Accent 1151"/>
    <w:basedOn w:val="TableNormal"/>
    <w:next w:val="MediumGrid3-Accent1"/>
    <w:uiPriority w:val="69"/>
    <w:rsid w:val="00C9597C"/>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51">
    <w:name w:val="No List1151"/>
    <w:next w:val="NoList"/>
    <w:uiPriority w:val="99"/>
    <w:unhideWhenUsed/>
    <w:rsid w:val="00C9597C"/>
  </w:style>
  <w:style w:type="table" w:customStyle="1" w:styleId="MediumGrid1-Accent11151">
    <w:name w:val="Medium Grid 1 - Accent 111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51">
    <w:name w:val="Light Grid - Accent 111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51">
    <w:name w:val="Light Grid - Accent 51151"/>
    <w:basedOn w:val="TableNormal"/>
    <w:next w:val="LightGrid-Accent5"/>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51">
    <w:name w:val="Light Grid - Accent 121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51">
    <w:name w:val="Light List - Accent 51151"/>
    <w:basedOn w:val="TableNormal"/>
    <w:next w:val="LightList-Accent5"/>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51">
    <w:name w:val="Light List - Accent 1111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51">
    <w:name w:val="Light Grid - Accent 131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51">
    <w:name w:val="Medium Grid 1 - Accent 311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51">
    <w:name w:val="Grid Table 4 - Accent 3115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51">
    <w:name w:val="No List2151"/>
    <w:next w:val="NoList"/>
    <w:uiPriority w:val="99"/>
    <w:unhideWhenUsed/>
    <w:rsid w:val="00C9597C"/>
  </w:style>
  <w:style w:type="table" w:customStyle="1" w:styleId="MediumGrid1-Accent12151">
    <w:name w:val="Medium Grid 1 - Accent 121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51">
    <w:name w:val="Light Grid - Accent 1121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51">
    <w:name w:val="Light Grid - Accent 521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51">
    <w:name w:val="Light Grid - Accent 122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51">
    <w:name w:val="Light List - Accent 521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51">
    <w:name w:val="Light List - Accent 1121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51">
    <w:name w:val="Light Grid - Accent 132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51">
    <w:name w:val="Medium Grid 1 - Accent 321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51">
    <w:name w:val="Grid Table 4 Accent 3115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51">
    <w:name w:val="No List3151"/>
    <w:next w:val="NoList"/>
    <w:uiPriority w:val="99"/>
    <w:unhideWhenUsed/>
    <w:rsid w:val="00C9597C"/>
  </w:style>
  <w:style w:type="table" w:customStyle="1" w:styleId="MediumGrid1-Accent13151">
    <w:name w:val="Medium Grid 1 - Accent 131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51">
    <w:name w:val="Light Grid - Accent 1131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51">
    <w:name w:val="Light Grid - Accent 531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51">
    <w:name w:val="Light Grid - Accent 123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51">
    <w:name w:val="Light List - Accent 531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51">
    <w:name w:val="Light List - Accent 1131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51">
    <w:name w:val="Light Grid - Accent 1331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51">
    <w:name w:val="Medium Grid 1 - Accent 331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51">
    <w:name w:val="Grid Table 4 Accent 32151"/>
    <w:basedOn w:val="TableNormal"/>
    <w:uiPriority w:val="49"/>
    <w:rsid w:val="00C9597C"/>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51">
    <w:name w:val="Table Grid1151"/>
    <w:basedOn w:val="TableNormal"/>
    <w:next w:val="TableGrid"/>
    <w:uiPriority w:val="39"/>
    <w:rsid w:val="00C9597C"/>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1">
    <w:name w:val="No List551"/>
    <w:next w:val="NoList"/>
    <w:uiPriority w:val="99"/>
    <w:unhideWhenUsed/>
    <w:rsid w:val="00C9597C"/>
  </w:style>
  <w:style w:type="table" w:customStyle="1" w:styleId="MediumGrid1-Accent1551">
    <w:name w:val="Medium Grid 1 - Accent 15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51">
    <w:name w:val="Light Grid - Accent 115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51">
    <w:name w:val="Light Grid - Accent 55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51">
    <w:name w:val="Light Grid - Accent 125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51">
    <w:name w:val="Light List - Accent 55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51">
    <w:name w:val="Light List - Accent 115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51">
    <w:name w:val="Light Grid - Accent 135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51">
    <w:name w:val="Medium Grid 1 - Accent 35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51">
    <w:name w:val="No List1251"/>
    <w:next w:val="NoList"/>
    <w:uiPriority w:val="99"/>
    <w:unhideWhenUsed/>
    <w:rsid w:val="00C9597C"/>
  </w:style>
  <w:style w:type="numbering" w:customStyle="1" w:styleId="NoList2251">
    <w:name w:val="No List2251"/>
    <w:next w:val="NoList"/>
    <w:uiPriority w:val="99"/>
    <w:unhideWhenUsed/>
    <w:rsid w:val="00C9597C"/>
  </w:style>
  <w:style w:type="numbering" w:customStyle="1" w:styleId="NoList3251">
    <w:name w:val="No List3251"/>
    <w:next w:val="NoList"/>
    <w:uiPriority w:val="99"/>
    <w:unhideWhenUsed/>
    <w:rsid w:val="00C9597C"/>
  </w:style>
  <w:style w:type="numbering" w:customStyle="1" w:styleId="NoList651">
    <w:name w:val="No List651"/>
    <w:next w:val="NoList"/>
    <w:uiPriority w:val="99"/>
    <w:unhideWhenUsed/>
    <w:rsid w:val="00C9597C"/>
  </w:style>
  <w:style w:type="table" w:customStyle="1" w:styleId="MediumGrid1-Accent1651">
    <w:name w:val="Medium Grid 1 - Accent 1651"/>
    <w:basedOn w:val="TableNormal"/>
    <w:next w:val="MediumGrid1-Accent1"/>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51">
    <w:name w:val="Light Grid - Accent 11651"/>
    <w:basedOn w:val="TableNormal"/>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51">
    <w:name w:val="Light Grid - Accent 5651"/>
    <w:basedOn w:val="TableNormal"/>
    <w:next w:val="LightGrid-Accent5"/>
    <w:uiPriority w:val="62"/>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51">
    <w:name w:val="Light Grid - Accent 126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51">
    <w:name w:val="Light List - Accent 5651"/>
    <w:basedOn w:val="TableNormal"/>
    <w:next w:val="LightList-Accent5"/>
    <w:uiPriority w:val="61"/>
    <w:rsid w:val="00C9597C"/>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51">
    <w:name w:val="Light List - Accent 11651"/>
    <w:basedOn w:val="TableNormal"/>
    <w:uiPriority w:val="61"/>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51">
    <w:name w:val="Light Grid - Accent 13651"/>
    <w:basedOn w:val="TableNormal"/>
    <w:uiPriority w:val="62"/>
    <w:rsid w:val="00C9597C"/>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51">
    <w:name w:val="Medium Grid 1 - Accent 3651"/>
    <w:basedOn w:val="TableNormal"/>
    <w:next w:val="MediumGrid1-Accent3"/>
    <w:uiPriority w:val="67"/>
    <w:rsid w:val="00C9597C"/>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51">
    <w:name w:val="No List1351"/>
    <w:next w:val="NoList"/>
    <w:uiPriority w:val="99"/>
    <w:unhideWhenUsed/>
    <w:rsid w:val="00C9597C"/>
  </w:style>
  <w:style w:type="numbering" w:customStyle="1" w:styleId="NoList2351">
    <w:name w:val="No List2351"/>
    <w:next w:val="NoList"/>
    <w:uiPriority w:val="99"/>
    <w:unhideWhenUsed/>
    <w:rsid w:val="00C9597C"/>
  </w:style>
  <w:style w:type="numbering" w:customStyle="1" w:styleId="NoList3351">
    <w:name w:val="No List3351"/>
    <w:next w:val="NoList"/>
    <w:uiPriority w:val="99"/>
    <w:unhideWhenUsed/>
    <w:rsid w:val="00C9597C"/>
  </w:style>
  <w:style w:type="table" w:styleId="GridTable4-Accent5">
    <w:name w:val="Grid Table 4 Accent 5"/>
    <w:basedOn w:val="TableNormal"/>
    <w:uiPriority w:val="49"/>
    <w:rsid w:val="00B25DA6"/>
    <w:rPr>
      <w:rFonts w:asciiTheme="minorHAnsi" w:hAnsiTheme="minorHAnsi" w:cstheme="minorBidi"/>
      <w:sz w:val="22"/>
      <w:szCs w:val="22"/>
      <w:lang w:val="en-IN"/>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NoList30">
    <w:name w:val="No List30"/>
    <w:next w:val="NoList"/>
    <w:uiPriority w:val="99"/>
    <w:unhideWhenUsed/>
    <w:rsid w:val="00C64FC7"/>
  </w:style>
  <w:style w:type="table" w:customStyle="1" w:styleId="TableGrid19">
    <w:name w:val="Table Grid19"/>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9">
    <w:name w:val="Medium Grid 3 - Accent 19"/>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20">
    <w:name w:val="Medium Grid 1 - Accent 120"/>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20">
    <w:name w:val="Light Grid - Accent 1120"/>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20">
    <w:name w:val="Light Grid - Accent 520"/>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20">
    <w:name w:val="Light Grid - Accent 1220"/>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20">
    <w:name w:val="Light List - Accent 520"/>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0">
    <w:name w:val="Light List - Accent 1120"/>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20">
    <w:name w:val="Light Grid - Accent 132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20">
    <w:name w:val="Medium Grid 1 - Accent 320"/>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17">
    <w:name w:val="No List117"/>
    <w:next w:val="NoList"/>
    <w:uiPriority w:val="99"/>
    <w:unhideWhenUsed/>
    <w:rsid w:val="00C64FC7"/>
  </w:style>
  <w:style w:type="table" w:customStyle="1" w:styleId="MediumGrid1-Accent1117">
    <w:name w:val="Medium Grid 1 - Accent 1117"/>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7">
    <w:name w:val="Light Grid - Accent 111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7">
    <w:name w:val="Light Grid - Accent 5117"/>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7">
    <w:name w:val="Light Grid - Accent 121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7">
    <w:name w:val="Light List - Accent 5117"/>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7">
    <w:name w:val="Light List - Accent 11117"/>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7">
    <w:name w:val="Light Grid - Accent 131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7">
    <w:name w:val="Medium Grid 1 - Accent 3117"/>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9">
    <w:name w:val="Grid Table 4 - Accent 319"/>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0">
    <w:name w:val="No List210"/>
    <w:next w:val="NoList"/>
    <w:uiPriority w:val="99"/>
    <w:unhideWhenUsed/>
    <w:rsid w:val="00C64FC7"/>
  </w:style>
  <w:style w:type="table" w:customStyle="1" w:styleId="MediumGrid1-Accent129">
    <w:name w:val="Medium Grid 1 - Accent 129"/>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9">
    <w:name w:val="Light Grid - Accent 1129"/>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9">
    <w:name w:val="Light Grid - Accent 529"/>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9">
    <w:name w:val="Light Grid - Accent 122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9">
    <w:name w:val="Light List - Accent 529"/>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9">
    <w:name w:val="Light List - Accent 1129"/>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9">
    <w:name w:val="Light Grid - Accent 132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9">
    <w:name w:val="Medium Grid 1 - Accent 329"/>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9">
    <w:name w:val="Grid Table 4 Accent 319"/>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0">
    <w:name w:val="No List310"/>
    <w:next w:val="NoList"/>
    <w:uiPriority w:val="99"/>
    <w:unhideWhenUsed/>
    <w:rsid w:val="00C64FC7"/>
  </w:style>
  <w:style w:type="table" w:customStyle="1" w:styleId="MediumGrid1-Accent139">
    <w:name w:val="Medium Grid 1 - Accent 139"/>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9">
    <w:name w:val="Light Grid - Accent 1139"/>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9">
    <w:name w:val="Light Grid - Accent 539"/>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9">
    <w:name w:val="Light Grid - Accent 123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9">
    <w:name w:val="Light List - Accent 539"/>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9">
    <w:name w:val="Light List - Accent 1139"/>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9">
    <w:name w:val="Light Grid - Accent 133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9">
    <w:name w:val="Medium Grid 1 - Accent 339"/>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9">
    <w:name w:val="Grid Table 4 Accent 329"/>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0">
    <w:name w:val="Table Grid110"/>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7">
    <w:name w:val="No List47"/>
    <w:next w:val="NoList"/>
    <w:uiPriority w:val="99"/>
    <w:unhideWhenUsed/>
    <w:rsid w:val="00C64FC7"/>
  </w:style>
  <w:style w:type="table" w:customStyle="1" w:styleId="MediumGrid1-Accent147">
    <w:name w:val="Medium Grid 1 - Accent 147"/>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7">
    <w:name w:val="Light Grid - Accent 1147"/>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7">
    <w:name w:val="Light Grid - Accent 547"/>
    <w:basedOn w:val="TableNormal"/>
    <w:next w:val="LightGrid-Accent5"/>
    <w:uiPriority w:val="62"/>
    <w:qFormat/>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7">
    <w:name w:val="Light Grid - Accent 124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7">
    <w:name w:val="Light List - Accent 547"/>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7">
    <w:name w:val="Light List - Accent 1147"/>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7">
    <w:name w:val="Light Grid - Accent 134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7">
    <w:name w:val="Medium Grid 1 - Accent 347"/>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32">
    <w:name w:val="Table Grid3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7">
    <w:name w:val="Medium Grid 3 - Accent 117"/>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8">
    <w:name w:val="No List118"/>
    <w:next w:val="NoList"/>
    <w:uiPriority w:val="99"/>
    <w:unhideWhenUsed/>
    <w:rsid w:val="00C64FC7"/>
  </w:style>
  <w:style w:type="table" w:customStyle="1" w:styleId="MediumGrid1-Accent1118">
    <w:name w:val="Medium Grid 1 - Accent 1118"/>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8">
    <w:name w:val="Light Grid - Accent 111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8">
    <w:name w:val="Light Grid - Accent 5118"/>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8">
    <w:name w:val="Light Grid - Accent 121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8">
    <w:name w:val="Light List - Accent 5118"/>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8">
    <w:name w:val="Light List - Accent 11118"/>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8">
    <w:name w:val="Light Grid - Accent 131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8">
    <w:name w:val="Medium Grid 1 - Accent 3118"/>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7">
    <w:name w:val="Grid Table 4 - Accent 3117"/>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7">
    <w:name w:val="No List217"/>
    <w:next w:val="NoList"/>
    <w:uiPriority w:val="99"/>
    <w:unhideWhenUsed/>
    <w:rsid w:val="00C64FC7"/>
  </w:style>
  <w:style w:type="table" w:customStyle="1" w:styleId="MediumGrid1-Accent1217">
    <w:name w:val="Medium Grid 1 - Accent 1217"/>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7">
    <w:name w:val="Light Grid - Accent 11217"/>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7">
    <w:name w:val="Light Grid - Accent 5217"/>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7">
    <w:name w:val="Light Grid - Accent 122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7">
    <w:name w:val="Light List - Accent 5217"/>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7">
    <w:name w:val="Light List - Accent 11217"/>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7">
    <w:name w:val="Light Grid - Accent 132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7">
    <w:name w:val="Medium Grid 1 - Accent 3217"/>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7">
    <w:name w:val="Grid Table 4 Accent 3117"/>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7">
    <w:name w:val="No List317"/>
    <w:next w:val="NoList"/>
    <w:uiPriority w:val="99"/>
    <w:unhideWhenUsed/>
    <w:rsid w:val="00C64FC7"/>
  </w:style>
  <w:style w:type="table" w:customStyle="1" w:styleId="MediumGrid1-Accent1317">
    <w:name w:val="Medium Grid 1 - Accent 1317"/>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7">
    <w:name w:val="Light Grid - Accent 11317"/>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7">
    <w:name w:val="Light Grid - Accent 5317"/>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7">
    <w:name w:val="Light Grid - Accent 123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7">
    <w:name w:val="Light List - Accent 5317"/>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7">
    <w:name w:val="Light List - Accent 11317"/>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7">
    <w:name w:val="Light Grid - Accent 1331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7">
    <w:name w:val="Medium Grid 1 - Accent 3317"/>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7">
    <w:name w:val="Grid Table 4 Accent 3217"/>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7">
    <w:name w:val="Table Grid117"/>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7">
    <w:name w:val="No List57"/>
    <w:next w:val="NoList"/>
    <w:uiPriority w:val="99"/>
    <w:unhideWhenUsed/>
    <w:rsid w:val="00C64FC7"/>
  </w:style>
  <w:style w:type="table" w:customStyle="1" w:styleId="TableGrid42">
    <w:name w:val="Table Grid42"/>
    <w:basedOn w:val="TableNormal"/>
    <w:next w:val="TableGrid"/>
    <w:uiPriority w:val="5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22">
    <w:name w:val="Medium Grid 3 - Accent 12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57">
    <w:name w:val="Medium Grid 1 - Accent 157"/>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7">
    <w:name w:val="Light Grid - Accent 1157"/>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57">
    <w:name w:val="Light Grid - Accent 557"/>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57">
    <w:name w:val="Light Grid - Accent 1257"/>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57">
    <w:name w:val="Light List - Accent 557"/>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7">
    <w:name w:val="Light List - Accent 1157"/>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57">
    <w:name w:val="Light Grid - Accent 135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57">
    <w:name w:val="Medium Grid 1 - Accent 357"/>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7">
    <w:name w:val="No List127"/>
    <w:next w:val="NoList"/>
    <w:uiPriority w:val="99"/>
    <w:unhideWhenUsed/>
    <w:rsid w:val="00C64FC7"/>
  </w:style>
  <w:style w:type="table" w:customStyle="1" w:styleId="MediumGrid1-Accent1122">
    <w:name w:val="Medium Grid 1 - Accent 11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22">
    <w:name w:val="Light Grid - Accent 11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2">
    <w:name w:val="Light Grid - Accent 512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22">
    <w:name w:val="Light Grid - Accent 12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22">
    <w:name w:val="Light List - Accent 512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2">
    <w:name w:val="Light List - Accent 111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22">
    <w:name w:val="Light Grid - Accent 13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22">
    <w:name w:val="Medium Grid 1 - Accent 31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22">
    <w:name w:val="Grid Table 4 - Accent 312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27">
    <w:name w:val="No List227"/>
    <w:next w:val="NoList"/>
    <w:uiPriority w:val="99"/>
    <w:unhideWhenUsed/>
    <w:rsid w:val="00C64FC7"/>
  </w:style>
  <w:style w:type="table" w:customStyle="1" w:styleId="MediumGrid1-Accent1222">
    <w:name w:val="Medium Grid 1 - Accent 12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22">
    <w:name w:val="Light Grid - Accent 112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22">
    <w:name w:val="Light Grid - Accent 522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22">
    <w:name w:val="Light Grid - Accent 122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22">
    <w:name w:val="Light List - Accent 52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22">
    <w:name w:val="Light List - Accent 112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22">
    <w:name w:val="Light Grid - Accent 132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22">
    <w:name w:val="Medium Grid 1 - Accent 32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22">
    <w:name w:val="Grid Table 4 Accent 312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27">
    <w:name w:val="No List327"/>
    <w:next w:val="NoList"/>
    <w:uiPriority w:val="99"/>
    <w:unhideWhenUsed/>
    <w:rsid w:val="00C64FC7"/>
  </w:style>
  <w:style w:type="table" w:customStyle="1" w:styleId="MediumGrid1-Accent1322">
    <w:name w:val="Medium Grid 1 - Accent 13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22">
    <w:name w:val="Light Grid - Accent 113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22">
    <w:name w:val="Light Grid - Accent 532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22">
    <w:name w:val="Light Grid - Accent 123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22">
    <w:name w:val="Light List - Accent 53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22">
    <w:name w:val="Light List - Accent 113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22">
    <w:name w:val="Light Grid - Accent 133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22">
    <w:name w:val="Medium Grid 1 - Accent 33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22">
    <w:name w:val="Grid Table 4 Accent 322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2">
    <w:name w:val="Table Grid12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3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7">
    <w:name w:val="No List67"/>
    <w:next w:val="NoList"/>
    <w:uiPriority w:val="99"/>
    <w:unhideWhenUsed/>
    <w:rsid w:val="00C64FC7"/>
  </w:style>
  <w:style w:type="table" w:customStyle="1" w:styleId="MediumGrid1-Accent167">
    <w:name w:val="Medium Grid 1 - Accent 167"/>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7">
    <w:name w:val="Light Grid - Accent 1167"/>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7">
    <w:name w:val="Light Grid - Accent 567"/>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7">
    <w:name w:val="Light Grid - Accent 126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7">
    <w:name w:val="Light List - Accent 567"/>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7">
    <w:name w:val="Light List - Accent 1167"/>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7">
    <w:name w:val="Light Grid - Accent 1367"/>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7">
    <w:name w:val="Medium Grid 1 - Accent 367"/>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7">
    <w:name w:val="No List137"/>
    <w:next w:val="NoList"/>
    <w:uiPriority w:val="99"/>
    <w:unhideWhenUsed/>
    <w:rsid w:val="00C64FC7"/>
  </w:style>
  <w:style w:type="numbering" w:customStyle="1" w:styleId="NoList237">
    <w:name w:val="No List237"/>
    <w:next w:val="NoList"/>
    <w:uiPriority w:val="99"/>
    <w:unhideWhenUsed/>
    <w:rsid w:val="00C64FC7"/>
  </w:style>
  <w:style w:type="numbering" w:customStyle="1" w:styleId="NoList337">
    <w:name w:val="No List337"/>
    <w:next w:val="NoList"/>
    <w:uiPriority w:val="99"/>
    <w:unhideWhenUsed/>
    <w:rsid w:val="00C64FC7"/>
  </w:style>
  <w:style w:type="numbering" w:customStyle="1" w:styleId="NoList72">
    <w:name w:val="No List72"/>
    <w:next w:val="NoList"/>
    <w:uiPriority w:val="99"/>
    <w:unhideWhenUsed/>
    <w:rsid w:val="00C64FC7"/>
  </w:style>
  <w:style w:type="table" w:customStyle="1" w:styleId="TableGrid52">
    <w:name w:val="Table Grid5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32">
    <w:name w:val="Medium Grid 3 - Accent 13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72">
    <w:name w:val="Medium Grid 1 - Accent 17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2">
    <w:name w:val="Light Grid - Accent 117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72">
    <w:name w:val="Light Grid - Accent 57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72">
    <w:name w:val="Light Grid - Accent 127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72">
    <w:name w:val="Light List - Accent 57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72">
    <w:name w:val="Light List - Accent 117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72">
    <w:name w:val="Light Grid - Accent 137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72">
    <w:name w:val="Medium Grid 1 - Accent 37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42">
    <w:name w:val="No List142"/>
    <w:next w:val="NoList"/>
    <w:uiPriority w:val="99"/>
    <w:unhideWhenUsed/>
    <w:rsid w:val="00C64FC7"/>
  </w:style>
  <w:style w:type="table" w:customStyle="1" w:styleId="MediumGrid1-Accent1132">
    <w:name w:val="Medium Grid 1 - Accent 11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2">
    <w:name w:val="Light Grid - Accent 11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2">
    <w:name w:val="Light Grid - Accent 513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32">
    <w:name w:val="Light Grid - Accent 12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32">
    <w:name w:val="Light List - Accent 513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2">
    <w:name w:val="Light List - Accent 111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32">
    <w:name w:val="Light Grid - Accent 13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32">
    <w:name w:val="Medium Grid 1 - Accent 31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32">
    <w:name w:val="Grid Table 4 - Accent 313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42">
    <w:name w:val="No List242"/>
    <w:next w:val="NoList"/>
    <w:uiPriority w:val="99"/>
    <w:unhideWhenUsed/>
    <w:rsid w:val="00C64FC7"/>
  </w:style>
  <w:style w:type="table" w:customStyle="1" w:styleId="MediumGrid1-Accent1232">
    <w:name w:val="Medium Grid 1 - Accent 12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32">
    <w:name w:val="Light Grid - Accent 112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32">
    <w:name w:val="Light Grid - Accent 52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32">
    <w:name w:val="Light Grid - Accent 122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32">
    <w:name w:val="Light List - Accent 52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32">
    <w:name w:val="Light List - Accent 112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32">
    <w:name w:val="Light Grid - Accent 132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32">
    <w:name w:val="Medium Grid 1 - Accent 32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32">
    <w:name w:val="Grid Table 4 Accent 313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42">
    <w:name w:val="No List342"/>
    <w:next w:val="NoList"/>
    <w:uiPriority w:val="99"/>
    <w:unhideWhenUsed/>
    <w:rsid w:val="00C64FC7"/>
  </w:style>
  <w:style w:type="table" w:customStyle="1" w:styleId="MediumGrid1-Accent1332">
    <w:name w:val="Medium Grid 1 - Accent 13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32">
    <w:name w:val="Light Grid - Accent 113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32">
    <w:name w:val="Light Grid - Accent 53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32">
    <w:name w:val="Light Grid - Accent 123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32">
    <w:name w:val="Light List - Accent 53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32">
    <w:name w:val="Light List - Accent 113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32">
    <w:name w:val="Light Grid - Accent 133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32">
    <w:name w:val="Medium Grid 1 - Accent 33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32">
    <w:name w:val="Grid Table 4 Accent 323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32">
    <w:name w:val="Table Grid13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NoList"/>
    <w:uiPriority w:val="99"/>
    <w:unhideWhenUsed/>
    <w:rsid w:val="00C64FC7"/>
  </w:style>
  <w:style w:type="table" w:customStyle="1" w:styleId="MediumGrid1-Accent1412">
    <w:name w:val="Medium Grid 1 - Accent 1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12">
    <w:name w:val="Light Grid - Accent 114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12">
    <w:name w:val="Light Grid - Accent 54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12">
    <w:name w:val="Light Grid - Accent 12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12">
    <w:name w:val="Light List - Accent 54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12">
    <w:name w:val="Light List - Accent 114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12">
    <w:name w:val="Light Grid - Accent 13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12">
    <w:name w:val="Medium Grid 1 - Accent 34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12">
    <w:name w:val="Table Grid21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12">
    <w:name w:val="Medium Grid 3 - Accent 11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2">
    <w:name w:val="No List1112"/>
    <w:next w:val="NoList"/>
    <w:uiPriority w:val="99"/>
    <w:unhideWhenUsed/>
    <w:rsid w:val="00C64FC7"/>
  </w:style>
  <w:style w:type="table" w:customStyle="1" w:styleId="MediumGrid1-Accent11112">
    <w:name w:val="Medium Grid 1 - Accent 11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2">
    <w:name w:val="Light Grid - Accent 11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2">
    <w:name w:val="Light Grid - Accent 511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2">
    <w:name w:val="Light Grid - Accent 12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2">
    <w:name w:val="Light List - Accent 511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2">
    <w:name w:val="Light List - Accent 111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2">
    <w:name w:val="Light Grid - Accent 13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2">
    <w:name w:val="Medium Grid 1 - Accent 31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12">
    <w:name w:val="Grid Table 4 - Accent 311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12">
    <w:name w:val="No List2112"/>
    <w:next w:val="NoList"/>
    <w:uiPriority w:val="99"/>
    <w:unhideWhenUsed/>
    <w:rsid w:val="00C64FC7"/>
  </w:style>
  <w:style w:type="table" w:customStyle="1" w:styleId="MediumGrid1-Accent12112">
    <w:name w:val="Medium Grid 1 - Accent 12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12">
    <w:name w:val="Light Grid - Accent 112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12">
    <w:name w:val="Light Grid - Accent 52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12">
    <w:name w:val="Light Grid - Accent 122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12">
    <w:name w:val="Light List - Accent 52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12">
    <w:name w:val="Light List - Accent 112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12">
    <w:name w:val="Light Grid - Accent 132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12">
    <w:name w:val="Medium Grid 1 - Accent 32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12">
    <w:name w:val="Grid Table 4 Accent 311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12">
    <w:name w:val="No List3112"/>
    <w:next w:val="NoList"/>
    <w:uiPriority w:val="99"/>
    <w:unhideWhenUsed/>
    <w:rsid w:val="00C64FC7"/>
  </w:style>
  <w:style w:type="table" w:customStyle="1" w:styleId="MediumGrid1-Accent13112">
    <w:name w:val="Medium Grid 1 - Accent 13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12">
    <w:name w:val="Light Grid - Accent 113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12">
    <w:name w:val="Light Grid - Accent 53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12">
    <w:name w:val="Light Grid - Accent 123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12">
    <w:name w:val="Light List - Accent 53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12">
    <w:name w:val="Light List - Accent 113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12">
    <w:name w:val="Light Grid - Accent 133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12">
    <w:name w:val="Medium Grid 1 - Accent 33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12">
    <w:name w:val="Grid Table 4 Accent 321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12">
    <w:name w:val="Table Grid11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NoList"/>
    <w:uiPriority w:val="99"/>
    <w:unhideWhenUsed/>
    <w:rsid w:val="00C64FC7"/>
  </w:style>
  <w:style w:type="table" w:customStyle="1" w:styleId="MediumGrid1-Accent1512">
    <w:name w:val="Medium Grid 1 - Accent 15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12">
    <w:name w:val="Light Grid - Accent 115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12">
    <w:name w:val="Light Grid - Accent 55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12">
    <w:name w:val="Light Grid - Accent 12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12">
    <w:name w:val="Light List - Accent 55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12">
    <w:name w:val="Light List - Accent 115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12">
    <w:name w:val="Light Grid - Accent 13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12">
    <w:name w:val="Medium Grid 1 - Accent 35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12">
    <w:name w:val="No List1212"/>
    <w:next w:val="NoList"/>
    <w:uiPriority w:val="99"/>
    <w:unhideWhenUsed/>
    <w:rsid w:val="00C64FC7"/>
  </w:style>
  <w:style w:type="numbering" w:customStyle="1" w:styleId="NoList2212">
    <w:name w:val="No List2212"/>
    <w:next w:val="NoList"/>
    <w:uiPriority w:val="99"/>
    <w:unhideWhenUsed/>
    <w:rsid w:val="00C64FC7"/>
  </w:style>
  <w:style w:type="numbering" w:customStyle="1" w:styleId="NoList3212">
    <w:name w:val="No List3212"/>
    <w:next w:val="NoList"/>
    <w:uiPriority w:val="99"/>
    <w:unhideWhenUsed/>
    <w:rsid w:val="00C64FC7"/>
  </w:style>
  <w:style w:type="numbering" w:customStyle="1" w:styleId="NoList612">
    <w:name w:val="No List612"/>
    <w:next w:val="NoList"/>
    <w:uiPriority w:val="99"/>
    <w:unhideWhenUsed/>
    <w:rsid w:val="00C64FC7"/>
  </w:style>
  <w:style w:type="table" w:customStyle="1" w:styleId="MediumGrid1-Accent1612">
    <w:name w:val="Medium Grid 1 - Accent 16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12">
    <w:name w:val="Light Grid - Accent 116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12">
    <w:name w:val="Light Grid - Accent 56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12">
    <w:name w:val="Light Grid - Accent 12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12">
    <w:name w:val="Light List - Accent 56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12">
    <w:name w:val="Light List - Accent 116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12">
    <w:name w:val="Light Grid - Accent 13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12">
    <w:name w:val="Medium Grid 1 - Accent 36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12">
    <w:name w:val="No List1312"/>
    <w:next w:val="NoList"/>
    <w:uiPriority w:val="99"/>
    <w:unhideWhenUsed/>
    <w:rsid w:val="00C64FC7"/>
  </w:style>
  <w:style w:type="numbering" w:customStyle="1" w:styleId="NoList2312">
    <w:name w:val="No List2312"/>
    <w:next w:val="NoList"/>
    <w:uiPriority w:val="99"/>
    <w:unhideWhenUsed/>
    <w:rsid w:val="00C64FC7"/>
  </w:style>
  <w:style w:type="numbering" w:customStyle="1" w:styleId="NoList3312">
    <w:name w:val="No List3312"/>
    <w:next w:val="NoList"/>
    <w:uiPriority w:val="99"/>
    <w:unhideWhenUsed/>
    <w:rsid w:val="00C64FC7"/>
  </w:style>
  <w:style w:type="numbering" w:customStyle="1" w:styleId="NoList82">
    <w:name w:val="No List82"/>
    <w:next w:val="NoList"/>
    <w:uiPriority w:val="99"/>
    <w:unhideWhenUsed/>
    <w:rsid w:val="00C64FC7"/>
  </w:style>
  <w:style w:type="table" w:customStyle="1" w:styleId="TableGrid62">
    <w:name w:val="Table Grid6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42">
    <w:name w:val="Medium Grid 3 - Accent 14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82">
    <w:name w:val="Medium Grid 1 - Accent 18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82">
    <w:name w:val="Light Grid - Accent 118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82">
    <w:name w:val="Light Grid - Accent 58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82">
    <w:name w:val="Light Grid - Accent 128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82">
    <w:name w:val="Light List - Accent 58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82">
    <w:name w:val="Light List - Accent 118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82">
    <w:name w:val="Light Grid - Accent 13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82">
    <w:name w:val="Medium Grid 1 - Accent 38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52">
    <w:name w:val="No List152"/>
    <w:next w:val="NoList"/>
    <w:uiPriority w:val="99"/>
    <w:unhideWhenUsed/>
    <w:rsid w:val="00C64FC7"/>
  </w:style>
  <w:style w:type="table" w:customStyle="1" w:styleId="MediumGrid1-Accent1142">
    <w:name w:val="Medium Grid 1 - Accent 11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2">
    <w:name w:val="Light Grid - Accent 11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2">
    <w:name w:val="Light Grid - Accent 514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42">
    <w:name w:val="Light Grid - Accent 12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42">
    <w:name w:val="Light List - Accent 514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42">
    <w:name w:val="Light List - Accent 111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42">
    <w:name w:val="Light Grid - Accent 13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42">
    <w:name w:val="Medium Grid 1 - Accent 31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42">
    <w:name w:val="Grid Table 4 - Accent 314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52">
    <w:name w:val="No List252"/>
    <w:next w:val="NoList"/>
    <w:uiPriority w:val="99"/>
    <w:unhideWhenUsed/>
    <w:rsid w:val="00C64FC7"/>
  </w:style>
  <w:style w:type="table" w:customStyle="1" w:styleId="MediumGrid1-Accent1242">
    <w:name w:val="Medium Grid 1 - Accent 12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42">
    <w:name w:val="Light Grid - Accent 112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42">
    <w:name w:val="Light Grid - Accent 52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42">
    <w:name w:val="Light Grid - Accent 122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42">
    <w:name w:val="Light List - Accent 52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42">
    <w:name w:val="Light List - Accent 112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42">
    <w:name w:val="Light Grid - Accent 132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42">
    <w:name w:val="Medium Grid 1 - Accent 32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42">
    <w:name w:val="Grid Table 4 Accent 314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52">
    <w:name w:val="No List352"/>
    <w:next w:val="NoList"/>
    <w:uiPriority w:val="99"/>
    <w:unhideWhenUsed/>
    <w:rsid w:val="00C64FC7"/>
  </w:style>
  <w:style w:type="table" w:customStyle="1" w:styleId="MediumGrid1-Accent1342">
    <w:name w:val="Medium Grid 1 - Accent 13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42">
    <w:name w:val="Light Grid - Accent 113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42">
    <w:name w:val="Light Grid - Accent 53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42">
    <w:name w:val="Light Grid - Accent 123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42">
    <w:name w:val="Light List - Accent 53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42">
    <w:name w:val="Light List - Accent 113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42">
    <w:name w:val="Light Grid - Accent 133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42">
    <w:name w:val="Medium Grid 1 - Accent 33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42">
    <w:name w:val="Grid Table 4 Accent 324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2">
    <w:name w:val="Table Grid14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2">
    <w:name w:val="Table Grid23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2">
    <w:name w:val="No List422"/>
    <w:next w:val="NoList"/>
    <w:uiPriority w:val="99"/>
    <w:unhideWhenUsed/>
    <w:rsid w:val="00C64FC7"/>
  </w:style>
  <w:style w:type="table" w:customStyle="1" w:styleId="MediumGrid1-Accent1422">
    <w:name w:val="Medium Grid 1 - Accent 14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22">
    <w:name w:val="Light Grid - Accent 114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22">
    <w:name w:val="Light Grid - Accent 5422"/>
    <w:basedOn w:val="TableNormal"/>
    <w:next w:val="LightGrid-Accent5"/>
    <w:uiPriority w:val="62"/>
    <w:qFormat/>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22">
    <w:name w:val="Light Grid - Accent 124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22">
    <w:name w:val="Light List - Accent 54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22">
    <w:name w:val="Light List - Accent 114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22">
    <w:name w:val="Light Grid - Accent 134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22">
    <w:name w:val="Medium Grid 1 - Accent 34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22">
    <w:name w:val="Table Grid212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22">
    <w:name w:val="Medium Grid 3 - Accent 112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22">
    <w:name w:val="No List1122"/>
    <w:next w:val="NoList"/>
    <w:uiPriority w:val="99"/>
    <w:unhideWhenUsed/>
    <w:rsid w:val="00C64FC7"/>
  </w:style>
  <w:style w:type="table" w:customStyle="1" w:styleId="MediumGrid1-Accent11122">
    <w:name w:val="Medium Grid 1 - Accent 111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22">
    <w:name w:val="Light Grid - Accent 111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2">
    <w:name w:val="Light Grid - Accent 5112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22">
    <w:name w:val="Light Grid - Accent 121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22">
    <w:name w:val="Light List - Accent 5112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22">
    <w:name w:val="Light List - Accent 1111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22">
    <w:name w:val="Light Grid - Accent 131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22">
    <w:name w:val="Medium Grid 1 - Accent 311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22">
    <w:name w:val="Grid Table 4 - Accent 3112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22">
    <w:name w:val="No List2122"/>
    <w:next w:val="NoList"/>
    <w:uiPriority w:val="99"/>
    <w:unhideWhenUsed/>
    <w:rsid w:val="00C64FC7"/>
  </w:style>
  <w:style w:type="table" w:customStyle="1" w:styleId="MediumGrid1-Accent12122">
    <w:name w:val="Medium Grid 1 - Accent 121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22">
    <w:name w:val="Light Grid - Accent 1121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22">
    <w:name w:val="Light Grid - Accent 5212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22">
    <w:name w:val="Light Grid - Accent 122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22">
    <w:name w:val="Light List - Accent 521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22">
    <w:name w:val="Light List - Accent 1121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22">
    <w:name w:val="Light Grid - Accent 132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22">
    <w:name w:val="Medium Grid 1 - Accent 321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22">
    <w:name w:val="Grid Table 4 Accent 3112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22">
    <w:name w:val="No List3122"/>
    <w:next w:val="NoList"/>
    <w:uiPriority w:val="99"/>
    <w:unhideWhenUsed/>
    <w:rsid w:val="00C64FC7"/>
  </w:style>
  <w:style w:type="table" w:customStyle="1" w:styleId="MediumGrid1-Accent13122">
    <w:name w:val="Medium Grid 1 - Accent 131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22">
    <w:name w:val="Light Grid - Accent 1131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22">
    <w:name w:val="Light Grid - Accent 5312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22">
    <w:name w:val="Light Grid - Accent 123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22">
    <w:name w:val="Light List - Accent 531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22">
    <w:name w:val="Light List - Accent 1131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22">
    <w:name w:val="Light Grid - Accent 1331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22">
    <w:name w:val="Medium Grid 1 - Accent 331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22">
    <w:name w:val="Grid Table 4 Accent 3212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22">
    <w:name w:val="Table Grid112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2">
    <w:name w:val="No List522"/>
    <w:next w:val="NoList"/>
    <w:uiPriority w:val="99"/>
    <w:unhideWhenUsed/>
    <w:rsid w:val="00C64FC7"/>
  </w:style>
  <w:style w:type="table" w:customStyle="1" w:styleId="MediumGrid1-Accent1522">
    <w:name w:val="Medium Grid 1 - Accent 15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22">
    <w:name w:val="Light Grid - Accent 115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22">
    <w:name w:val="Light Grid - Accent 552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22">
    <w:name w:val="Light Grid - Accent 125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22">
    <w:name w:val="Light List - Accent 55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22">
    <w:name w:val="Light List - Accent 115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22">
    <w:name w:val="Light Grid - Accent 135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22">
    <w:name w:val="Medium Grid 1 - Accent 35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22">
    <w:name w:val="No List1222"/>
    <w:next w:val="NoList"/>
    <w:uiPriority w:val="99"/>
    <w:unhideWhenUsed/>
    <w:rsid w:val="00C64FC7"/>
  </w:style>
  <w:style w:type="numbering" w:customStyle="1" w:styleId="NoList2222">
    <w:name w:val="No List2222"/>
    <w:next w:val="NoList"/>
    <w:uiPriority w:val="99"/>
    <w:unhideWhenUsed/>
    <w:rsid w:val="00C64FC7"/>
  </w:style>
  <w:style w:type="numbering" w:customStyle="1" w:styleId="NoList3222">
    <w:name w:val="No List3222"/>
    <w:next w:val="NoList"/>
    <w:uiPriority w:val="99"/>
    <w:unhideWhenUsed/>
    <w:rsid w:val="00C64FC7"/>
  </w:style>
  <w:style w:type="numbering" w:customStyle="1" w:styleId="NoList622">
    <w:name w:val="No List622"/>
    <w:next w:val="NoList"/>
    <w:uiPriority w:val="99"/>
    <w:unhideWhenUsed/>
    <w:rsid w:val="00C64FC7"/>
  </w:style>
  <w:style w:type="table" w:customStyle="1" w:styleId="MediumGrid1-Accent1622">
    <w:name w:val="Medium Grid 1 - Accent 162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22">
    <w:name w:val="Light Grid - Accent 1162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22">
    <w:name w:val="Light Grid - Accent 562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22">
    <w:name w:val="Light Grid - Accent 126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22">
    <w:name w:val="Light List - Accent 562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22">
    <w:name w:val="Light List - Accent 1162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22">
    <w:name w:val="Light Grid - Accent 1362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22">
    <w:name w:val="Medium Grid 1 - Accent 362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22">
    <w:name w:val="No List1322"/>
    <w:next w:val="NoList"/>
    <w:uiPriority w:val="99"/>
    <w:unhideWhenUsed/>
    <w:rsid w:val="00C64FC7"/>
  </w:style>
  <w:style w:type="numbering" w:customStyle="1" w:styleId="NoList2322">
    <w:name w:val="No List2322"/>
    <w:next w:val="NoList"/>
    <w:uiPriority w:val="99"/>
    <w:unhideWhenUsed/>
    <w:rsid w:val="00C64FC7"/>
  </w:style>
  <w:style w:type="numbering" w:customStyle="1" w:styleId="NoList3322">
    <w:name w:val="No List3322"/>
    <w:next w:val="NoList"/>
    <w:uiPriority w:val="99"/>
    <w:unhideWhenUsed/>
    <w:rsid w:val="00C64FC7"/>
  </w:style>
  <w:style w:type="numbering" w:customStyle="1" w:styleId="NoList92">
    <w:name w:val="No List92"/>
    <w:next w:val="NoList"/>
    <w:uiPriority w:val="99"/>
    <w:unhideWhenUsed/>
    <w:rsid w:val="00C64FC7"/>
  </w:style>
  <w:style w:type="table" w:customStyle="1" w:styleId="TableGrid72">
    <w:name w:val="Table Grid7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52">
    <w:name w:val="Medium Grid 3 - Accent 15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92">
    <w:name w:val="Medium Grid 1 - Accent 19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2">
    <w:name w:val="Light Grid - Accent 119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92">
    <w:name w:val="Light Grid - Accent 59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92">
    <w:name w:val="Light Grid - Accent 129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92">
    <w:name w:val="Light List - Accent 59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2">
    <w:name w:val="Light List - Accent 119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92">
    <w:name w:val="Light Grid - Accent 139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92">
    <w:name w:val="Medium Grid 1 - Accent 39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62">
    <w:name w:val="No List162"/>
    <w:next w:val="NoList"/>
    <w:uiPriority w:val="99"/>
    <w:unhideWhenUsed/>
    <w:rsid w:val="00C64FC7"/>
  </w:style>
  <w:style w:type="table" w:customStyle="1" w:styleId="MediumGrid1-Accent1152">
    <w:name w:val="Medium Grid 1 - Accent 11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2">
    <w:name w:val="Light Grid - Accent 11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2">
    <w:name w:val="Light Grid - Accent 515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52">
    <w:name w:val="Light Grid - Accent 12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52">
    <w:name w:val="Light List - Accent 515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52">
    <w:name w:val="Light List - Accent 111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52">
    <w:name w:val="Light Grid - Accent 13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52">
    <w:name w:val="Medium Grid 1 - Accent 31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52">
    <w:name w:val="Grid Table 4 - Accent 315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62">
    <w:name w:val="No List262"/>
    <w:next w:val="NoList"/>
    <w:uiPriority w:val="99"/>
    <w:unhideWhenUsed/>
    <w:rsid w:val="00C64FC7"/>
  </w:style>
  <w:style w:type="table" w:customStyle="1" w:styleId="MediumGrid1-Accent1252">
    <w:name w:val="Medium Grid 1 - Accent 12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52">
    <w:name w:val="Light Grid - Accent 112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52">
    <w:name w:val="Light Grid - Accent 52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52">
    <w:name w:val="Light Grid - Accent 122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52">
    <w:name w:val="Light List - Accent 52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52">
    <w:name w:val="Light List - Accent 112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52">
    <w:name w:val="Light Grid - Accent 132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52">
    <w:name w:val="Medium Grid 1 - Accent 32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52">
    <w:name w:val="Grid Table 4 Accent 315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62">
    <w:name w:val="No List362"/>
    <w:next w:val="NoList"/>
    <w:uiPriority w:val="99"/>
    <w:unhideWhenUsed/>
    <w:rsid w:val="00C64FC7"/>
  </w:style>
  <w:style w:type="table" w:customStyle="1" w:styleId="MediumGrid1-Accent1352">
    <w:name w:val="Medium Grid 1 - Accent 13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52">
    <w:name w:val="Light Grid - Accent 113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52">
    <w:name w:val="Light Grid - Accent 53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52">
    <w:name w:val="Light Grid - Accent 123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52">
    <w:name w:val="Light List - Accent 53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52">
    <w:name w:val="Light List - Accent 113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52">
    <w:name w:val="Light Grid - Accent 133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52">
    <w:name w:val="Medium Grid 1 - Accent 33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52">
    <w:name w:val="Grid Table 4 Accent 325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52">
    <w:name w:val="Table Grid15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2">
    <w:name w:val="No List432"/>
    <w:next w:val="NoList"/>
    <w:uiPriority w:val="99"/>
    <w:unhideWhenUsed/>
    <w:rsid w:val="00C64FC7"/>
  </w:style>
  <w:style w:type="table" w:customStyle="1" w:styleId="MediumGrid1-Accent1432">
    <w:name w:val="Medium Grid 1 - Accent 14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32">
    <w:name w:val="Light Grid - Accent 114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32">
    <w:name w:val="Light Grid - Accent 54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32">
    <w:name w:val="Light Grid - Accent 124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32">
    <w:name w:val="Light List - Accent 54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32">
    <w:name w:val="Light List - Accent 114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32">
    <w:name w:val="Light Grid - Accent 134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32">
    <w:name w:val="Medium Grid 1 - Accent 34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32">
    <w:name w:val="Table Grid213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32">
    <w:name w:val="Medium Grid 3 - Accent 113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32">
    <w:name w:val="No List1132"/>
    <w:next w:val="NoList"/>
    <w:uiPriority w:val="99"/>
    <w:unhideWhenUsed/>
    <w:rsid w:val="00C64FC7"/>
  </w:style>
  <w:style w:type="table" w:customStyle="1" w:styleId="MediumGrid1-Accent11132">
    <w:name w:val="Medium Grid 1 - Accent 111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32">
    <w:name w:val="Light Grid - Accent 111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2">
    <w:name w:val="Light Grid - Accent 5113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32">
    <w:name w:val="Light Grid - Accent 121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32">
    <w:name w:val="Light List - Accent 5113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2">
    <w:name w:val="Light List - Accent 1111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32">
    <w:name w:val="Light Grid - Accent 131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32">
    <w:name w:val="Medium Grid 1 - Accent 311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32">
    <w:name w:val="Grid Table 4 - Accent 3113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32">
    <w:name w:val="No List2132"/>
    <w:next w:val="NoList"/>
    <w:uiPriority w:val="99"/>
    <w:unhideWhenUsed/>
    <w:rsid w:val="00C64FC7"/>
  </w:style>
  <w:style w:type="table" w:customStyle="1" w:styleId="MediumGrid1-Accent12132">
    <w:name w:val="Medium Grid 1 - Accent 121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32">
    <w:name w:val="Light Grid - Accent 1121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32">
    <w:name w:val="Light Grid - Accent 521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32">
    <w:name w:val="Light Grid - Accent 122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32">
    <w:name w:val="Light List - Accent 521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32">
    <w:name w:val="Light List - Accent 1121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32">
    <w:name w:val="Light Grid - Accent 132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32">
    <w:name w:val="Medium Grid 1 - Accent 321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32">
    <w:name w:val="Grid Table 4 Accent 3113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32">
    <w:name w:val="No List3132"/>
    <w:next w:val="NoList"/>
    <w:uiPriority w:val="99"/>
    <w:unhideWhenUsed/>
    <w:rsid w:val="00C64FC7"/>
  </w:style>
  <w:style w:type="table" w:customStyle="1" w:styleId="MediumGrid1-Accent13132">
    <w:name w:val="Medium Grid 1 - Accent 131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32">
    <w:name w:val="Light Grid - Accent 1131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32">
    <w:name w:val="Light Grid - Accent 531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32">
    <w:name w:val="Light Grid - Accent 123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32">
    <w:name w:val="Light List - Accent 531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32">
    <w:name w:val="Light List - Accent 1131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32">
    <w:name w:val="Light Grid - Accent 1331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32">
    <w:name w:val="Medium Grid 1 - Accent 331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32">
    <w:name w:val="Grid Table 4 Accent 3213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32">
    <w:name w:val="Table Grid113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2">
    <w:name w:val="No List532"/>
    <w:next w:val="NoList"/>
    <w:uiPriority w:val="99"/>
    <w:unhideWhenUsed/>
    <w:rsid w:val="00C64FC7"/>
  </w:style>
  <w:style w:type="table" w:customStyle="1" w:styleId="MediumGrid1-Accent1532">
    <w:name w:val="Medium Grid 1 - Accent 15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32">
    <w:name w:val="Light Grid - Accent 115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32">
    <w:name w:val="Light Grid - Accent 55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32">
    <w:name w:val="Light Grid - Accent 125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32">
    <w:name w:val="Light List - Accent 55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32">
    <w:name w:val="Light List - Accent 115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32">
    <w:name w:val="Light Grid - Accent 135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32">
    <w:name w:val="Medium Grid 1 - Accent 35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32">
    <w:name w:val="No List1232"/>
    <w:next w:val="NoList"/>
    <w:uiPriority w:val="99"/>
    <w:unhideWhenUsed/>
    <w:rsid w:val="00C64FC7"/>
  </w:style>
  <w:style w:type="numbering" w:customStyle="1" w:styleId="NoList2232">
    <w:name w:val="No List2232"/>
    <w:next w:val="NoList"/>
    <w:uiPriority w:val="99"/>
    <w:unhideWhenUsed/>
    <w:rsid w:val="00C64FC7"/>
  </w:style>
  <w:style w:type="numbering" w:customStyle="1" w:styleId="NoList3232">
    <w:name w:val="No List3232"/>
    <w:next w:val="NoList"/>
    <w:uiPriority w:val="99"/>
    <w:unhideWhenUsed/>
    <w:rsid w:val="00C64FC7"/>
  </w:style>
  <w:style w:type="numbering" w:customStyle="1" w:styleId="NoList632">
    <w:name w:val="No List632"/>
    <w:next w:val="NoList"/>
    <w:uiPriority w:val="99"/>
    <w:unhideWhenUsed/>
    <w:rsid w:val="00C64FC7"/>
  </w:style>
  <w:style w:type="table" w:customStyle="1" w:styleId="MediumGrid1-Accent1632">
    <w:name w:val="Medium Grid 1 - Accent 163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32">
    <w:name w:val="Light Grid - Accent 1163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32">
    <w:name w:val="Light Grid - Accent 563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32">
    <w:name w:val="Light Grid - Accent 126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32">
    <w:name w:val="Light List - Accent 563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32">
    <w:name w:val="Light List - Accent 1163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32">
    <w:name w:val="Light Grid - Accent 1363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32">
    <w:name w:val="Medium Grid 1 - Accent 363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32">
    <w:name w:val="No List1332"/>
    <w:next w:val="NoList"/>
    <w:uiPriority w:val="99"/>
    <w:unhideWhenUsed/>
    <w:rsid w:val="00C64FC7"/>
  </w:style>
  <w:style w:type="numbering" w:customStyle="1" w:styleId="NoList2332">
    <w:name w:val="No List2332"/>
    <w:next w:val="NoList"/>
    <w:uiPriority w:val="99"/>
    <w:unhideWhenUsed/>
    <w:rsid w:val="00C64FC7"/>
  </w:style>
  <w:style w:type="numbering" w:customStyle="1" w:styleId="NoList3332">
    <w:name w:val="No List3332"/>
    <w:next w:val="NoList"/>
    <w:uiPriority w:val="99"/>
    <w:unhideWhenUsed/>
    <w:rsid w:val="00C64FC7"/>
  </w:style>
  <w:style w:type="numbering" w:customStyle="1" w:styleId="NoList102">
    <w:name w:val="No List102"/>
    <w:next w:val="NoList"/>
    <w:uiPriority w:val="99"/>
    <w:unhideWhenUsed/>
    <w:rsid w:val="00C64FC7"/>
  </w:style>
  <w:style w:type="table" w:customStyle="1" w:styleId="TableGrid82">
    <w:name w:val="Table Grid8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62">
    <w:name w:val="Medium Grid 3 - Accent 16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02">
    <w:name w:val="Medium Grid 1 - Accent 110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2">
    <w:name w:val="Light Grid - Accent 1110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02">
    <w:name w:val="Light Grid - Accent 510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02">
    <w:name w:val="Light Grid - Accent 1210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02">
    <w:name w:val="Light List - Accent 510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02">
    <w:name w:val="Light List - Accent 1110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02">
    <w:name w:val="Light Grid - Accent 1310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02">
    <w:name w:val="Medium Grid 1 - Accent 310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72">
    <w:name w:val="No List172"/>
    <w:next w:val="NoList"/>
    <w:uiPriority w:val="99"/>
    <w:unhideWhenUsed/>
    <w:rsid w:val="00C64FC7"/>
  </w:style>
  <w:style w:type="table" w:customStyle="1" w:styleId="MediumGrid1-Accent1162">
    <w:name w:val="Medium Grid 1 - Accent 11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62">
    <w:name w:val="Light Grid - Accent 11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2">
    <w:name w:val="Light Grid - Accent 516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62">
    <w:name w:val="Light Grid - Accent 12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62">
    <w:name w:val="Light List - Accent 516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62">
    <w:name w:val="Light List - Accent 111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62">
    <w:name w:val="Light Grid - Accent 13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62">
    <w:name w:val="Medium Grid 1 - Accent 31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62">
    <w:name w:val="Grid Table 4 - Accent 316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72">
    <w:name w:val="No List272"/>
    <w:next w:val="NoList"/>
    <w:uiPriority w:val="99"/>
    <w:unhideWhenUsed/>
    <w:rsid w:val="00C64FC7"/>
  </w:style>
  <w:style w:type="table" w:customStyle="1" w:styleId="MediumGrid1-Accent1262">
    <w:name w:val="Medium Grid 1 - Accent 12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62">
    <w:name w:val="Light Grid - Accent 1126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62">
    <w:name w:val="Light Grid - Accent 526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62">
    <w:name w:val="Light Grid - Accent 122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62">
    <w:name w:val="Light List - Accent 526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62">
    <w:name w:val="Light List - Accent 112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62">
    <w:name w:val="Light Grid - Accent 132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62">
    <w:name w:val="Medium Grid 1 - Accent 32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62">
    <w:name w:val="Grid Table 4 Accent 316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72">
    <w:name w:val="No List372"/>
    <w:next w:val="NoList"/>
    <w:uiPriority w:val="99"/>
    <w:unhideWhenUsed/>
    <w:rsid w:val="00C64FC7"/>
  </w:style>
  <w:style w:type="table" w:customStyle="1" w:styleId="MediumGrid1-Accent1362">
    <w:name w:val="Medium Grid 1 - Accent 13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62">
    <w:name w:val="Light Grid - Accent 1136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62">
    <w:name w:val="Light Grid - Accent 536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62">
    <w:name w:val="Light Grid - Accent 123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62">
    <w:name w:val="Light List - Accent 536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62">
    <w:name w:val="Light List - Accent 113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62">
    <w:name w:val="Light Grid - Accent 133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62">
    <w:name w:val="Medium Grid 1 - Accent 33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62">
    <w:name w:val="Grid Table 4 Accent 326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62">
    <w:name w:val="Table Grid16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2">
    <w:name w:val="Table Grid25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2">
    <w:name w:val="No List442"/>
    <w:next w:val="NoList"/>
    <w:uiPriority w:val="99"/>
    <w:unhideWhenUsed/>
    <w:rsid w:val="00C64FC7"/>
  </w:style>
  <w:style w:type="table" w:customStyle="1" w:styleId="MediumGrid1-Accent1442">
    <w:name w:val="Medium Grid 1 - Accent 14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42">
    <w:name w:val="Light Grid - Accent 114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42">
    <w:name w:val="Light Grid - Accent 54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42">
    <w:name w:val="Light Grid - Accent 124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42">
    <w:name w:val="Light List - Accent 54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42">
    <w:name w:val="Light List - Accent 114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42">
    <w:name w:val="Light Grid - Accent 134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42">
    <w:name w:val="Medium Grid 1 - Accent 34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42">
    <w:name w:val="Table Grid214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42">
    <w:name w:val="Medium Grid 3 - Accent 114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42">
    <w:name w:val="No List1142"/>
    <w:next w:val="NoList"/>
    <w:uiPriority w:val="99"/>
    <w:unhideWhenUsed/>
    <w:rsid w:val="00C64FC7"/>
  </w:style>
  <w:style w:type="table" w:customStyle="1" w:styleId="MediumGrid1-Accent11142">
    <w:name w:val="Medium Grid 1 - Accent 111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42">
    <w:name w:val="Light Grid - Accent 111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42">
    <w:name w:val="Light Grid - Accent 5114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42">
    <w:name w:val="Light Grid - Accent 121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42">
    <w:name w:val="Light List - Accent 5114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42">
    <w:name w:val="Light List - Accent 1111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42">
    <w:name w:val="Light Grid - Accent 131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42">
    <w:name w:val="Medium Grid 1 - Accent 311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42">
    <w:name w:val="Grid Table 4 - Accent 3114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42">
    <w:name w:val="No List2142"/>
    <w:next w:val="NoList"/>
    <w:uiPriority w:val="99"/>
    <w:unhideWhenUsed/>
    <w:rsid w:val="00C64FC7"/>
  </w:style>
  <w:style w:type="table" w:customStyle="1" w:styleId="MediumGrid1-Accent12142">
    <w:name w:val="Medium Grid 1 - Accent 121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42">
    <w:name w:val="Light Grid - Accent 1121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42">
    <w:name w:val="Light Grid - Accent 521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42">
    <w:name w:val="Light Grid - Accent 122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42">
    <w:name w:val="Light List - Accent 521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42">
    <w:name w:val="Light List - Accent 1121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42">
    <w:name w:val="Light Grid - Accent 132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42">
    <w:name w:val="Medium Grid 1 - Accent 321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42">
    <w:name w:val="Grid Table 4 Accent 3114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42">
    <w:name w:val="No List3142"/>
    <w:next w:val="NoList"/>
    <w:uiPriority w:val="99"/>
    <w:unhideWhenUsed/>
    <w:rsid w:val="00C64FC7"/>
  </w:style>
  <w:style w:type="table" w:customStyle="1" w:styleId="MediumGrid1-Accent13142">
    <w:name w:val="Medium Grid 1 - Accent 131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42">
    <w:name w:val="Light Grid - Accent 1131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42">
    <w:name w:val="Light Grid - Accent 531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42">
    <w:name w:val="Light Grid - Accent 123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42">
    <w:name w:val="Light List - Accent 531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42">
    <w:name w:val="Light List - Accent 1131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42">
    <w:name w:val="Light Grid - Accent 1331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42">
    <w:name w:val="Medium Grid 1 - Accent 331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42">
    <w:name w:val="Grid Table 4 Accent 3214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42">
    <w:name w:val="Table Grid114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2">
    <w:name w:val="No List542"/>
    <w:next w:val="NoList"/>
    <w:uiPriority w:val="99"/>
    <w:unhideWhenUsed/>
    <w:rsid w:val="00C64FC7"/>
  </w:style>
  <w:style w:type="table" w:customStyle="1" w:styleId="MediumGrid1-Accent1542">
    <w:name w:val="Medium Grid 1 - Accent 15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42">
    <w:name w:val="Light Grid - Accent 115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42">
    <w:name w:val="Light Grid - Accent 55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42">
    <w:name w:val="Light Grid - Accent 125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42">
    <w:name w:val="Light List - Accent 55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42">
    <w:name w:val="Light List - Accent 115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42">
    <w:name w:val="Light Grid - Accent 135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42">
    <w:name w:val="Medium Grid 1 - Accent 35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42">
    <w:name w:val="No List1242"/>
    <w:next w:val="NoList"/>
    <w:uiPriority w:val="99"/>
    <w:unhideWhenUsed/>
    <w:rsid w:val="00C64FC7"/>
  </w:style>
  <w:style w:type="numbering" w:customStyle="1" w:styleId="NoList2242">
    <w:name w:val="No List2242"/>
    <w:next w:val="NoList"/>
    <w:uiPriority w:val="99"/>
    <w:unhideWhenUsed/>
    <w:rsid w:val="00C64FC7"/>
  </w:style>
  <w:style w:type="numbering" w:customStyle="1" w:styleId="NoList3242">
    <w:name w:val="No List3242"/>
    <w:next w:val="NoList"/>
    <w:uiPriority w:val="99"/>
    <w:unhideWhenUsed/>
    <w:rsid w:val="00C64FC7"/>
  </w:style>
  <w:style w:type="numbering" w:customStyle="1" w:styleId="NoList642">
    <w:name w:val="No List642"/>
    <w:next w:val="NoList"/>
    <w:uiPriority w:val="99"/>
    <w:unhideWhenUsed/>
    <w:rsid w:val="00C64FC7"/>
  </w:style>
  <w:style w:type="table" w:customStyle="1" w:styleId="MediumGrid1-Accent1642">
    <w:name w:val="Medium Grid 1 - Accent 164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42">
    <w:name w:val="Light Grid - Accent 1164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42">
    <w:name w:val="Light Grid - Accent 564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42">
    <w:name w:val="Light Grid - Accent 126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42">
    <w:name w:val="Light List - Accent 564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42">
    <w:name w:val="Light List - Accent 1164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42">
    <w:name w:val="Light Grid - Accent 1364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42">
    <w:name w:val="Medium Grid 1 - Accent 364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42">
    <w:name w:val="No List1342"/>
    <w:next w:val="NoList"/>
    <w:uiPriority w:val="99"/>
    <w:unhideWhenUsed/>
    <w:rsid w:val="00C64FC7"/>
  </w:style>
  <w:style w:type="numbering" w:customStyle="1" w:styleId="NoList2342">
    <w:name w:val="No List2342"/>
    <w:next w:val="NoList"/>
    <w:uiPriority w:val="99"/>
    <w:unhideWhenUsed/>
    <w:rsid w:val="00C64FC7"/>
  </w:style>
  <w:style w:type="numbering" w:customStyle="1" w:styleId="NoList3342">
    <w:name w:val="No List3342"/>
    <w:next w:val="NoList"/>
    <w:uiPriority w:val="99"/>
    <w:unhideWhenUsed/>
    <w:rsid w:val="00C64FC7"/>
  </w:style>
  <w:style w:type="numbering" w:customStyle="1" w:styleId="NoList182">
    <w:name w:val="No List182"/>
    <w:next w:val="NoList"/>
    <w:uiPriority w:val="99"/>
    <w:unhideWhenUsed/>
    <w:rsid w:val="00C64FC7"/>
  </w:style>
  <w:style w:type="table" w:customStyle="1" w:styleId="TableGrid92">
    <w:name w:val="Table Grid9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72">
    <w:name w:val="Medium Grid 3 - Accent 17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72">
    <w:name w:val="Medium Grid 1 - Accent 117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72">
    <w:name w:val="Light Grid - Accent 1117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72">
    <w:name w:val="Light Grid - Accent 517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72">
    <w:name w:val="Light Grid - Accent 1217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72">
    <w:name w:val="Light List - Accent 517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72">
    <w:name w:val="Light List - Accent 1117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72">
    <w:name w:val="Light Grid - Accent 1317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72">
    <w:name w:val="Medium Grid 1 - Accent 317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92">
    <w:name w:val="No List192"/>
    <w:next w:val="NoList"/>
    <w:uiPriority w:val="99"/>
    <w:unhideWhenUsed/>
    <w:rsid w:val="00C64FC7"/>
  </w:style>
  <w:style w:type="table" w:customStyle="1" w:styleId="MediumGrid1-Accent1182">
    <w:name w:val="Medium Grid 1 - Accent 118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82">
    <w:name w:val="Light Grid - Accent 111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82">
    <w:name w:val="Light Grid - Accent 518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82">
    <w:name w:val="Light Grid - Accent 121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82">
    <w:name w:val="Light List - Accent 518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82">
    <w:name w:val="Light List - Accent 1118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82">
    <w:name w:val="Light Grid - Accent 131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82">
    <w:name w:val="Medium Grid 1 - Accent 318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72">
    <w:name w:val="Grid Table 4 - Accent 317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82">
    <w:name w:val="No List282"/>
    <w:next w:val="NoList"/>
    <w:uiPriority w:val="99"/>
    <w:unhideWhenUsed/>
    <w:rsid w:val="00C64FC7"/>
  </w:style>
  <w:style w:type="table" w:customStyle="1" w:styleId="MediumGrid1-Accent1272">
    <w:name w:val="Medium Grid 1 - Accent 127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72">
    <w:name w:val="Light Grid - Accent 1127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72">
    <w:name w:val="Light Grid - Accent 527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72">
    <w:name w:val="Light Grid - Accent 1227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72">
    <w:name w:val="Light List - Accent 527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72">
    <w:name w:val="Light List - Accent 1127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72">
    <w:name w:val="Light Grid - Accent 1327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72">
    <w:name w:val="Medium Grid 1 - Accent 327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72">
    <w:name w:val="Grid Table 4 Accent 317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82">
    <w:name w:val="No List382"/>
    <w:next w:val="NoList"/>
    <w:uiPriority w:val="99"/>
    <w:unhideWhenUsed/>
    <w:rsid w:val="00C64FC7"/>
  </w:style>
  <w:style w:type="table" w:customStyle="1" w:styleId="MediumGrid1-Accent1372">
    <w:name w:val="Medium Grid 1 - Accent 137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72">
    <w:name w:val="Light Grid - Accent 1137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72">
    <w:name w:val="Light Grid - Accent 537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72">
    <w:name w:val="Light Grid - Accent 1237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72">
    <w:name w:val="Light List - Accent 537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72">
    <w:name w:val="Light List - Accent 1137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72">
    <w:name w:val="Light Grid - Accent 1337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72">
    <w:name w:val="Medium Grid 1 - Accent 337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72">
    <w:name w:val="Grid Table 4 Accent 327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72">
    <w:name w:val="Table Grid17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2">
    <w:name w:val="Table Grid26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2">
    <w:name w:val="No List452"/>
    <w:next w:val="NoList"/>
    <w:uiPriority w:val="99"/>
    <w:unhideWhenUsed/>
    <w:rsid w:val="00C64FC7"/>
  </w:style>
  <w:style w:type="table" w:customStyle="1" w:styleId="MediumGrid1-Accent1452">
    <w:name w:val="Medium Grid 1 - Accent 14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52">
    <w:name w:val="Light Grid - Accent 114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52">
    <w:name w:val="Light Grid - Accent 54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52">
    <w:name w:val="Light Grid - Accent 124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52">
    <w:name w:val="Light List - Accent 54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52">
    <w:name w:val="Light List - Accent 114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52">
    <w:name w:val="Light Grid - Accent 134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52">
    <w:name w:val="Medium Grid 1 - Accent 34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52">
    <w:name w:val="Table Grid215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52">
    <w:name w:val="Medium Grid 3 - Accent 115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52">
    <w:name w:val="No List1152"/>
    <w:next w:val="NoList"/>
    <w:uiPriority w:val="99"/>
    <w:unhideWhenUsed/>
    <w:rsid w:val="00C64FC7"/>
  </w:style>
  <w:style w:type="table" w:customStyle="1" w:styleId="MediumGrid1-Accent11152">
    <w:name w:val="Medium Grid 1 - Accent 111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52">
    <w:name w:val="Light Grid - Accent 111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52">
    <w:name w:val="Light Grid - Accent 5115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52">
    <w:name w:val="Light Grid - Accent 121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52">
    <w:name w:val="Light List - Accent 5115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52">
    <w:name w:val="Light List - Accent 1111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52">
    <w:name w:val="Light Grid - Accent 131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52">
    <w:name w:val="Medium Grid 1 - Accent 311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52">
    <w:name w:val="Grid Table 4 - Accent 3115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52">
    <w:name w:val="No List2152"/>
    <w:next w:val="NoList"/>
    <w:uiPriority w:val="99"/>
    <w:unhideWhenUsed/>
    <w:rsid w:val="00C64FC7"/>
  </w:style>
  <w:style w:type="table" w:customStyle="1" w:styleId="MediumGrid1-Accent12152">
    <w:name w:val="Medium Grid 1 - Accent 121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52">
    <w:name w:val="Light Grid - Accent 1121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52">
    <w:name w:val="Light Grid - Accent 521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52">
    <w:name w:val="Light Grid - Accent 122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52">
    <w:name w:val="Light List - Accent 521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52">
    <w:name w:val="Light List - Accent 1121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52">
    <w:name w:val="Light Grid - Accent 132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52">
    <w:name w:val="Medium Grid 1 - Accent 321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52">
    <w:name w:val="Grid Table 4 Accent 3115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52">
    <w:name w:val="No List3152"/>
    <w:next w:val="NoList"/>
    <w:uiPriority w:val="99"/>
    <w:unhideWhenUsed/>
    <w:rsid w:val="00C64FC7"/>
  </w:style>
  <w:style w:type="table" w:customStyle="1" w:styleId="MediumGrid1-Accent13152">
    <w:name w:val="Medium Grid 1 - Accent 131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52">
    <w:name w:val="Light Grid - Accent 1131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52">
    <w:name w:val="Light Grid - Accent 531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52">
    <w:name w:val="Light Grid - Accent 123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52">
    <w:name w:val="Light List - Accent 531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52">
    <w:name w:val="Light List - Accent 1131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52">
    <w:name w:val="Light Grid - Accent 1331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52">
    <w:name w:val="Medium Grid 1 - Accent 331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52">
    <w:name w:val="Grid Table 4 Accent 3215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52">
    <w:name w:val="Table Grid115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2">
    <w:name w:val="No List552"/>
    <w:next w:val="NoList"/>
    <w:uiPriority w:val="99"/>
    <w:unhideWhenUsed/>
    <w:rsid w:val="00C64FC7"/>
  </w:style>
  <w:style w:type="table" w:customStyle="1" w:styleId="MediumGrid1-Accent1552">
    <w:name w:val="Medium Grid 1 - Accent 15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52">
    <w:name w:val="Light Grid - Accent 115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52">
    <w:name w:val="Light Grid - Accent 55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52">
    <w:name w:val="Light Grid - Accent 125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52">
    <w:name w:val="Light List - Accent 55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52">
    <w:name w:val="Light List - Accent 115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52">
    <w:name w:val="Light Grid - Accent 135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52">
    <w:name w:val="Medium Grid 1 - Accent 35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52">
    <w:name w:val="No List1252"/>
    <w:next w:val="NoList"/>
    <w:uiPriority w:val="99"/>
    <w:unhideWhenUsed/>
    <w:rsid w:val="00C64FC7"/>
  </w:style>
  <w:style w:type="numbering" w:customStyle="1" w:styleId="NoList2252">
    <w:name w:val="No List2252"/>
    <w:next w:val="NoList"/>
    <w:uiPriority w:val="99"/>
    <w:unhideWhenUsed/>
    <w:rsid w:val="00C64FC7"/>
  </w:style>
  <w:style w:type="numbering" w:customStyle="1" w:styleId="NoList3252">
    <w:name w:val="No List3252"/>
    <w:next w:val="NoList"/>
    <w:uiPriority w:val="99"/>
    <w:unhideWhenUsed/>
    <w:rsid w:val="00C64FC7"/>
  </w:style>
  <w:style w:type="numbering" w:customStyle="1" w:styleId="NoList652">
    <w:name w:val="No List652"/>
    <w:next w:val="NoList"/>
    <w:uiPriority w:val="99"/>
    <w:unhideWhenUsed/>
    <w:rsid w:val="00C64FC7"/>
  </w:style>
  <w:style w:type="table" w:customStyle="1" w:styleId="MediumGrid1-Accent1652">
    <w:name w:val="Medium Grid 1 - Accent 165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52">
    <w:name w:val="Light Grid - Accent 1165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52">
    <w:name w:val="Light Grid - Accent 565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52">
    <w:name w:val="Light Grid - Accent 126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52">
    <w:name w:val="Light List - Accent 565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52">
    <w:name w:val="Light List - Accent 1165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52">
    <w:name w:val="Light Grid - Accent 1365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52">
    <w:name w:val="Medium Grid 1 - Accent 365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52">
    <w:name w:val="No List1352"/>
    <w:next w:val="NoList"/>
    <w:uiPriority w:val="99"/>
    <w:unhideWhenUsed/>
    <w:rsid w:val="00C64FC7"/>
  </w:style>
  <w:style w:type="numbering" w:customStyle="1" w:styleId="NoList2352">
    <w:name w:val="No List2352"/>
    <w:next w:val="NoList"/>
    <w:uiPriority w:val="99"/>
    <w:unhideWhenUsed/>
    <w:rsid w:val="00C64FC7"/>
  </w:style>
  <w:style w:type="numbering" w:customStyle="1" w:styleId="NoList3352">
    <w:name w:val="No List3352"/>
    <w:next w:val="NoList"/>
    <w:uiPriority w:val="99"/>
    <w:unhideWhenUsed/>
    <w:rsid w:val="00C64FC7"/>
  </w:style>
  <w:style w:type="numbering" w:customStyle="1" w:styleId="NoList201">
    <w:name w:val="No List201"/>
    <w:next w:val="NoList"/>
    <w:uiPriority w:val="99"/>
    <w:unhideWhenUsed/>
    <w:rsid w:val="00C64FC7"/>
  </w:style>
  <w:style w:type="table" w:customStyle="1" w:styleId="TableGrid101">
    <w:name w:val="Table Grid10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81">
    <w:name w:val="Medium Grid 3 - Accent 18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91">
    <w:name w:val="Medium Grid 1 - Accent 119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91">
    <w:name w:val="Light Grid - Accent 1119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91">
    <w:name w:val="Light Grid - Accent 519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91">
    <w:name w:val="Light Grid - Accent 1219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91">
    <w:name w:val="Light List - Accent 5191"/>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91">
    <w:name w:val="Light List - Accent 1119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91">
    <w:name w:val="Light Grid - Accent 1319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91">
    <w:name w:val="Medium Grid 1 - Accent 319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101">
    <w:name w:val="No List1101"/>
    <w:next w:val="NoList"/>
    <w:uiPriority w:val="99"/>
    <w:unhideWhenUsed/>
    <w:rsid w:val="00C64FC7"/>
  </w:style>
  <w:style w:type="table" w:customStyle="1" w:styleId="MediumGrid1-Accent11101">
    <w:name w:val="Medium Grid 1 - Accent 1110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01">
    <w:name w:val="Light Grid - Accent 11110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01">
    <w:name w:val="Light Grid - Accent 5110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01">
    <w:name w:val="Light Grid - Accent 12110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01">
    <w:name w:val="Light List - Accent 5110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01">
    <w:name w:val="Light List - Accent 11110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01">
    <w:name w:val="Light Grid - Accent 13110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01">
    <w:name w:val="Medium Grid 1 - Accent 3110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81">
    <w:name w:val="Grid Table 4 - Accent 318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91">
    <w:name w:val="No List291"/>
    <w:next w:val="NoList"/>
    <w:uiPriority w:val="99"/>
    <w:unhideWhenUsed/>
    <w:rsid w:val="00C64FC7"/>
  </w:style>
  <w:style w:type="table" w:customStyle="1" w:styleId="MediumGrid1-Accent1281">
    <w:name w:val="Medium Grid 1 - Accent 128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81">
    <w:name w:val="Light Grid - Accent 1128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81">
    <w:name w:val="Light Grid - Accent 528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81">
    <w:name w:val="Light Grid - Accent 1228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81">
    <w:name w:val="Light List - Accent 528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81">
    <w:name w:val="Light List - Accent 1128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81">
    <w:name w:val="Light Grid - Accent 1328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81">
    <w:name w:val="Medium Grid 1 - Accent 328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81">
    <w:name w:val="Grid Table 4 Accent 318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91">
    <w:name w:val="No List391"/>
    <w:next w:val="NoList"/>
    <w:uiPriority w:val="99"/>
    <w:unhideWhenUsed/>
    <w:rsid w:val="00C64FC7"/>
  </w:style>
  <w:style w:type="table" w:customStyle="1" w:styleId="MediumGrid1-Accent1381">
    <w:name w:val="Medium Grid 1 - Accent 138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81">
    <w:name w:val="Light Grid - Accent 1138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81">
    <w:name w:val="Light Grid - Accent 538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81">
    <w:name w:val="Light Grid - Accent 1238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81">
    <w:name w:val="Light List - Accent 538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81">
    <w:name w:val="Light List - Accent 1138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81">
    <w:name w:val="Light Grid - Accent 1338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81">
    <w:name w:val="Medium Grid 1 - Accent 338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81">
    <w:name w:val="Grid Table 4 Accent 328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81">
    <w:name w:val="Table Grid18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1">
    <w:name w:val="Table Grid271"/>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61">
    <w:name w:val="No List461"/>
    <w:next w:val="NoList"/>
    <w:uiPriority w:val="99"/>
    <w:unhideWhenUsed/>
    <w:rsid w:val="00C64FC7"/>
  </w:style>
  <w:style w:type="table" w:customStyle="1" w:styleId="MediumGrid1-Accent1461">
    <w:name w:val="Medium Grid 1 - Accent 146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61">
    <w:name w:val="Light Grid - Accent 1146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61">
    <w:name w:val="Light Grid - Accent 546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61">
    <w:name w:val="Light Grid - Accent 124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61">
    <w:name w:val="Light List - Accent 546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61">
    <w:name w:val="Light List - Accent 1146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61">
    <w:name w:val="Light Grid - Accent 134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61">
    <w:name w:val="Medium Grid 1 - Accent 346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311">
    <w:name w:val="Table Grid3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61">
    <w:name w:val="Medium Grid 3 - Accent 116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61">
    <w:name w:val="No List1161"/>
    <w:next w:val="NoList"/>
    <w:uiPriority w:val="99"/>
    <w:unhideWhenUsed/>
    <w:rsid w:val="00C64FC7"/>
  </w:style>
  <w:style w:type="table" w:customStyle="1" w:styleId="MediumGrid1-Accent11161">
    <w:name w:val="Medium Grid 1 - Accent 1116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61">
    <w:name w:val="Light Grid - Accent 111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61">
    <w:name w:val="Light Grid - Accent 5116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61">
    <w:name w:val="Light Grid - Accent 121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61">
    <w:name w:val="Light List - Accent 5116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61">
    <w:name w:val="Light List - Accent 11116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61">
    <w:name w:val="Light Grid - Accent 131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61">
    <w:name w:val="Medium Grid 1 - Accent 3116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61">
    <w:name w:val="Grid Table 4 - Accent 3116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61">
    <w:name w:val="No List2161"/>
    <w:next w:val="NoList"/>
    <w:uiPriority w:val="99"/>
    <w:unhideWhenUsed/>
    <w:rsid w:val="00C64FC7"/>
  </w:style>
  <w:style w:type="table" w:customStyle="1" w:styleId="MediumGrid1-Accent12161">
    <w:name w:val="Medium Grid 1 - Accent 1216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61">
    <w:name w:val="Light Grid - Accent 11216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61">
    <w:name w:val="Light Grid - Accent 5216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61">
    <w:name w:val="Light Grid - Accent 122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61">
    <w:name w:val="Light List - Accent 5216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61">
    <w:name w:val="Light List - Accent 11216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61">
    <w:name w:val="Light Grid - Accent 132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61">
    <w:name w:val="Medium Grid 1 - Accent 3216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61">
    <w:name w:val="Grid Table 4 Accent 3116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61">
    <w:name w:val="No List3161"/>
    <w:next w:val="NoList"/>
    <w:uiPriority w:val="99"/>
    <w:unhideWhenUsed/>
    <w:rsid w:val="00C64FC7"/>
  </w:style>
  <w:style w:type="table" w:customStyle="1" w:styleId="MediumGrid1-Accent13161">
    <w:name w:val="Medium Grid 1 - Accent 1316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61">
    <w:name w:val="Light Grid - Accent 11316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61">
    <w:name w:val="Light Grid - Accent 5316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61">
    <w:name w:val="Light Grid - Accent 123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61">
    <w:name w:val="Light List - Accent 5316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61">
    <w:name w:val="Light List - Accent 11316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61">
    <w:name w:val="Light Grid - Accent 1331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61">
    <w:name w:val="Medium Grid 1 - Accent 3316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61">
    <w:name w:val="Grid Table 4 Accent 3216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61">
    <w:name w:val="Table Grid116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61">
    <w:name w:val="No List561"/>
    <w:next w:val="NoList"/>
    <w:uiPriority w:val="99"/>
    <w:unhideWhenUsed/>
    <w:rsid w:val="00C64FC7"/>
  </w:style>
  <w:style w:type="table" w:customStyle="1" w:styleId="TableGrid411">
    <w:name w:val="Table Grid411"/>
    <w:basedOn w:val="TableNormal"/>
    <w:next w:val="TableGrid"/>
    <w:uiPriority w:val="5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211">
    <w:name w:val="Medium Grid 3 - Accent 12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561">
    <w:name w:val="Medium Grid 1 - Accent 156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61">
    <w:name w:val="Light Grid - Accent 1156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561">
    <w:name w:val="Light Grid - Accent 556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561">
    <w:name w:val="Light Grid - Accent 1256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561">
    <w:name w:val="Light List - Accent 5561"/>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61">
    <w:name w:val="Light List - Accent 1156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561">
    <w:name w:val="Light Grid - Accent 135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561">
    <w:name w:val="Medium Grid 1 - Accent 356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61">
    <w:name w:val="No List1261"/>
    <w:next w:val="NoList"/>
    <w:uiPriority w:val="99"/>
    <w:unhideWhenUsed/>
    <w:rsid w:val="00C64FC7"/>
  </w:style>
  <w:style w:type="table" w:customStyle="1" w:styleId="MediumGrid1-Accent11211">
    <w:name w:val="Medium Grid 1 - Accent 11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211">
    <w:name w:val="Light Grid - Accent 11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11">
    <w:name w:val="Light Grid - Accent 512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211">
    <w:name w:val="Light Grid - Accent 12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211">
    <w:name w:val="Light List - Accent 512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1">
    <w:name w:val="Light List - Accent 111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211">
    <w:name w:val="Light Grid - Accent 13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211">
    <w:name w:val="Medium Grid 1 - Accent 31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211">
    <w:name w:val="Grid Table 4 - Accent 312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261">
    <w:name w:val="No List2261"/>
    <w:next w:val="NoList"/>
    <w:uiPriority w:val="99"/>
    <w:unhideWhenUsed/>
    <w:rsid w:val="00C64FC7"/>
  </w:style>
  <w:style w:type="table" w:customStyle="1" w:styleId="MediumGrid1-Accent12211">
    <w:name w:val="Medium Grid 1 - Accent 12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211">
    <w:name w:val="Light Grid - Accent 112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211">
    <w:name w:val="Light Grid - Accent 52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211">
    <w:name w:val="Light Grid - Accent 122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211">
    <w:name w:val="Light List - Accent 52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211">
    <w:name w:val="Light List - Accent 112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211">
    <w:name w:val="Light Grid - Accent 132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211">
    <w:name w:val="Medium Grid 1 - Accent 32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211">
    <w:name w:val="Grid Table 4 Accent 312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261">
    <w:name w:val="No List3261"/>
    <w:next w:val="NoList"/>
    <w:uiPriority w:val="99"/>
    <w:unhideWhenUsed/>
    <w:rsid w:val="00C64FC7"/>
  </w:style>
  <w:style w:type="table" w:customStyle="1" w:styleId="MediumGrid1-Accent13211">
    <w:name w:val="Medium Grid 1 - Accent 13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211">
    <w:name w:val="Light Grid - Accent 113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211">
    <w:name w:val="Light Grid - Accent 53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211">
    <w:name w:val="Light Grid - Accent 123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211">
    <w:name w:val="Light List - Accent 53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211">
    <w:name w:val="Light List - Accent 113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211">
    <w:name w:val="Light Grid - Accent 133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211">
    <w:name w:val="Medium Grid 1 - Accent 33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211">
    <w:name w:val="Grid Table 4 Accent 322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11">
    <w:name w:val="Table Grid12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61">
    <w:name w:val="Table Grid2161"/>
    <w:basedOn w:val="TableNormal"/>
    <w:next w:val="TableGrid"/>
    <w:uiPriority w:val="3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61">
    <w:name w:val="No List661"/>
    <w:next w:val="NoList"/>
    <w:uiPriority w:val="99"/>
    <w:unhideWhenUsed/>
    <w:rsid w:val="00C64FC7"/>
  </w:style>
  <w:style w:type="table" w:customStyle="1" w:styleId="MediumGrid1-Accent1661">
    <w:name w:val="Medium Grid 1 - Accent 166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61">
    <w:name w:val="Light Grid - Accent 1166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61">
    <w:name w:val="Light Grid - Accent 566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61">
    <w:name w:val="Light Grid - Accent 126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61">
    <w:name w:val="Light List - Accent 566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61">
    <w:name w:val="Light List - Accent 1166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61">
    <w:name w:val="Light Grid - Accent 1366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61">
    <w:name w:val="Medium Grid 1 - Accent 366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61">
    <w:name w:val="No List1361"/>
    <w:next w:val="NoList"/>
    <w:uiPriority w:val="99"/>
    <w:unhideWhenUsed/>
    <w:rsid w:val="00C64FC7"/>
  </w:style>
  <w:style w:type="numbering" w:customStyle="1" w:styleId="NoList2361">
    <w:name w:val="No List2361"/>
    <w:next w:val="NoList"/>
    <w:uiPriority w:val="99"/>
    <w:unhideWhenUsed/>
    <w:rsid w:val="00C64FC7"/>
  </w:style>
  <w:style w:type="numbering" w:customStyle="1" w:styleId="NoList3361">
    <w:name w:val="No List3361"/>
    <w:next w:val="NoList"/>
    <w:uiPriority w:val="99"/>
    <w:unhideWhenUsed/>
    <w:rsid w:val="00C64FC7"/>
  </w:style>
  <w:style w:type="numbering" w:customStyle="1" w:styleId="NoList711">
    <w:name w:val="No List711"/>
    <w:next w:val="NoList"/>
    <w:uiPriority w:val="99"/>
    <w:unhideWhenUsed/>
    <w:rsid w:val="00C64FC7"/>
  </w:style>
  <w:style w:type="table" w:customStyle="1" w:styleId="TableGrid511">
    <w:name w:val="Table Grid5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311">
    <w:name w:val="Medium Grid 3 - Accent 13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711">
    <w:name w:val="Medium Grid 1 - Accent 171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11">
    <w:name w:val="Light Grid - Accent 1171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711">
    <w:name w:val="Light Grid - Accent 571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711">
    <w:name w:val="Light Grid - Accent 1271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711">
    <w:name w:val="Light List - Accent 5711"/>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711">
    <w:name w:val="Light List - Accent 1171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711">
    <w:name w:val="Light Grid - Accent 137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711">
    <w:name w:val="Medium Grid 1 - Accent 37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411">
    <w:name w:val="No List1411"/>
    <w:next w:val="NoList"/>
    <w:uiPriority w:val="99"/>
    <w:unhideWhenUsed/>
    <w:rsid w:val="00C64FC7"/>
  </w:style>
  <w:style w:type="table" w:customStyle="1" w:styleId="MediumGrid1-Accent11311">
    <w:name w:val="Medium Grid 1 - Accent 11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11">
    <w:name w:val="Light Grid - Accent 11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11">
    <w:name w:val="Light Grid - Accent 513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311">
    <w:name w:val="Light Grid - Accent 12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311">
    <w:name w:val="Light List - Accent 513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11">
    <w:name w:val="Light List - Accent 111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311">
    <w:name w:val="Light Grid - Accent 13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311">
    <w:name w:val="Medium Grid 1 - Accent 31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311">
    <w:name w:val="Grid Table 4 - Accent 313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411">
    <w:name w:val="No List2411"/>
    <w:next w:val="NoList"/>
    <w:uiPriority w:val="99"/>
    <w:unhideWhenUsed/>
    <w:rsid w:val="00C64FC7"/>
  </w:style>
  <w:style w:type="table" w:customStyle="1" w:styleId="MediumGrid1-Accent12311">
    <w:name w:val="Medium Grid 1 - Accent 12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311">
    <w:name w:val="Light Grid - Accent 112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311">
    <w:name w:val="Light Grid - Accent 52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311">
    <w:name w:val="Light Grid - Accent 122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311">
    <w:name w:val="Light List - Accent 52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311">
    <w:name w:val="Light List - Accent 112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311">
    <w:name w:val="Light Grid - Accent 132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311">
    <w:name w:val="Medium Grid 1 - Accent 32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311">
    <w:name w:val="Grid Table 4 Accent 313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411">
    <w:name w:val="No List3411"/>
    <w:next w:val="NoList"/>
    <w:uiPriority w:val="99"/>
    <w:unhideWhenUsed/>
    <w:rsid w:val="00C64FC7"/>
  </w:style>
  <w:style w:type="table" w:customStyle="1" w:styleId="MediumGrid1-Accent13311">
    <w:name w:val="Medium Grid 1 - Accent 13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311">
    <w:name w:val="Light Grid - Accent 113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311">
    <w:name w:val="Light Grid - Accent 53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311">
    <w:name w:val="Light Grid - Accent 123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311">
    <w:name w:val="Light List - Accent 53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311">
    <w:name w:val="Light List - Accent 113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311">
    <w:name w:val="Light Grid - Accent 133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311">
    <w:name w:val="Medium Grid 1 - Accent 33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311">
    <w:name w:val="Grid Table 4 Accent 323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311">
    <w:name w:val="Table Grid13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1">
    <w:name w:val="No List4111"/>
    <w:next w:val="NoList"/>
    <w:uiPriority w:val="99"/>
    <w:unhideWhenUsed/>
    <w:rsid w:val="00C64FC7"/>
  </w:style>
  <w:style w:type="table" w:customStyle="1" w:styleId="MediumGrid1-Accent14111">
    <w:name w:val="Medium Grid 1 - Accent 141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111">
    <w:name w:val="Light Grid - Accent 1141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111">
    <w:name w:val="Light Grid - Accent 541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111">
    <w:name w:val="Light Grid - Accent 124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111">
    <w:name w:val="Light List - Accent 541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111">
    <w:name w:val="Light List - Accent 1141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111">
    <w:name w:val="Light Grid - Accent 134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111">
    <w:name w:val="Medium Grid 1 - Accent 341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111">
    <w:name w:val="Table Grid211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111">
    <w:name w:val="Medium Grid 3 - Accent 111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11">
    <w:name w:val="No List11111"/>
    <w:next w:val="NoList"/>
    <w:uiPriority w:val="99"/>
    <w:unhideWhenUsed/>
    <w:rsid w:val="00C64FC7"/>
  </w:style>
  <w:style w:type="table" w:customStyle="1" w:styleId="MediumGrid1-Accent111111">
    <w:name w:val="Medium Grid 1 - Accent 1111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11">
    <w:name w:val="Light Grid - Accent 111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11">
    <w:name w:val="Light Grid - Accent 5111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11">
    <w:name w:val="Light Grid - Accent 121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11">
    <w:name w:val="Light List - Accent 5111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11">
    <w:name w:val="Light List - Accent 11111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11">
    <w:name w:val="Light Grid - Accent 131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11">
    <w:name w:val="Medium Grid 1 - Accent 3111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111">
    <w:name w:val="Grid Table 4 - Accent 3111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111">
    <w:name w:val="No List21111"/>
    <w:next w:val="NoList"/>
    <w:uiPriority w:val="99"/>
    <w:unhideWhenUsed/>
    <w:rsid w:val="00C64FC7"/>
  </w:style>
  <w:style w:type="table" w:customStyle="1" w:styleId="MediumGrid1-Accent121111">
    <w:name w:val="Medium Grid 1 - Accent 1211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111">
    <w:name w:val="Light Grid - Accent 11211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111">
    <w:name w:val="Light Grid - Accent 5211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111">
    <w:name w:val="Light Grid - Accent 122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111">
    <w:name w:val="Light List - Accent 5211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111">
    <w:name w:val="Light List - Accent 11211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111">
    <w:name w:val="Light Grid - Accent 132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111">
    <w:name w:val="Medium Grid 1 - Accent 3211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111">
    <w:name w:val="Grid Table 4 Accent 3111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111">
    <w:name w:val="No List31111"/>
    <w:next w:val="NoList"/>
    <w:uiPriority w:val="99"/>
    <w:unhideWhenUsed/>
    <w:rsid w:val="00C64FC7"/>
  </w:style>
  <w:style w:type="table" w:customStyle="1" w:styleId="MediumGrid1-Accent131111">
    <w:name w:val="Medium Grid 1 - Accent 1311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111">
    <w:name w:val="Light Grid - Accent 11311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111">
    <w:name w:val="Light Grid - Accent 5311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111">
    <w:name w:val="Light Grid - Accent 123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111">
    <w:name w:val="Light List - Accent 5311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111">
    <w:name w:val="Light List - Accent 11311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111">
    <w:name w:val="Light Grid - Accent 1331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111">
    <w:name w:val="Medium Grid 1 - Accent 3311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111">
    <w:name w:val="Grid Table 4 Accent 3211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111">
    <w:name w:val="Table Grid111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1">
    <w:name w:val="No List5111"/>
    <w:next w:val="NoList"/>
    <w:uiPriority w:val="99"/>
    <w:unhideWhenUsed/>
    <w:rsid w:val="00C64FC7"/>
  </w:style>
  <w:style w:type="table" w:customStyle="1" w:styleId="MediumGrid1-Accent15111">
    <w:name w:val="Medium Grid 1 - Accent 151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111">
    <w:name w:val="Light Grid - Accent 1151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111">
    <w:name w:val="Light Grid - Accent 551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111">
    <w:name w:val="Light Grid - Accent 125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111">
    <w:name w:val="Light List - Accent 551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111">
    <w:name w:val="Light List - Accent 1151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111">
    <w:name w:val="Light Grid - Accent 135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111">
    <w:name w:val="Medium Grid 1 - Accent 351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111">
    <w:name w:val="No List12111"/>
    <w:next w:val="NoList"/>
    <w:uiPriority w:val="99"/>
    <w:unhideWhenUsed/>
    <w:rsid w:val="00C64FC7"/>
  </w:style>
  <w:style w:type="numbering" w:customStyle="1" w:styleId="NoList22111">
    <w:name w:val="No List22111"/>
    <w:next w:val="NoList"/>
    <w:uiPriority w:val="99"/>
    <w:unhideWhenUsed/>
    <w:rsid w:val="00C64FC7"/>
  </w:style>
  <w:style w:type="numbering" w:customStyle="1" w:styleId="NoList32111">
    <w:name w:val="No List32111"/>
    <w:next w:val="NoList"/>
    <w:uiPriority w:val="99"/>
    <w:unhideWhenUsed/>
    <w:rsid w:val="00C64FC7"/>
  </w:style>
  <w:style w:type="numbering" w:customStyle="1" w:styleId="NoList6111">
    <w:name w:val="No List6111"/>
    <w:next w:val="NoList"/>
    <w:uiPriority w:val="99"/>
    <w:unhideWhenUsed/>
    <w:rsid w:val="00C64FC7"/>
  </w:style>
  <w:style w:type="table" w:customStyle="1" w:styleId="MediumGrid1-Accent16111">
    <w:name w:val="Medium Grid 1 - Accent 161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111">
    <w:name w:val="Light Grid - Accent 1161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111">
    <w:name w:val="Light Grid - Accent 561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111">
    <w:name w:val="Light Grid - Accent 126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111">
    <w:name w:val="Light List - Accent 561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111">
    <w:name w:val="Light List - Accent 1161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111">
    <w:name w:val="Light Grid - Accent 1361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111">
    <w:name w:val="Medium Grid 1 - Accent 361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111">
    <w:name w:val="No List13111"/>
    <w:next w:val="NoList"/>
    <w:uiPriority w:val="99"/>
    <w:unhideWhenUsed/>
    <w:rsid w:val="00C64FC7"/>
  </w:style>
  <w:style w:type="numbering" w:customStyle="1" w:styleId="NoList23111">
    <w:name w:val="No List23111"/>
    <w:next w:val="NoList"/>
    <w:uiPriority w:val="99"/>
    <w:unhideWhenUsed/>
    <w:rsid w:val="00C64FC7"/>
  </w:style>
  <w:style w:type="numbering" w:customStyle="1" w:styleId="NoList33111">
    <w:name w:val="No List33111"/>
    <w:next w:val="NoList"/>
    <w:uiPriority w:val="99"/>
    <w:unhideWhenUsed/>
    <w:rsid w:val="00C64FC7"/>
  </w:style>
  <w:style w:type="numbering" w:customStyle="1" w:styleId="NoList811">
    <w:name w:val="No List811"/>
    <w:next w:val="NoList"/>
    <w:uiPriority w:val="99"/>
    <w:unhideWhenUsed/>
    <w:rsid w:val="00C64FC7"/>
  </w:style>
  <w:style w:type="table" w:customStyle="1" w:styleId="TableGrid611">
    <w:name w:val="Table Grid6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411">
    <w:name w:val="Medium Grid 3 - Accent 14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811">
    <w:name w:val="Medium Grid 1 - Accent 181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811">
    <w:name w:val="Light Grid - Accent 1181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811">
    <w:name w:val="Light Grid - Accent 581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811">
    <w:name w:val="Light Grid - Accent 1281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811">
    <w:name w:val="Light List - Accent 5811"/>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811">
    <w:name w:val="Light List - Accent 1181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811">
    <w:name w:val="Light Grid - Accent 138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811">
    <w:name w:val="Medium Grid 1 - Accent 38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511">
    <w:name w:val="No List1511"/>
    <w:next w:val="NoList"/>
    <w:uiPriority w:val="99"/>
    <w:unhideWhenUsed/>
    <w:rsid w:val="00C64FC7"/>
  </w:style>
  <w:style w:type="table" w:customStyle="1" w:styleId="MediumGrid1-Accent11411">
    <w:name w:val="Medium Grid 1 - Accent 11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11">
    <w:name w:val="Light Grid - Accent 11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11">
    <w:name w:val="Light Grid - Accent 514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411">
    <w:name w:val="Light Grid - Accent 12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411">
    <w:name w:val="Light List - Accent 514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411">
    <w:name w:val="Light List - Accent 111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411">
    <w:name w:val="Light Grid - Accent 13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411">
    <w:name w:val="Medium Grid 1 - Accent 31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411">
    <w:name w:val="Grid Table 4 - Accent 314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511">
    <w:name w:val="No List2511"/>
    <w:next w:val="NoList"/>
    <w:uiPriority w:val="99"/>
    <w:unhideWhenUsed/>
    <w:rsid w:val="00C64FC7"/>
  </w:style>
  <w:style w:type="table" w:customStyle="1" w:styleId="MediumGrid1-Accent12411">
    <w:name w:val="Medium Grid 1 - Accent 12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411">
    <w:name w:val="Light Grid - Accent 112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411">
    <w:name w:val="Light Grid - Accent 52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411">
    <w:name w:val="Light Grid - Accent 122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411">
    <w:name w:val="Light List - Accent 52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411">
    <w:name w:val="Light List - Accent 112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411">
    <w:name w:val="Light Grid - Accent 132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411">
    <w:name w:val="Medium Grid 1 - Accent 32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411">
    <w:name w:val="Grid Table 4 Accent 314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511">
    <w:name w:val="No List3511"/>
    <w:next w:val="NoList"/>
    <w:uiPriority w:val="99"/>
    <w:unhideWhenUsed/>
    <w:rsid w:val="00C64FC7"/>
  </w:style>
  <w:style w:type="table" w:customStyle="1" w:styleId="MediumGrid1-Accent13411">
    <w:name w:val="Medium Grid 1 - Accent 13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411">
    <w:name w:val="Light Grid - Accent 113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411">
    <w:name w:val="Light Grid - Accent 53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411">
    <w:name w:val="Light Grid - Accent 123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411">
    <w:name w:val="Light List - Accent 53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411">
    <w:name w:val="Light List - Accent 113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411">
    <w:name w:val="Light Grid - Accent 133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411">
    <w:name w:val="Medium Grid 1 - Accent 33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411">
    <w:name w:val="Grid Table 4 Accent 324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1">
    <w:name w:val="Table Grid14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1">
    <w:name w:val="Table Grid2311"/>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1">
    <w:name w:val="No List4211"/>
    <w:next w:val="NoList"/>
    <w:uiPriority w:val="99"/>
    <w:unhideWhenUsed/>
    <w:rsid w:val="00C64FC7"/>
  </w:style>
  <w:style w:type="table" w:customStyle="1" w:styleId="MediumGrid1-Accent14211">
    <w:name w:val="Medium Grid 1 - Accent 14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211">
    <w:name w:val="Light Grid - Accent 114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211">
    <w:name w:val="Light Grid - Accent 54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211">
    <w:name w:val="Light Grid - Accent 124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211">
    <w:name w:val="Light List - Accent 54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211">
    <w:name w:val="Light List - Accent 114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211">
    <w:name w:val="Light Grid - Accent 134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211">
    <w:name w:val="Medium Grid 1 - Accent 34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211">
    <w:name w:val="Table Grid212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211">
    <w:name w:val="Medium Grid 3 - Accent 112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211">
    <w:name w:val="No List11211"/>
    <w:next w:val="NoList"/>
    <w:uiPriority w:val="99"/>
    <w:unhideWhenUsed/>
    <w:rsid w:val="00C64FC7"/>
  </w:style>
  <w:style w:type="table" w:customStyle="1" w:styleId="MediumGrid1-Accent111211">
    <w:name w:val="Medium Grid 1 - Accent 111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211">
    <w:name w:val="Light Grid - Accent 111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11">
    <w:name w:val="Light Grid - Accent 5112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211">
    <w:name w:val="Light Grid - Accent 121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211">
    <w:name w:val="Light List - Accent 5112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211">
    <w:name w:val="Light List - Accent 1111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211">
    <w:name w:val="Light Grid - Accent 131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211">
    <w:name w:val="Medium Grid 1 - Accent 311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211">
    <w:name w:val="Grid Table 4 - Accent 3112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211">
    <w:name w:val="No List21211"/>
    <w:next w:val="NoList"/>
    <w:uiPriority w:val="99"/>
    <w:unhideWhenUsed/>
    <w:rsid w:val="00C64FC7"/>
  </w:style>
  <w:style w:type="table" w:customStyle="1" w:styleId="MediumGrid1-Accent121211">
    <w:name w:val="Medium Grid 1 - Accent 121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211">
    <w:name w:val="Light Grid - Accent 1121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211">
    <w:name w:val="Light Grid - Accent 521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211">
    <w:name w:val="Light Grid - Accent 122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211">
    <w:name w:val="Light List - Accent 521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211">
    <w:name w:val="Light List - Accent 1121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211">
    <w:name w:val="Light Grid - Accent 132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211">
    <w:name w:val="Medium Grid 1 - Accent 321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211">
    <w:name w:val="Grid Table 4 Accent 3112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211">
    <w:name w:val="No List31211"/>
    <w:next w:val="NoList"/>
    <w:uiPriority w:val="99"/>
    <w:unhideWhenUsed/>
    <w:rsid w:val="00C64FC7"/>
  </w:style>
  <w:style w:type="table" w:customStyle="1" w:styleId="MediumGrid1-Accent131211">
    <w:name w:val="Medium Grid 1 - Accent 131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211">
    <w:name w:val="Light Grid - Accent 1131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211">
    <w:name w:val="Light Grid - Accent 531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211">
    <w:name w:val="Light Grid - Accent 123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211">
    <w:name w:val="Light List - Accent 531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211">
    <w:name w:val="Light List - Accent 1131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211">
    <w:name w:val="Light Grid - Accent 1331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211">
    <w:name w:val="Medium Grid 1 - Accent 331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211">
    <w:name w:val="Grid Table 4 Accent 3212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211">
    <w:name w:val="Table Grid112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1">
    <w:name w:val="No List5211"/>
    <w:next w:val="NoList"/>
    <w:uiPriority w:val="99"/>
    <w:unhideWhenUsed/>
    <w:rsid w:val="00C64FC7"/>
  </w:style>
  <w:style w:type="table" w:customStyle="1" w:styleId="MediumGrid1-Accent15211">
    <w:name w:val="Medium Grid 1 - Accent 15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211">
    <w:name w:val="Light Grid - Accent 115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211">
    <w:name w:val="Light Grid - Accent 55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211">
    <w:name w:val="Light Grid - Accent 125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211">
    <w:name w:val="Light List - Accent 55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211">
    <w:name w:val="Light List - Accent 115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211">
    <w:name w:val="Light Grid - Accent 135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211">
    <w:name w:val="Medium Grid 1 - Accent 35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211">
    <w:name w:val="No List12211"/>
    <w:next w:val="NoList"/>
    <w:uiPriority w:val="99"/>
    <w:unhideWhenUsed/>
    <w:rsid w:val="00C64FC7"/>
  </w:style>
  <w:style w:type="numbering" w:customStyle="1" w:styleId="NoList22211">
    <w:name w:val="No List22211"/>
    <w:next w:val="NoList"/>
    <w:uiPriority w:val="99"/>
    <w:unhideWhenUsed/>
    <w:rsid w:val="00C64FC7"/>
  </w:style>
  <w:style w:type="numbering" w:customStyle="1" w:styleId="NoList32211">
    <w:name w:val="No List32211"/>
    <w:next w:val="NoList"/>
    <w:uiPriority w:val="99"/>
    <w:unhideWhenUsed/>
    <w:rsid w:val="00C64FC7"/>
  </w:style>
  <w:style w:type="numbering" w:customStyle="1" w:styleId="NoList6211">
    <w:name w:val="No List6211"/>
    <w:next w:val="NoList"/>
    <w:uiPriority w:val="99"/>
    <w:unhideWhenUsed/>
    <w:rsid w:val="00C64FC7"/>
  </w:style>
  <w:style w:type="table" w:customStyle="1" w:styleId="MediumGrid1-Accent16211">
    <w:name w:val="Medium Grid 1 - Accent 162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211">
    <w:name w:val="Light Grid - Accent 1162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211">
    <w:name w:val="Light Grid - Accent 562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211">
    <w:name w:val="Light Grid - Accent 126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211">
    <w:name w:val="Light List - Accent 562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211">
    <w:name w:val="Light List - Accent 1162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211">
    <w:name w:val="Light Grid - Accent 1362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211">
    <w:name w:val="Medium Grid 1 - Accent 362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211">
    <w:name w:val="No List13211"/>
    <w:next w:val="NoList"/>
    <w:uiPriority w:val="99"/>
    <w:unhideWhenUsed/>
    <w:rsid w:val="00C64FC7"/>
  </w:style>
  <w:style w:type="numbering" w:customStyle="1" w:styleId="NoList23211">
    <w:name w:val="No List23211"/>
    <w:next w:val="NoList"/>
    <w:uiPriority w:val="99"/>
    <w:unhideWhenUsed/>
    <w:rsid w:val="00C64FC7"/>
  </w:style>
  <w:style w:type="numbering" w:customStyle="1" w:styleId="NoList33211">
    <w:name w:val="No List33211"/>
    <w:next w:val="NoList"/>
    <w:uiPriority w:val="99"/>
    <w:unhideWhenUsed/>
    <w:rsid w:val="00C64FC7"/>
  </w:style>
  <w:style w:type="numbering" w:customStyle="1" w:styleId="NoList911">
    <w:name w:val="No List911"/>
    <w:next w:val="NoList"/>
    <w:uiPriority w:val="99"/>
    <w:unhideWhenUsed/>
    <w:rsid w:val="00C64FC7"/>
  </w:style>
  <w:style w:type="table" w:customStyle="1" w:styleId="TableGrid711">
    <w:name w:val="Table Grid7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511">
    <w:name w:val="Medium Grid 3 - Accent 1511"/>
    <w:basedOn w:val="TableNormal"/>
    <w:next w:val="MediumGrid3-Accent1"/>
    <w:uiPriority w:val="69"/>
    <w:locked/>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911">
    <w:name w:val="Medium Grid 1 - Accent 191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11">
    <w:name w:val="Light Grid - Accent 1191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911">
    <w:name w:val="Light Grid - Accent 591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911">
    <w:name w:val="Light Grid - Accent 1291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911">
    <w:name w:val="Light List - Accent 5911"/>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11">
    <w:name w:val="Light List - Accent 1191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911">
    <w:name w:val="Light Grid - Accent 139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911">
    <w:name w:val="Medium Grid 1 - Accent 39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611">
    <w:name w:val="No List1611"/>
    <w:next w:val="NoList"/>
    <w:uiPriority w:val="99"/>
    <w:unhideWhenUsed/>
    <w:rsid w:val="00C64FC7"/>
  </w:style>
  <w:style w:type="table" w:customStyle="1" w:styleId="MediumGrid1-Accent11511">
    <w:name w:val="Medium Grid 1 - Accent 11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11">
    <w:name w:val="Light Grid - Accent 11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11">
    <w:name w:val="Light Grid - Accent 515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511">
    <w:name w:val="Light Grid - Accent 12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511">
    <w:name w:val="Light List - Accent 515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511">
    <w:name w:val="Light List - Accent 111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511">
    <w:name w:val="Light Grid - Accent 13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511">
    <w:name w:val="Medium Grid 1 - Accent 31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511">
    <w:name w:val="Grid Table 4 - Accent 315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611">
    <w:name w:val="No List2611"/>
    <w:next w:val="NoList"/>
    <w:uiPriority w:val="99"/>
    <w:unhideWhenUsed/>
    <w:rsid w:val="00C64FC7"/>
  </w:style>
  <w:style w:type="table" w:customStyle="1" w:styleId="MediumGrid1-Accent12511">
    <w:name w:val="Medium Grid 1 - Accent 12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511">
    <w:name w:val="Light Grid - Accent 112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511">
    <w:name w:val="Light Grid - Accent 52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511">
    <w:name w:val="Light Grid - Accent 122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511">
    <w:name w:val="Light List - Accent 52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511">
    <w:name w:val="Light List - Accent 112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511">
    <w:name w:val="Light Grid - Accent 132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511">
    <w:name w:val="Medium Grid 1 - Accent 32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511">
    <w:name w:val="Grid Table 4 Accent 315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611">
    <w:name w:val="No List3611"/>
    <w:next w:val="NoList"/>
    <w:uiPriority w:val="99"/>
    <w:unhideWhenUsed/>
    <w:rsid w:val="00C64FC7"/>
  </w:style>
  <w:style w:type="table" w:customStyle="1" w:styleId="MediumGrid1-Accent13511">
    <w:name w:val="Medium Grid 1 - Accent 13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511">
    <w:name w:val="Light Grid - Accent 113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511">
    <w:name w:val="Light Grid - Accent 53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511">
    <w:name w:val="Light Grid - Accent 123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511">
    <w:name w:val="Light List - Accent 53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511">
    <w:name w:val="Light List - Accent 113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511">
    <w:name w:val="Light Grid - Accent 133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511">
    <w:name w:val="Medium Grid 1 - Accent 33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511">
    <w:name w:val="Grid Table 4 Accent 325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511">
    <w:name w:val="Table Grid15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1">
    <w:name w:val="Table Grid2411"/>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1">
    <w:name w:val="No List4311"/>
    <w:next w:val="NoList"/>
    <w:uiPriority w:val="99"/>
    <w:unhideWhenUsed/>
    <w:rsid w:val="00C64FC7"/>
  </w:style>
  <w:style w:type="table" w:customStyle="1" w:styleId="MediumGrid1-Accent14311">
    <w:name w:val="Medium Grid 1 - Accent 14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311">
    <w:name w:val="Light Grid - Accent 114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311">
    <w:name w:val="Light Grid - Accent 54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311">
    <w:name w:val="Light Grid - Accent 124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311">
    <w:name w:val="Light List - Accent 54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311">
    <w:name w:val="Light List - Accent 114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311">
    <w:name w:val="Light Grid - Accent 134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311">
    <w:name w:val="Medium Grid 1 - Accent 34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311">
    <w:name w:val="Table Grid213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311">
    <w:name w:val="Medium Grid 3 - Accent 113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311">
    <w:name w:val="No List11311"/>
    <w:next w:val="NoList"/>
    <w:uiPriority w:val="99"/>
    <w:unhideWhenUsed/>
    <w:rsid w:val="00C64FC7"/>
  </w:style>
  <w:style w:type="table" w:customStyle="1" w:styleId="MediumGrid1-Accent111311">
    <w:name w:val="Medium Grid 1 - Accent 111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311">
    <w:name w:val="Light Grid - Accent 111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11">
    <w:name w:val="Light Grid - Accent 5113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311">
    <w:name w:val="Light Grid - Accent 121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311">
    <w:name w:val="Light List - Accent 5113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11">
    <w:name w:val="Light List - Accent 1111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311">
    <w:name w:val="Light Grid - Accent 131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311">
    <w:name w:val="Medium Grid 1 - Accent 311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311">
    <w:name w:val="Grid Table 4 - Accent 3113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311">
    <w:name w:val="No List21311"/>
    <w:next w:val="NoList"/>
    <w:uiPriority w:val="99"/>
    <w:unhideWhenUsed/>
    <w:rsid w:val="00C64FC7"/>
  </w:style>
  <w:style w:type="table" w:customStyle="1" w:styleId="MediumGrid1-Accent121311">
    <w:name w:val="Medium Grid 1 - Accent 121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311">
    <w:name w:val="Light Grid - Accent 1121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311">
    <w:name w:val="Light Grid - Accent 521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311">
    <w:name w:val="Light Grid - Accent 122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311">
    <w:name w:val="Light List - Accent 521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311">
    <w:name w:val="Light List - Accent 1121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311">
    <w:name w:val="Light Grid - Accent 132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311">
    <w:name w:val="Medium Grid 1 - Accent 321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311">
    <w:name w:val="Grid Table 4 Accent 3113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311">
    <w:name w:val="No List31311"/>
    <w:next w:val="NoList"/>
    <w:uiPriority w:val="99"/>
    <w:unhideWhenUsed/>
    <w:rsid w:val="00C64FC7"/>
  </w:style>
  <w:style w:type="table" w:customStyle="1" w:styleId="MediumGrid1-Accent131311">
    <w:name w:val="Medium Grid 1 - Accent 131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311">
    <w:name w:val="Light Grid - Accent 1131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311">
    <w:name w:val="Light Grid - Accent 531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311">
    <w:name w:val="Light Grid - Accent 123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311">
    <w:name w:val="Light List - Accent 531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311">
    <w:name w:val="Light List - Accent 1131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311">
    <w:name w:val="Light Grid - Accent 1331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311">
    <w:name w:val="Medium Grid 1 - Accent 331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311">
    <w:name w:val="Grid Table 4 Accent 3213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311">
    <w:name w:val="Table Grid113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11">
    <w:name w:val="No List5311"/>
    <w:next w:val="NoList"/>
    <w:uiPriority w:val="99"/>
    <w:unhideWhenUsed/>
    <w:rsid w:val="00C64FC7"/>
  </w:style>
  <w:style w:type="table" w:customStyle="1" w:styleId="MediumGrid1-Accent15311">
    <w:name w:val="Medium Grid 1 - Accent 15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311">
    <w:name w:val="Light Grid - Accent 115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311">
    <w:name w:val="Light Grid - Accent 55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311">
    <w:name w:val="Light Grid - Accent 125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311">
    <w:name w:val="Light List - Accent 55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311">
    <w:name w:val="Light List - Accent 115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311">
    <w:name w:val="Light Grid - Accent 135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311">
    <w:name w:val="Medium Grid 1 - Accent 35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311">
    <w:name w:val="No List12311"/>
    <w:next w:val="NoList"/>
    <w:uiPriority w:val="99"/>
    <w:unhideWhenUsed/>
    <w:rsid w:val="00C64FC7"/>
  </w:style>
  <w:style w:type="numbering" w:customStyle="1" w:styleId="NoList22311">
    <w:name w:val="No List22311"/>
    <w:next w:val="NoList"/>
    <w:uiPriority w:val="99"/>
    <w:unhideWhenUsed/>
    <w:rsid w:val="00C64FC7"/>
  </w:style>
  <w:style w:type="numbering" w:customStyle="1" w:styleId="NoList32311">
    <w:name w:val="No List32311"/>
    <w:next w:val="NoList"/>
    <w:uiPriority w:val="99"/>
    <w:unhideWhenUsed/>
    <w:rsid w:val="00C64FC7"/>
  </w:style>
  <w:style w:type="numbering" w:customStyle="1" w:styleId="NoList6311">
    <w:name w:val="No List6311"/>
    <w:next w:val="NoList"/>
    <w:uiPriority w:val="99"/>
    <w:unhideWhenUsed/>
    <w:rsid w:val="00C64FC7"/>
  </w:style>
  <w:style w:type="table" w:customStyle="1" w:styleId="MediumGrid1-Accent16311">
    <w:name w:val="Medium Grid 1 - Accent 163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311">
    <w:name w:val="Light Grid - Accent 1163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311">
    <w:name w:val="Light Grid - Accent 563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311">
    <w:name w:val="Light Grid - Accent 126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311">
    <w:name w:val="Light List - Accent 563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311">
    <w:name w:val="Light List - Accent 1163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311">
    <w:name w:val="Light Grid - Accent 1363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311">
    <w:name w:val="Medium Grid 1 - Accent 363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311">
    <w:name w:val="No List13311"/>
    <w:next w:val="NoList"/>
    <w:uiPriority w:val="99"/>
    <w:unhideWhenUsed/>
    <w:rsid w:val="00C64FC7"/>
  </w:style>
  <w:style w:type="numbering" w:customStyle="1" w:styleId="NoList23311">
    <w:name w:val="No List23311"/>
    <w:next w:val="NoList"/>
    <w:uiPriority w:val="99"/>
    <w:unhideWhenUsed/>
    <w:rsid w:val="00C64FC7"/>
  </w:style>
  <w:style w:type="numbering" w:customStyle="1" w:styleId="NoList33311">
    <w:name w:val="No List33311"/>
    <w:next w:val="NoList"/>
    <w:uiPriority w:val="99"/>
    <w:unhideWhenUsed/>
    <w:rsid w:val="00C64FC7"/>
  </w:style>
  <w:style w:type="numbering" w:customStyle="1" w:styleId="NoList1011">
    <w:name w:val="No List1011"/>
    <w:next w:val="NoList"/>
    <w:uiPriority w:val="99"/>
    <w:unhideWhenUsed/>
    <w:rsid w:val="00C64FC7"/>
  </w:style>
  <w:style w:type="table" w:customStyle="1" w:styleId="TableGrid811">
    <w:name w:val="Table Grid8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611">
    <w:name w:val="Medium Grid 3 - Accent 16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011">
    <w:name w:val="Medium Grid 1 - Accent 1101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11">
    <w:name w:val="Light Grid - Accent 11101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011">
    <w:name w:val="Light Grid - Accent 5101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011">
    <w:name w:val="Light Grid - Accent 12101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011">
    <w:name w:val="Light List - Accent 51011"/>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011">
    <w:name w:val="Light List - Accent 11101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011">
    <w:name w:val="Light Grid - Accent 1310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011">
    <w:name w:val="Medium Grid 1 - Accent 310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711">
    <w:name w:val="No List1711"/>
    <w:next w:val="NoList"/>
    <w:uiPriority w:val="99"/>
    <w:unhideWhenUsed/>
    <w:rsid w:val="00C64FC7"/>
  </w:style>
  <w:style w:type="table" w:customStyle="1" w:styleId="MediumGrid1-Accent11611">
    <w:name w:val="Medium Grid 1 - Accent 116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611">
    <w:name w:val="Light Grid - Accent 111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11">
    <w:name w:val="Light Grid - Accent 516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611">
    <w:name w:val="Light Grid - Accent 121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611">
    <w:name w:val="Light List - Accent 516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611">
    <w:name w:val="Light List - Accent 1116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611">
    <w:name w:val="Light Grid - Accent 131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611">
    <w:name w:val="Medium Grid 1 - Accent 316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611">
    <w:name w:val="Grid Table 4 - Accent 316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711">
    <w:name w:val="No List2711"/>
    <w:next w:val="NoList"/>
    <w:uiPriority w:val="99"/>
    <w:unhideWhenUsed/>
    <w:rsid w:val="00C64FC7"/>
  </w:style>
  <w:style w:type="table" w:customStyle="1" w:styleId="MediumGrid1-Accent12611">
    <w:name w:val="Medium Grid 1 - Accent 126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611">
    <w:name w:val="Light Grid - Accent 1126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611">
    <w:name w:val="Light Grid - Accent 526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611">
    <w:name w:val="Light Grid - Accent 122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611">
    <w:name w:val="Light List - Accent 526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611">
    <w:name w:val="Light List - Accent 1126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611">
    <w:name w:val="Light Grid - Accent 132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611">
    <w:name w:val="Medium Grid 1 - Accent 326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611">
    <w:name w:val="Grid Table 4 Accent 316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711">
    <w:name w:val="No List3711"/>
    <w:next w:val="NoList"/>
    <w:uiPriority w:val="99"/>
    <w:unhideWhenUsed/>
    <w:rsid w:val="00C64FC7"/>
  </w:style>
  <w:style w:type="table" w:customStyle="1" w:styleId="MediumGrid1-Accent13611">
    <w:name w:val="Medium Grid 1 - Accent 136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611">
    <w:name w:val="Light Grid - Accent 1136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611">
    <w:name w:val="Light Grid - Accent 536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611">
    <w:name w:val="Light Grid - Accent 123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611">
    <w:name w:val="Light List - Accent 536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611">
    <w:name w:val="Light List - Accent 1136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611">
    <w:name w:val="Light Grid - Accent 1336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611">
    <w:name w:val="Medium Grid 1 - Accent 336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611">
    <w:name w:val="Grid Table 4 Accent 326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611">
    <w:name w:val="Table Grid16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11">
    <w:name w:val="Table Grid2511"/>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11">
    <w:name w:val="No List4411"/>
    <w:next w:val="NoList"/>
    <w:uiPriority w:val="99"/>
    <w:unhideWhenUsed/>
    <w:rsid w:val="00C64FC7"/>
  </w:style>
  <w:style w:type="table" w:customStyle="1" w:styleId="MediumGrid1-Accent14411">
    <w:name w:val="Medium Grid 1 - Accent 14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411">
    <w:name w:val="Light Grid - Accent 114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411">
    <w:name w:val="Light Grid - Accent 54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411">
    <w:name w:val="Light Grid - Accent 124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411">
    <w:name w:val="Light List - Accent 54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411">
    <w:name w:val="Light List - Accent 114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411">
    <w:name w:val="Light Grid - Accent 134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411">
    <w:name w:val="Medium Grid 1 - Accent 34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411">
    <w:name w:val="Table Grid214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411">
    <w:name w:val="Medium Grid 3 - Accent 114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411">
    <w:name w:val="No List11411"/>
    <w:next w:val="NoList"/>
    <w:uiPriority w:val="99"/>
    <w:unhideWhenUsed/>
    <w:rsid w:val="00C64FC7"/>
  </w:style>
  <w:style w:type="table" w:customStyle="1" w:styleId="MediumGrid1-Accent111411">
    <w:name w:val="Medium Grid 1 - Accent 111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411">
    <w:name w:val="Light Grid - Accent 111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411">
    <w:name w:val="Light Grid - Accent 5114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411">
    <w:name w:val="Light Grid - Accent 121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411">
    <w:name w:val="Light List - Accent 5114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411">
    <w:name w:val="Light List - Accent 1111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411">
    <w:name w:val="Light Grid - Accent 131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411">
    <w:name w:val="Medium Grid 1 - Accent 311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411">
    <w:name w:val="Grid Table 4 - Accent 3114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411">
    <w:name w:val="No List21411"/>
    <w:next w:val="NoList"/>
    <w:uiPriority w:val="99"/>
    <w:unhideWhenUsed/>
    <w:rsid w:val="00C64FC7"/>
  </w:style>
  <w:style w:type="table" w:customStyle="1" w:styleId="MediumGrid1-Accent121411">
    <w:name w:val="Medium Grid 1 - Accent 121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411">
    <w:name w:val="Light Grid - Accent 1121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411">
    <w:name w:val="Light Grid - Accent 521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411">
    <w:name w:val="Light Grid - Accent 122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411">
    <w:name w:val="Light List - Accent 521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411">
    <w:name w:val="Light List - Accent 1121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411">
    <w:name w:val="Light Grid - Accent 132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411">
    <w:name w:val="Medium Grid 1 - Accent 321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411">
    <w:name w:val="Grid Table 4 Accent 3114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411">
    <w:name w:val="No List31411"/>
    <w:next w:val="NoList"/>
    <w:uiPriority w:val="99"/>
    <w:unhideWhenUsed/>
    <w:rsid w:val="00C64FC7"/>
  </w:style>
  <w:style w:type="table" w:customStyle="1" w:styleId="MediumGrid1-Accent131411">
    <w:name w:val="Medium Grid 1 - Accent 131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411">
    <w:name w:val="Light Grid - Accent 1131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411">
    <w:name w:val="Light Grid - Accent 531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411">
    <w:name w:val="Light Grid - Accent 123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411">
    <w:name w:val="Light List - Accent 531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411">
    <w:name w:val="Light List - Accent 1131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411">
    <w:name w:val="Light Grid - Accent 1331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411">
    <w:name w:val="Medium Grid 1 - Accent 331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411">
    <w:name w:val="Grid Table 4 Accent 3214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411">
    <w:name w:val="Table Grid114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11">
    <w:name w:val="No List5411"/>
    <w:next w:val="NoList"/>
    <w:uiPriority w:val="99"/>
    <w:unhideWhenUsed/>
    <w:rsid w:val="00C64FC7"/>
  </w:style>
  <w:style w:type="table" w:customStyle="1" w:styleId="MediumGrid1-Accent15411">
    <w:name w:val="Medium Grid 1 - Accent 15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411">
    <w:name w:val="Light Grid - Accent 115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411">
    <w:name w:val="Light Grid - Accent 55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411">
    <w:name w:val="Light Grid - Accent 125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411">
    <w:name w:val="Light List - Accent 55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411">
    <w:name w:val="Light List - Accent 115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411">
    <w:name w:val="Light Grid - Accent 135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411">
    <w:name w:val="Medium Grid 1 - Accent 35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411">
    <w:name w:val="No List12411"/>
    <w:next w:val="NoList"/>
    <w:uiPriority w:val="99"/>
    <w:unhideWhenUsed/>
    <w:rsid w:val="00C64FC7"/>
  </w:style>
  <w:style w:type="numbering" w:customStyle="1" w:styleId="NoList22411">
    <w:name w:val="No List22411"/>
    <w:next w:val="NoList"/>
    <w:uiPriority w:val="99"/>
    <w:unhideWhenUsed/>
    <w:rsid w:val="00C64FC7"/>
  </w:style>
  <w:style w:type="numbering" w:customStyle="1" w:styleId="NoList32411">
    <w:name w:val="No List32411"/>
    <w:next w:val="NoList"/>
    <w:uiPriority w:val="99"/>
    <w:unhideWhenUsed/>
    <w:rsid w:val="00C64FC7"/>
  </w:style>
  <w:style w:type="numbering" w:customStyle="1" w:styleId="NoList6411">
    <w:name w:val="No List6411"/>
    <w:next w:val="NoList"/>
    <w:uiPriority w:val="99"/>
    <w:unhideWhenUsed/>
    <w:rsid w:val="00C64FC7"/>
  </w:style>
  <w:style w:type="table" w:customStyle="1" w:styleId="MediumGrid1-Accent16411">
    <w:name w:val="Medium Grid 1 - Accent 164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411">
    <w:name w:val="Light Grid - Accent 1164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411">
    <w:name w:val="Light Grid - Accent 564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411">
    <w:name w:val="Light Grid - Accent 126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411">
    <w:name w:val="Light List - Accent 564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411">
    <w:name w:val="Light List - Accent 1164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411">
    <w:name w:val="Light Grid - Accent 1364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411">
    <w:name w:val="Medium Grid 1 - Accent 364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411">
    <w:name w:val="No List13411"/>
    <w:next w:val="NoList"/>
    <w:uiPriority w:val="99"/>
    <w:unhideWhenUsed/>
    <w:rsid w:val="00C64FC7"/>
  </w:style>
  <w:style w:type="numbering" w:customStyle="1" w:styleId="NoList23411">
    <w:name w:val="No List23411"/>
    <w:next w:val="NoList"/>
    <w:uiPriority w:val="99"/>
    <w:unhideWhenUsed/>
    <w:rsid w:val="00C64FC7"/>
  </w:style>
  <w:style w:type="numbering" w:customStyle="1" w:styleId="NoList33411">
    <w:name w:val="No List33411"/>
    <w:next w:val="NoList"/>
    <w:uiPriority w:val="99"/>
    <w:unhideWhenUsed/>
    <w:rsid w:val="00C64FC7"/>
  </w:style>
  <w:style w:type="numbering" w:customStyle="1" w:styleId="NoList1811">
    <w:name w:val="No List1811"/>
    <w:next w:val="NoList"/>
    <w:uiPriority w:val="99"/>
    <w:unhideWhenUsed/>
    <w:rsid w:val="00C64FC7"/>
  </w:style>
  <w:style w:type="table" w:customStyle="1" w:styleId="TableGrid911">
    <w:name w:val="Table Grid9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711">
    <w:name w:val="Medium Grid 3 - Accent 17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711">
    <w:name w:val="Medium Grid 1 - Accent 11711"/>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711">
    <w:name w:val="Light Grid - Accent 111711"/>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711">
    <w:name w:val="Light Grid - Accent 51711"/>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711">
    <w:name w:val="Light Grid - Accent 121711"/>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711">
    <w:name w:val="Light List - Accent 51711"/>
    <w:basedOn w:val="TableNormal"/>
    <w:next w:val="LightList-Accent5"/>
    <w:uiPriority w:val="61"/>
    <w:locked/>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711">
    <w:name w:val="Light List - Accent 111711"/>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711">
    <w:name w:val="Light Grid - Accent 1317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711">
    <w:name w:val="Medium Grid 1 - Accent 317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911">
    <w:name w:val="No List1911"/>
    <w:next w:val="NoList"/>
    <w:uiPriority w:val="99"/>
    <w:unhideWhenUsed/>
    <w:rsid w:val="00C64FC7"/>
  </w:style>
  <w:style w:type="table" w:customStyle="1" w:styleId="MediumGrid1-Accent11811">
    <w:name w:val="Medium Grid 1 - Accent 118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811">
    <w:name w:val="Light Grid - Accent 1118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811">
    <w:name w:val="Light Grid - Accent 518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811">
    <w:name w:val="Light Grid - Accent 1218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811">
    <w:name w:val="Light List - Accent 518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811">
    <w:name w:val="Light List - Accent 1118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811">
    <w:name w:val="Light Grid - Accent 1318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811">
    <w:name w:val="Medium Grid 1 - Accent 318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711">
    <w:name w:val="Grid Table 4 - Accent 317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811">
    <w:name w:val="No List2811"/>
    <w:next w:val="NoList"/>
    <w:uiPriority w:val="99"/>
    <w:unhideWhenUsed/>
    <w:rsid w:val="00C64FC7"/>
  </w:style>
  <w:style w:type="table" w:customStyle="1" w:styleId="MediumGrid1-Accent12711">
    <w:name w:val="Medium Grid 1 - Accent 127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711">
    <w:name w:val="Light Grid - Accent 1127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711">
    <w:name w:val="Light Grid - Accent 527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711">
    <w:name w:val="Light Grid - Accent 1227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711">
    <w:name w:val="Light List - Accent 527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711">
    <w:name w:val="Light List - Accent 1127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711">
    <w:name w:val="Light Grid - Accent 1327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711">
    <w:name w:val="Medium Grid 1 - Accent 327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711">
    <w:name w:val="Grid Table 4 Accent 317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811">
    <w:name w:val="No List3811"/>
    <w:next w:val="NoList"/>
    <w:uiPriority w:val="99"/>
    <w:unhideWhenUsed/>
    <w:rsid w:val="00C64FC7"/>
  </w:style>
  <w:style w:type="table" w:customStyle="1" w:styleId="MediumGrid1-Accent13711">
    <w:name w:val="Medium Grid 1 - Accent 137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711">
    <w:name w:val="Light Grid - Accent 1137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711">
    <w:name w:val="Light Grid - Accent 537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711">
    <w:name w:val="Light Grid - Accent 1237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711">
    <w:name w:val="Light List - Accent 537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711">
    <w:name w:val="Light List - Accent 1137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711">
    <w:name w:val="Light Grid - Accent 1337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711">
    <w:name w:val="Medium Grid 1 - Accent 337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711">
    <w:name w:val="Grid Table 4 Accent 327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711">
    <w:name w:val="Table Grid17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11">
    <w:name w:val="Table Grid2611"/>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11">
    <w:name w:val="No List4511"/>
    <w:next w:val="NoList"/>
    <w:uiPriority w:val="99"/>
    <w:unhideWhenUsed/>
    <w:rsid w:val="00C64FC7"/>
  </w:style>
  <w:style w:type="table" w:customStyle="1" w:styleId="MediumGrid1-Accent14511">
    <w:name w:val="Medium Grid 1 - Accent 14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511">
    <w:name w:val="Light Grid - Accent 114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511">
    <w:name w:val="Light Grid - Accent 54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511">
    <w:name w:val="Light Grid - Accent 124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511">
    <w:name w:val="Light List - Accent 54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511">
    <w:name w:val="Light List - Accent 114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511">
    <w:name w:val="Light Grid - Accent 134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511">
    <w:name w:val="Medium Grid 1 - Accent 34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511">
    <w:name w:val="Table Grid21511"/>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511">
    <w:name w:val="Medium Grid 3 - Accent 11511"/>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511">
    <w:name w:val="No List11511"/>
    <w:next w:val="NoList"/>
    <w:uiPriority w:val="99"/>
    <w:unhideWhenUsed/>
    <w:rsid w:val="00C64FC7"/>
  </w:style>
  <w:style w:type="table" w:customStyle="1" w:styleId="MediumGrid1-Accent111511">
    <w:name w:val="Medium Grid 1 - Accent 111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511">
    <w:name w:val="Light Grid - Accent 111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511">
    <w:name w:val="Light Grid - Accent 511511"/>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511">
    <w:name w:val="Light Grid - Accent 121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511">
    <w:name w:val="Light List - Accent 511511"/>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511">
    <w:name w:val="Light List - Accent 1111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511">
    <w:name w:val="Light Grid - Accent 131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511">
    <w:name w:val="Medium Grid 1 - Accent 311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511">
    <w:name w:val="Grid Table 4 - Accent 3115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511">
    <w:name w:val="No List21511"/>
    <w:next w:val="NoList"/>
    <w:uiPriority w:val="99"/>
    <w:unhideWhenUsed/>
    <w:rsid w:val="00C64FC7"/>
  </w:style>
  <w:style w:type="table" w:customStyle="1" w:styleId="MediumGrid1-Accent121511">
    <w:name w:val="Medium Grid 1 - Accent 121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511">
    <w:name w:val="Light Grid - Accent 1121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511">
    <w:name w:val="Light Grid - Accent 521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511">
    <w:name w:val="Light Grid - Accent 122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511">
    <w:name w:val="Light List - Accent 521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511">
    <w:name w:val="Light List - Accent 1121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511">
    <w:name w:val="Light Grid - Accent 132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511">
    <w:name w:val="Medium Grid 1 - Accent 321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511">
    <w:name w:val="Grid Table 4 Accent 3115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511">
    <w:name w:val="No List31511"/>
    <w:next w:val="NoList"/>
    <w:uiPriority w:val="99"/>
    <w:unhideWhenUsed/>
    <w:rsid w:val="00C64FC7"/>
  </w:style>
  <w:style w:type="table" w:customStyle="1" w:styleId="MediumGrid1-Accent131511">
    <w:name w:val="Medium Grid 1 - Accent 131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511">
    <w:name w:val="Light Grid - Accent 1131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511">
    <w:name w:val="Light Grid - Accent 531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511">
    <w:name w:val="Light Grid - Accent 123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511">
    <w:name w:val="Light List - Accent 531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511">
    <w:name w:val="Light List - Accent 1131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511">
    <w:name w:val="Light Grid - Accent 1331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511">
    <w:name w:val="Medium Grid 1 - Accent 331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511">
    <w:name w:val="Grid Table 4 Accent 321511"/>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511">
    <w:name w:val="Table Grid11511"/>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11">
    <w:name w:val="No List5511"/>
    <w:next w:val="NoList"/>
    <w:uiPriority w:val="99"/>
    <w:unhideWhenUsed/>
    <w:rsid w:val="00C64FC7"/>
  </w:style>
  <w:style w:type="table" w:customStyle="1" w:styleId="MediumGrid1-Accent15511">
    <w:name w:val="Medium Grid 1 - Accent 15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511">
    <w:name w:val="Light Grid - Accent 115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511">
    <w:name w:val="Light Grid - Accent 55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511">
    <w:name w:val="Light Grid - Accent 125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511">
    <w:name w:val="Light List - Accent 55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511">
    <w:name w:val="Light List - Accent 115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511">
    <w:name w:val="Light Grid - Accent 135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511">
    <w:name w:val="Medium Grid 1 - Accent 35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511">
    <w:name w:val="No List12511"/>
    <w:next w:val="NoList"/>
    <w:uiPriority w:val="99"/>
    <w:unhideWhenUsed/>
    <w:rsid w:val="00C64FC7"/>
  </w:style>
  <w:style w:type="numbering" w:customStyle="1" w:styleId="NoList22511">
    <w:name w:val="No List22511"/>
    <w:next w:val="NoList"/>
    <w:uiPriority w:val="99"/>
    <w:unhideWhenUsed/>
    <w:rsid w:val="00C64FC7"/>
  </w:style>
  <w:style w:type="numbering" w:customStyle="1" w:styleId="NoList32511">
    <w:name w:val="No List32511"/>
    <w:next w:val="NoList"/>
    <w:uiPriority w:val="99"/>
    <w:unhideWhenUsed/>
    <w:rsid w:val="00C64FC7"/>
  </w:style>
  <w:style w:type="numbering" w:customStyle="1" w:styleId="NoList6511">
    <w:name w:val="No List6511"/>
    <w:next w:val="NoList"/>
    <w:uiPriority w:val="99"/>
    <w:unhideWhenUsed/>
    <w:rsid w:val="00C64FC7"/>
  </w:style>
  <w:style w:type="table" w:customStyle="1" w:styleId="MediumGrid1-Accent16511">
    <w:name w:val="Medium Grid 1 - Accent 16511"/>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511">
    <w:name w:val="Light Grid - Accent 116511"/>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511">
    <w:name w:val="Light Grid - Accent 56511"/>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511">
    <w:name w:val="Light Grid - Accent 126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511">
    <w:name w:val="Light List - Accent 56511"/>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511">
    <w:name w:val="Light List - Accent 116511"/>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511">
    <w:name w:val="Light Grid - Accent 136511"/>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511">
    <w:name w:val="Medium Grid 1 - Accent 36511"/>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511">
    <w:name w:val="No List13511"/>
    <w:next w:val="NoList"/>
    <w:uiPriority w:val="99"/>
    <w:unhideWhenUsed/>
    <w:rsid w:val="00C64FC7"/>
  </w:style>
  <w:style w:type="numbering" w:customStyle="1" w:styleId="NoList23511">
    <w:name w:val="No List23511"/>
    <w:next w:val="NoList"/>
    <w:uiPriority w:val="99"/>
    <w:unhideWhenUsed/>
    <w:rsid w:val="00C64FC7"/>
  </w:style>
  <w:style w:type="numbering" w:customStyle="1" w:styleId="NoList33511">
    <w:name w:val="No List33511"/>
    <w:next w:val="NoList"/>
    <w:uiPriority w:val="99"/>
    <w:unhideWhenUsed/>
    <w:rsid w:val="00C64FC7"/>
  </w:style>
  <w:style w:type="numbering" w:customStyle="1" w:styleId="NoList40">
    <w:name w:val="No List40"/>
    <w:next w:val="NoList"/>
    <w:uiPriority w:val="99"/>
    <w:unhideWhenUsed/>
    <w:rsid w:val="00C64FC7"/>
  </w:style>
  <w:style w:type="table" w:customStyle="1" w:styleId="TableGrid20">
    <w:name w:val="Table Grid20"/>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0">
    <w:name w:val="Medium Grid 3 - Accent 110"/>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30">
    <w:name w:val="Medium Grid 1 - Accent 130"/>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30">
    <w:name w:val="Light Grid - Accent 1130"/>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30">
    <w:name w:val="Light Grid - Accent 530"/>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30">
    <w:name w:val="Light Grid - Accent 1230"/>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30">
    <w:name w:val="Light List - Accent 530"/>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30">
    <w:name w:val="Light List - Accent 1130"/>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30">
    <w:name w:val="Light Grid - Accent 133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30">
    <w:name w:val="Medium Grid 1 - Accent 330"/>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19">
    <w:name w:val="No List119"/>
    <w:next w:val="NoList"/>
    <w:uiPriority w:val="99"/>
    <w:unhideWhenUsed/>
    <w:rsid w:val="00C64FC7"/>
  </w:style>
  <w:style w:type="table" w:customStyle="1" w:styleId="MediumGrid1-Accent1119">
    <w:name w:val="Medium Grid 1 - Accent 1119"/>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9">
    <w:name w:val="Light Grid - Accent 1111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9">
    <w:name w:val="Light Grid - Accent 5119"/>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9">
    <w:name w:val="Light Grid - Accent 1211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9">
    <w:name w:val="Light List - Accent 5119"/>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9">
    <w:name w:val="Light List - Accent 11119"/>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9">
    <w:name w:val="Light Grid - Accent 13119"/>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9">
    <w:name w:val="Medium Grid 1 - Accent 3119"/>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0">
    <w:name w:val="Grid Table 4 - Accent 3110"/>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8">
    <w:name w:val="No List218"/>
    <w:next w:val="NoList"/>
    <w:uiPriority w:val="99"/>
    <w:unhideWhenUsed/>
    <w:rsid w:val="00C64FC7"/>
  </w:style>
  <w:style w:type="table" w:customStyle="1" w:styleId="MediumGrid1-Accent1210">
    <w:name w:val="Medium Grid 1 - Accent 1210"/>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0">
    <w:name w:val="Light Grid - Accent 11210"/>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0">
    <w:name w:val="Light Grid - Accent 5210"/>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0">
    <w:name w:val="Light Grid - Accent 122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0">
    <w:name w:val="Light List - Accent 5210"/>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0">
    <w:name w:val="Light List - Accent 11210"/>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0">
    <w:name w:val="Light Grid - Accent 132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0">
    <w:name w:val="Medium Grid 1 - Accent 3210"/>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0">
    <w:name w:val="Grid Table 4 Accent 3110"/>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8">
    <w:name w:val="No List318"/>
    <w:next w:val="NoList"/>
    <w:uiPriority w:val="99"/>
    <w:unhideWhenUsed/>
    <w:rsid w:val="00C64FC7"/>
  </w:style>
  <w:style w:type="table" w:customStyle="1" w:styleId="MediumGrid1-Accent1310">
    <w:name w:val="Medium Grid 1 - Accent 1310"/>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0">
    <w:name w:val="Light Grid - Accent 11310"/>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0">
    <w:name w:val="Light Grid - Accent 5310"/>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0">
    <w:name w:val="Light Grid - Accent 123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0">
    <w:name w:val="Light List - Accent 5310"/>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0">
    <w:name w:val="Light List - Accent 11310"/>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0">
    <w:name w:val="Light Grid - Accent 133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0">
    <w:name w:val="Medium Grid 1 - Accent 3310"/>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0">
    <w:name w:val="Grid Table 4 Accent 3210"/>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8">
    <w:name w:val="Table Grid118"/>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8">
    <w:name w:val="No List48"/>
    <w:next w:val="NoList"/>
    <w:uiPriority w:val="99"/>
    <w:unhideWhenUsed/>
    <w:rsid w:val="00C64FC7"/>
  </w:style>
  <w:style w:type="table" w:customStyle="1" w:styleId="MediumGrid1-Accent148">
    <w:name w:val="Medium Grid 1 - Accent 148"/>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8">
    <w:name w:val="Light Grid - Accent 1148"/>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8">
    <w:name w:val="Light Grid - Accent 548"/>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8">
    <w:name w:val="Light Grid - Accent 124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8">
    <w:name w:val="Light List - Accent 548"/>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8">
    <w:name w:val="Light List - Accent 1148"/>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8">
    <w:name w:val="Light Grid - Accent 134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8">
    <w:name w:val="Medium Grid 1 - Accent 348"/>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33">
    <w:name w:val="Table Grid3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8">
    <w:name w:val="Medium Grid 3 - Accent 118"/>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0">
    <w:name w:val="No List1110"/>
    <w:next w:val="NoList"/>
    <w:uiPriority w:val="99"/>
    <w:unhideWhenUsed/>
    <w:rsid w:val="00C64FC7"/>
  </w:style>
  <w:style w:type="table" w:customStyle="1" w:styleId="MediumGrid1-Accent11110">
    <w:name w:val="Medium Grid 1 - Accent 11110"/>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0">
    <w:name w:val="Light Grid - Accent 1111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0">
    <w:name w:val="Light Grid - Accent 51110"/>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0">
    <w:name w:val="Light Grid - Accent 1211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0">
    <w:name w:val="Light List - Accent 51110"/>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0">
    <w:name w:val="Light List - Accent 111110"/>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0">
    <w:name w:val="Light Grid - Accent 131110"/>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0">
    <w:name w:val="Medium Grid 1 - Accent 31110"/>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8">
    <w:name w:val="Grid Table 4 - Accent 3118"/>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9">
    <w:name w:val="No List219"/>
    <w:next w:val="NoList"/>
    <w:uiPriority w:val="99"/>
    <w:unhideWhenUsed/>
    <w:rsid w:val="00C64FC7"/>
  </w:style>
  <w:style w:type="table" w:customStyle="1" w:styleId="MediumGrid1-Accent1218">
    <w:name w:val="Medium Grid 1 - Accent 1218"/>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8">
    <w:name w:val="Light Grid - Accent 11218"/>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8">
    <w:name w:val="Light Grid - Accent 5218"/>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8">
    <w:name w:val="Light Grid - Accent 122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8">
    <w:name w:val="Light List - Accent 5218"/>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8">
    <w:name w:val="Light List - Accent 11218"/>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8">
    <w:name w:val="Light Grid - Accent 132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8">
    <w:name w:val="Medium Grid 1 - Accent 3218"/>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8">
    <w:name w:val="Grid Table 4 Accent 3118"/>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9">
    <w:name w:val="No List319"/>
    <w:next w:val="NoList"/>
    <w:uiPriority w:val="99"/>
    <w:unhideWhenUsed/>
    <w:rsid w:val="00C64FC7"/>
  </w:style>
  <w:style w:type="table" w:customStyle="1" w:styleId="MediumGrid1-Accent1318">
    <w:name w:val="Medium Grid 1 - Accent 1318"/>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8">
    <w:name w:val="Light Grid - Accent 11318"/>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8">
    <w:name w:val="Light Grid - Accent 5318"/>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8">
    <w:name w:val="Light Grid - Accent 123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8">
    <w:name w:val="Light List - Accent 5318"/>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8">
    <w:name w:val="Light List - Accent 11318"/>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8">
    <w:name w:val="Light Grid - Accent 1331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8">
    <w:name w:val="Medium Grid 1 - Accent 3318"/>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8">
    <w:name w:val="Grid Table 4 Accent 3218"/>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9">
    <w:name w:val="Table Grid119"/>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8">
    <w:name w:val="No List58"/>
    <w:next w:val="NoList"/>
    <w:uiPriority w:val="99"/>
    <w:unhideWhenUsed/>
    <w:rsid w:val="00C64FC7"/>
  </w:style>
  <w:style w:type="table" w:customStyle="1" w:styleId="TableGrid43">
    <w:name w:val="Table Grid43"/>
    <w:basedOn w:val="TableNormal"/>
    <w:next w:val="TableGrid"/>
    <w:uiPriority w:val="5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23">
    <w:name w:val="Medium Grid 3 - Accent 12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58">
    <w:name w:val="Medium Grid 1 - Accent 158"/>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8">
    <w:name w:val="Light Grid - Accent 1158"/>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58">
    <w:name w:val="Light Grid - Accent 558"/>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58">
    <w:name w:val="Light Grid - Accent 1258"/>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58">
    <w:name w:val="Light List - Accent 558"/>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8">
    <w:name w:val="Light List - Accent 1158"/>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58">
    <w:name w:val="Light Grid - Accent 135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58">
    <w:name w:val="Medium Grid 1 - Accent 358"/>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8">
    <w:name w:val="No List128"/>
    <w:next w:val="NoList"/>
    <w:uiPriority w:val="99"/>
    <w:unhideWhenUsed/>
    <w:rsid w:val="00C64FC7"/>
  </w:style>
  <w:style w:type="table" w:customStyle="1" w:styleId="MediumGrid1-Accent1123">
    <w:name w:val="Medium Grid 1 - Accent 11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23">
    <w:name w:val="Light Grid - Accent 11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3">
    <w:name w:val="Light Grid - Accent 512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23">
    <w:name w:val="Light Grid - Accent 12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23">
    <w:name w:val="Light List - Accent 512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3">
    <w:name w:val="Light List - Accent 111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23">
    <w:name w:val="Light Grid - Accent 13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23">
    <w:name w:val="Medium Grid 1 - Accent 31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23">
    <w:name w:val="Grid Table 4 - Accent 312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28">
    <w:name w:val="No List228"/>
    <w:next w:val="NoList"/>
    <w:uiPriority w:val="99"/>
    <w:unhideWhenUsed/>
    <w:rsid w:val="00C64FC7"/>
  </w:style>
  <w:style w:type="table" w:customStyle="1" w:styleId="MediumGrid1-Accent1223">
    <w:name w:val="Medium Grid 1 - Accent 12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23">
    <w:name w:val="Light Grid - Accent 112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23">
    <w:name w:val="Light Grid - Accent 52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23">
    <w:name w:val="Light Grid - Accent 122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23">
    <w:name w:val="Light List - Accent 52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23">
    <w:name w:val="Light List - Accent 112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23">
    <w:name w:val="Light Grid - Accent 132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23">
    <w:name w:val="Medium Grid 1 - Accent 32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23">
    <w:name w:val="Grid Table 4 Accent 312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28">
    <w:name w:val="No List328"/>
    <w:next w:val="NoList"/>
    <w:uiPriority w:val="99"/>
    <w:unhideWhenUsed/>
    <w:rsid w:val="00C64FC7"/>
  </w:style>
  <w:style w:type="table" w:customStyle="1" w:styleId="MediumGrid1-Accent1323">
    <w:name w:val="Medium Grid 1 - Accent 13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23">
    <w:name w:val="Light Grid - Accent 113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23">
    <w:name w:val="Light Grid - Accent 53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23">
    <w:name w:val="Light Grid - Accent 123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23">
    <w:name w:val="Light List - Accent 53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23">
    <w:name w:val="Light List - Accent 113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23">
    <w:name w:val="Light Grid - Accent 133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23">
    <w:name w:val="Medium Grid 1 - Accent 33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23">
    <w:name w:val="Grid Table 4 Accent 322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3">
    <w:name w:val="Table Grid12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8">
    <w:name w:val="Table Grid218"/>
    <w:basedOn w:val="TableNormal"/>
    <w:next w:val="TableGrid"/>
    <w:uiPriority w:val="3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8">
    <w:name w:val="No List68"/>
    <w:next w:val="NoList"/>
    <w:uiPriority w:val="99"/>
    <w:unhideWhenUsed/>
    <w:rsid w:val="00C64FC7"/>
  </w:style>
  <w:style w:type="table" w:customStyle="1" w:styleId="MediumGrid1-Accent168">
    <w:name w:val="Medium Grid 1 - Accent 168"/>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8">
    <w:name w:val="Light Grid - Accent 1168"/>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8">
    <w:name w:val="Light Grid - Accent 568"/>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8">
    <w:name w:val="Light Grid - Accent 126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8">
    <w:name w:val="Light List - Accent 568"/>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8">
    <w:name w:val="Light List - Accent 1168"/>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8">
    <w:name w:val="Light Grid - Accent 1368"/>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8">
    <w:name w:val="Medium Grid 1 - Accent 368"/>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8">
    <w:name w:val="No List138"/>
    <w:next w:val="NoList"/>
    <w:uiPriority w:val="99"/>
    <w:unhideWhenUsed/>
    <w:rsid w:val="00C64FC7"/>
  </w:style>
  <w:style w:type="numbering" w:customStyle="1" w:styleId="NoList238">
    <w:name w:val="No List238"/>
    <w:next w:val="NoList"/>
    <w:uiPriority w:val="99"/>
    <w:unhideWhenUsed/>
    <w:rsid w:val="00C64FC7"/>
  </w:style>
  <w:style w:type="numbering" w:customStyle="1" w:styleId="NoList338">
    <w:name w:val="No List338"/>
    <w:next w:val="NoList"/>
    <w:uiPriority w:val="99"/>
    <w:unhideWhenUsed/>
    <w:rsid w:val="00C64FC7"/>
  </w:style>
  <w:style w:type="numbering" w:customStyle="1" w:styleId="NoList73">
    <w:name w:val="No List73"/>
    <w:next w:val="NoList"/>
    <w:uiPriority w:val="99"/>
    <w:unhideWhenUsed/>
    <w:rsid w:val="00C64FC7"/>
  </w:style>
  <w:style w:type="table" w:customStyle="1" w:styleId="TableGrid53">
    <w:name w:val="Table Grid5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33">
    <w:name w:val="Medium Grid 3 - Accent 13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73">
    <w:name w:val="Medium Grid 1 - Accent 173"/>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3">
    <w:name w:val="Light Grid - Accent 1173"/>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73">
    <w:name w:val="Light Grid - Accent 573"/>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73">
    <w:name w:val="Light Grid - Accent 1273"/>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73">
    <w:name w:val="Light List - Accent 573"/>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73">
    <w:name w:val="Light List - Accent 1173"/>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73">
    <w:name w:val="Light Grid - Accent 137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73">
    <w:name w:val="Medium Grid 1 - Accent 37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43">
    <w:name w:val="No List143"/>
    <w:next w:val="NoList"/>
    <w:uiPriority w:val="99"/>
    <w:unhideWhenUsed/>
    <w:rsid w:val="00C64FC7"/>
  </w:style>
  <w:style w:type="table" w:customStyle="1" w:styleId="MediumGrid1-Accent1133">
    <w:name w:val="Medium Grid 1 - Accent 11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3">
    <w:name w:val="Light Grid - Accent 11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3">
    <w:name w:val="Light Grid - Accent 513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33">
    <w:name w:val="Light Grid - Accent 12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33">
    <w:name w:val="Light List - Accent 513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3">
    <w:name w:val="Light List - Accent 111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33">
    <w:name w:val="Light Grid - Accent 13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33">
    <w:name w:val="Medium Grid 1 - Accent 31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33">
    <w:name w:val="Grid Table 4 - Accent 313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43">
    <w:name w:val="No List243"/>
    <w:next w:val="NoList"/>
    <w:uiPriority w:val="99"/>
    <w:unhideWhenUsed/>
    <w:rsid w:val="00C64FC7"/>
  </w:style>
  <w:style w:type="table" w:customStyle="1" w:styleId="MediumGrid1-Accent1233">
    <w:name w:val="Medium Grid 1 - Accent 12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33">
    <w:name w:val="Light Grid - Accent 112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33">
    <w:name w:val="Light Grid - Accent 52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33">
    <w:name w:val="Light Grid - Accent 122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33">
    <w:name w:val="Light List - Accent 52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33">
    <w:name w:val="Light List - Accent 112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33">
    <w:name w:val="Light Grid - Accent 132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33">
    <w:name w:val="Medium Grid 1 - Accent 32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33">
    <w:name w:val="Grid Table 4 Accent 313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43">
    <w:name w:val="No List343"/>
    <w:next w:val="NoList"/>
    <w:uiPriority w:val="99"/>
    <w:unhideWhenUsed/>
    <w:rsid w:val="00C64FC7"/>
  </w:style>
  <w:style w:type="table" w:customStyle="1" w:styleId="MediumGrid1-Accent1333">
    <w:name w:val="Medium Grid 1 - Accent 13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33">
    <w:name w:val="Light Grid - Accent 113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33">
    <w:name w:val="Light Grid - Accent 53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33">
    <w:name w:val="Light Grid - Accent 123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33">
    <w:name w:val="Light List - Accent 53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33">
    <w:name w:val="Light List - Accent 113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33">
    <w:name w:val="Light Grid - Accent 133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33">
    <w:name w:val="Medium Grid 1 - Accent 33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33">
    <w:name w:val="Grid Table 4 Accent 323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33">
    <w:name w:val="Table Grid13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3">
    <w:name w:val="No List413"/>
    <w:next w:val="NoList"/>
    <w:uiPriority w:val="99"/>
    <w:unhideWhenUsed/>
    <w:rsid w:val="00C64FC7"/>
  </w:style>
  <w:style w:type="table" w:customStyle="1" w:styleId="MediumGrid1-Accent1413">
    <w:name w:val="Medium Grid 1 - Accent 141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13">
    <w:name w:val="Light Grid - Accent 1141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13">
    <w:name w:val="Light Grid - Accent 541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13">
    <w:name w:val="Light Grid - Accent 124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13">
    <w:name w:val="Light List - Accent 541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13">
    <w:name w:val="Light List - Accent 1141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13">
    <w:name w:val="Light Grid - Accent 134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13">
    <w:name w:val="Medium Grid 1 - Accent 341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13">
    <w:name w:val="Table Grid211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13">
    <w:name w:val="Medium Grid 3 - Accent 111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3">
    <w:name w:val="No List1113"/>
    <w:next w:val="NoList"/>
    <w:uiPriority w:val="99"/>
    <w:unhideWhenUsed/>
    <w:rsid w:val="00C64FC7"/>
  </w:style>
  <w:style w:type="table" w:customStyle="1" w:styleId="MediumGrid1-Accent11113">
    <w:name w:val="Medium Grid 1 - Accent 1111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3">
    <w:name w:val="Light Grid - Accent 111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3">
    <w:name w:val="Light Grid - Accent 5111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3">
    <w:name w:val="Light Grid - Accent 121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3">
    <w:name w:val="Light List - Accent 5111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3">
    <w:name w:val="Light List - Accent 11111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3">
    <w:name w:val="Light Grid - Accent 131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3">
    <w:name w:val="Medium Grid 1 - Accent 3111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13">
    <w:name w:val="Grid Table 4 - Accent 3111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13">
    <w:name w:val="No List2113"/>
    <w:next w:val="NoList"/>
    <w:uiPriority w:val="99"/>
    <w:unhideWhenUsed/>
    <w:rsid w:val="00C64FC7"/>
  </w:style>
  <w:style w:type="table" w:customStyle="1" w:styleId="MediumGrid1-Accent12113">
    <w:name w:val="Medium Grid 1 - Accent 1211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13">
    <w:name w:val="Light Grid - Accent 11211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13">
    <w:name w:val="Light Grid - Accent 5211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13">
    <w:name w:val="Light Grid - Accent 122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13">
    <w:name w:val="Light List - Accent 5211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13">
    <w:name w:val="Light List - Accent 11211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13">
    <w:name w:val="Light Grid - Accent 132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13">
    <w:name w:val="Medium Grid 1 - Accent 3211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13">
    <w:name w:val="Grid Table 4 Accent 3111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13">
    <w:name w:val="No List3113"/>
    <w:next w:val="NoList"/>
    <w:uiPriority w:val="99"/>
    <w:unhideWhenUsed/>
    <w:rsid w:val="00C64FC7"/>
  </w:style>
  <w:style w:type="table" w:customStyle="1" w:styleId="MediumGrid1-Accent13113">
    <w:name w:val="Medium Grid 1 - Accent 1311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13">
    <w:name w:val="Light Grid - Accent 11311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13">
    <w:name w:val="Light Grid - Accent 5311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13">
    <w:name w:val="Light Grid - Accent 123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13">
    <w:name w:val="Light List - Accent 5311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13">
    <w:name w:val="Light List - Accent 11311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13">
    <w:name w:val="Light Grid - Accent 1331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13">
    <w:name w:val="Medium Grid 1 - Accent 3311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13">
    <w:name w:val="Grid Table 4 Accent 3211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13">
    <w:name w:val="Table Grid111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3">
    <w:name w:val="No List513"/>
    <w:next w:val="NoList"/>
    <w:uiPriority w:val="99"/>
    <w:unhideWhenUsed/>
    <w:rsid w:val="00C64FC7"/>
  </w:style>
  <w:style w:type="table" w:customStyle="1" w:styleId="MediumGrid1-Accent1513">
    <w:name w:val="Medium Grid 1 - Accent 151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13">
    <w:name w:val="Light Grid - Accent 1151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13">
    <w:name w:val="Light Grid - Accent 551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13">
    <w:name w:val="Light Grid - Accent 125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13">
    <w:name w:val="Light List - Accent 551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13">
    <w:name w:val="Light List - Accent 1151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13">
    <w:name w:val="Light Grid - Accent 135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13">
    <w:name w:val="Medium Grid 1 - Accent 351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13">
    <w:name w:val="No List1213"/>
    <w:next w:val="NoList"/>
    <w:uiPriority w:val="99"/>
    <w:unhideWhenUsed/>
    <w:rsid w:val="00C64FC7"/>
  </w:style>
  <w:style w:type="numbering" w:customStyle="1" w:styleId="NoList2213">
    <w:name w:val="No List2213"/>
    <w:next w:val="NoList"/>
    <w:uiPriority w:val="99"/>
    <w:unhideWhenUsed/>
    <w:rsid w:val="00C64FC7"/>
  </w:style>
  <w:style w:type="numbering" w:customStyle="1" w:styleId="NoList3213">
    <w:name w:val="No List3213"/>
    <w:next w:val="NoList"/>
    <w:uiPriority w:val="99"/>
    <w:unhideWhenUsed/>
    <w:rsid w:val="00C64FC7"/>
  </w:style>
  <w:style w:type="numbering" w:customStyle="1" w:styleId="NoList613">
    <w:name w:val="No List613"/>
    <w:next w:val="NoList"/>
    <w:uiPriority w:val="99"/>
    <w:unhideWhenUsed/>
    <w:rsid w:val="00C64FC7"/>
  </w:style>
  <w:style w:type="table" w:customStyle="1" w:styleId="MediumGrid1-Accent1613">
    <w:name w:val="Medium Grid 1 - Accent 161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13">
    <w:name w:val="Light Grid - Accent 1161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13">
    <w:name w:val="Light Grid - Accent 561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13">
    <w:name w:val="Light Grid - Accent 126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13">
    <w:name w:val="Light List - Accent 561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13">
    <w:name w:val="Light List - Accent 1161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13">
    <w:name w:val="Light Grid - Accent 1361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13">
    <w:name w:val="Medium Grid 1 - Accent 361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13">
    <w:name w:val="No List1313"/>
    <w:next w:val="NoList"/>
    <w:uiPriority w:val="99"/>
    <w:unhideWhenUsed/>
    <w:rsid w:val="00C64FC7"/>
  </w:style>
  <w:style w:type="numbering" w:customStyle="1" w:styleId="NoList2313">
    <w:name w:val="No List2313"/>
    <w:next w:val="NoList"/>
    <w:uiPriority w:val="99"/>
    <w:unhideWhenUsed/>
    <w:rsid w:val="00C64FC7"/>
  </w:style>
  <w:style w:type="numbering" w:customStyle="1" w:styleId="NoList3313">
    <w:name w:val="No List3313"/>
    <w:next w:val="NoList"/>
    <w:uiPriority w:val="99"/>
    <w:unhideWhenUsed/>
    <w:rsid w:val="00C64FC7"/>
  </w:style>
  <w:style w:type="numbering" w:customStyle="1" w:styleId="NoList83">
    <w:name w:val="No List83"/>
    <w:next w:val="NoList"/>
    <w:uiPriority w:val="99"/>
    <w:unhideWhenUsed/>
    <w:rsid w:val="00C64FC7"/>
  </w:style>
  <w:style w:type="table" w:customStyle="1" w:styleId="TableGrid63">
    <w:name w:val="Table Grid6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43">
    <w:name w:val="Medium Grid 3 - Accent 14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83">
    <w:name w:val="Medium Grid 1 - Accent 183"/>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83">
    <w:name w:val="Light Grid - Accent 1183"/>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83">
    <w:name w:val="Light Grid - Accent 583"/>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83">
    <w:name w:val="Light Grid - Accent 1283"/>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83">
    <w:name w:val="Light List - Accent 583"/>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83">
    <w:name w:val="Light List - Accent 1183"/>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83">
    <w:name w:val="Light Grid - Accent 138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83">
    <w:name w:val="Medium Grid 1 - Accent 38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53">
    <w:name w:val="No List153"/>
    <w:next w:val="NoList"/>
    <w:uiPriority w:val="99"/>
    <w:unhideWhenUsed/>
    <w:rsid w:val="00C64FC7"/>
  </w:style>
  <w:style w:type="table" w:customStyle="1" w:styleId="MediumGrid1-Accent1143">
    <w:name w:val="Medium Grid 1 - Accent 11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3">
    <w:name w:val="Light Grid - Accent 11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3">
    <w:name w:val="Light Grid - Accent 514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43">
    <w:name w:val="Light Grid - Accent 12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43">
    <w:name w:val="Light List - Accent 514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43">
    <w:name w:val="Light List - Accent 111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43">
    <w:name w:val="Light Grid - Accent 13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43">
    <w:name w:val="Medium Grid 1 - Accent 31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43">
    <w:name w:val="Grid Table 4 - Accent 314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53">
    <w:name w:val="No List253"/>
    <w:next w:val="NoList"/>
    <w:uiPriority w:val="99"/>
    <w:unhideWhenUsed/>
    <w:rsid w:val="00C64FC7"/>
  </w:style>
  <w:style w:type="table" w:customStyle="1" w:styleId="MediumGrid1-Accent1243">
    <w:name w:val="Medium Grid 1 - Accent 12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43">
    <w:name w:val="Light Grid - Accent 112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43">
    <w:name w:val="Light Grid - Accent 52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43">
    <w:name w:val="Light Grid - Accent 122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43">
    <w:name w:val="Light List - Accent 52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43">
    <w:name w:val="Light List - Accent 112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43">
    <w:name w:val="Light Grid - Accent 132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43">
    <w:name w:val="Medium Grid 1 - Accent 32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43">
    <w:name w:val="Grid Table 4 Accent 314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53">
    <w:name w:val="No List353"/>
    <w:next w:val="NoList"/>
    <w:uiPriority w:val="99"/>
    <w:unhideWhenUsed/>
    <w:rsid w:val="00C64FC7"/>
  </w:style>
  <w:style w:type="table" w:customStyle="1" w:styleId="MediumGrid1-Accent1343">
    <w:name w:val="Medium Grid 1 - Accent 13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43">
    <w:name w:val="Light Grid - Accent 113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43">
    <w:name w:val="Light Grid - Accent 53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43">
    <w:name w:val="Light Grid - Accent 123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43">
    <w:name w:val="Light List - Accent 53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43">
    <w:name w:val="Light List - Accent 113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43">
    <w:name w:val="Light Grid - Accent 133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43">
    <w:name w:val="Medium Grid 1 - Accent 33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43">
    <w:name w:val="Grid Table 4 Accent 324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3">
    <w:name w:val="Table Grid14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3">
    <w:name w:val="Table Grid233"/>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3">
    <w:name w:val="No List423"/>
    <w:next w:val="NoList"/>
    <w:uiPriority w:val="99"/>
    <w:unhideWhenUsed/>
    <w:rsid w:val="00C64FC7"/>
  </w:style>
  <w:style w:type="table" w:customStyle="1" w:styleId="MediumGrid1-Accent1423">
    <w:name w:val="Medium Grid 1 - Accent 14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23">
    <w:name w:val="Light Grid - Accent 114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23">
    <w:name w:val="Light Grid - Accent 54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23">
    <w:name w:val="Light Grid - Accent 124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23">
    <w:name w:val="Light List - Accent 54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23">
    <w:name w:val="Light List - Accent 114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23">
    <w:name w:val="Light Grid - Accent 134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23">
    <w:name w:val="Medium Grid 1 - Accent 34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23">
    <w:name w:val="Table Grid212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23">
    <w:name w:val="Medium Grid 3 - Accent 112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23">
    <w:name w:val="No List1123"/>
    <w:next w:val="NoList"/>
    <w:uiPriority w:val="99"/>
    <w:unhideWhenUsed/>
    <w:rsid w:val="00C64FC7"/>
  </w:style>
  <w:style w:type="table" w:customStyle="1" w:styleId="MediumGrid1-Accent11123">
    <w:name w:val="Medium Grid 1 - Accent 111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23">
    <w:name w:val="Light Grid - Accent 111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3">
    <w:name w:val="Light Grid - Accent 5112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23">
    <w:name w:val="Light Grid - Accent 121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23">
    <w:name w:val="Light List - Accent 5112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23">
    <w:name w:val="Light List - Accent 1111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23">
    <w:name w:val="Light Grid - Accent 131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23">
    <w:name w:val="Medium Grid 1 - Accent 311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23">
    <w:name w:val="Grid Table 4 - Accent 3112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23">
    <w:name w:val="No List2123"/>
    <w:next w:val="NoList"/>
    <w:uiPriority w:val="99"/>
    <w:unhideWhenUsed/>
    <w:rsid w:val="00C64FC7"/>
  </w:style>
  <w:style w:type="table" w:customStyle="1" w:styleId="MediumGrid1-Accent12123">
    <w:name w:val="Medium Grid 1 - Accent 121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23">
    <w:name w:val="Light Grid - Accent 1121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23">
    <w:name w:val="Light Grid - Accent 521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23">
    <w:name w:val="Light Grid - Accent 122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23">
    <w:name w:val="Light List - Accent 521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23">
    <w:name w:val="Light List - Accent 1121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23">
    <w:name w:val="Light Grid - Accent 132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23">
    <w:name w:val="Medium Grid 1 - Accent 321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23">
    <w:name w:val="Grid Table 4 Accent 3112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23">
    <w:name w:val="No List3123"/>
    <w:next w:val="NoList"/>
    <w:uiPriority w:val="99"/>
    <w:unhideWhenUsed/>
    <w:rsid w:val="00C64FC7"/>
  </w:style>
  <w:style w:type="table" w:customStyle="1" w:styleId="MediumGrid1-Accent13123">
    <w:name w:val="Medium Grid 1 - Accent 131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23">
    <w:name w:val="Light Grid - Accent 1131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23">
    <w:name w:val="Light Grid - Accent 531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23">
    <w:name w:val="Light Grid - Accent 123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23">
    <w:name w:val="Light List - Accent 531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23">
    <w:name w:val="Light List - Accent 1131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23">
    <w:name w:val="Light Grid - Accent 1331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23">
    <w:name w:val="Medium Grid 1 - Accent 331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23">
    <w:name w:val="Grid Table 4 Accent 3212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23">
    <w:name w:val="Table Grid112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3">
    <w:name w:val="No List523"/>
    <w:next w:val="NoList"/>
    <w:uiPriority w:val="99"/>
    <w:unhideWhenUsed/>
    <w:rsid w:val="00C64FC7"/>
  </w:style>
  <w:style w:type="table" w:customStyle="1" w:styleId="MediumGrid1-Accent1523">
    <w:name w:val="Medium Grid 1 - Accent 15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23">
    <w:name w:val="Light Grid - Accent 115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23">
    <w:name w:val="Light Grid - Accent 55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23">
    <w:name w:val="Light Grid - Accent 125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23">
    <w:name w:val="Light List - Accent 55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23">
    <w:name w:val="Light List - Accent 115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23">
    <w:name w:val="Light Grid - Accent 135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23">
    <w:name w:val="Medium Grid 1 - Accent 35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23">
    <w:name w:val="No List1223"/>
    <w:next w:val="NoList"/>
    <w:uiPriority w:val="99"/>
    <w:unhideWhenUsed/>
    <w:rsid w:val="00C64FC7"/>
  </w:style>
  <w:style w:type="numbering" w:customStyle="1" w:styleId="NoList2223">
    <w:name w:val="No List2223"/>
    <w:next w:val="NoList"/>
    <w:uiPriority w:val="99"/>
    <w:unhideWhenUsed/>
    <w:rsid w:val="00C64FC7"/>
  </w:style>
  <w:style w:type="numbering" w:customStyle="1" w:styleId="NoList3223">
    <w:name w:val="No List3223"/>
    <w:next w:val="NoList"/>
    <w:uiPriority w:val="99"/>
    <w:unhideWhenUsed/>
    <w:rsid w:val="00C64FC7"/>
  </w:style>
  <w:style w:type="numbering" w:customStyle="1" w:styleId="NoList623">
    <w:name w:val="No List623"/>
    <w:next w:val="NoList"/>
    <w:uiPriority w:val="99"/>
    <w:unhideWhenUsed/>
    <w:rsid w:val="00C64FC7"/>
  </w:style>
  <w:style w:type="table" w:customStyle="1" w:styleId="MediumGrid1-Accent1623">
    <w:name w:val="Medium Grid 1 - Accent 162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23">
    <w:name w:val="Light Grid - Accent 1162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23">
    <w:name w:val="Light Grid - Accent 562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23">
    <w:name w:val="Light Grid - Accent 126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23">
    <w:name w:val="Light List - Accent 562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23">
    <w:name w:val="Light List - Accent 1162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23">
    <w:name w:val="Light Grid - Accent 1362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23">
    <w:name w:val="Medium Grid 1 - Accent 362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23">
    <w:name w:val="No List1323"/>
    <w:next w:val="NoList"/>
    <w:uiPriority w:val="99"/>
    <w:unhideWhenUsed/>
    <w:rsid w:val="00C64FC7"/>
  </w:style>
  <w:style w:type="numbering" w:customStyle="1" w:styleId="NoList2323">
    <w:name w:val="No List2323"/>
    <w:next w:val="NoList"/>
    <w:uiPriority w:val="99"/>
    <w:unhideWhenUsed/>
    <w:rsid w:val="00C64FC7"/>
  </w:style>
  <w:style w:type="numbering" w:customStyle="1" w:styleId="NoList3323">
    <w:name w:val="No List3323"/>
    <w:next w:val="NoList"/>
    <w:uiPriority w:val="99"/>
    <w:unhideWhenUsed/>
    <w:rsid w:val="00C64FC7"/>
  </w:style>
  <w:style w:type="numbering" w:customStyle="1" w:styleId="NoList93">
    <w:name w:val="No List93"/>
    <w:next w:val="NoList"/>
    <w:uiPriority w:val="99"/>
    <w:unhideWhenUsed/>
    <w:rsid w:val="00C64FC7"/>
  </w:style>
  <w:style w:type="table" w:customStyle="1" w:styleId="TableGrid73">
    <w:name w:val="Table Grid7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53">
    <w:name w:val="Medium Grid 3 - Accent 15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93">
    <w:name w:val="Medium Grid 1 - Accent 193"/>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3">
    <w:name w:val="Light Grid - Accent 1193"/>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93">
    <w:name w:val="Light Grid - Accent 593"/>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93">
    <w:name w:val="Light Grid - Accent 1293"/>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93">
    <w:name w:val="Light List - Accent 593"/>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3">
    <w:name w:val="Light List - Accent 1193"/>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93">
    <w:name w:val="Light Grid - Accent 139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93">
    <w:name w:val="Medium Grid 1 - Accent 39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63">
    <w:name w:val="No List163"/>
    <w:next w:val="NoList"/>
    <w:uiPriority w:val="99"/>
    <w:unhideWhenUsed/>
    <w:rsid w:val="00C64FC7"/>
  </w:style>
  <w:style w:type="table" w:customStyle="1" w:styleId="MediumGrid1-Accent1153">
    <w:name w:val="Medium Grid 1 - Accent 11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3">
    <w:name w:val="Light Grid - Accent 11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3">
    <w:name w:val="Light Grid - Accent 515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53">
    <w:name w:val="Light Grid - Accent 12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53">
    <w:name w:val="Light List - Accent 515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53">
    <w:name w:val="Light List - Accent 111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53">
    <w:name w:val="Light Grid - Accent 13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53">
    <w:name w:val="Medium Grid 1 - Accent 31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53">
    <w:name w:val="Grid Table 4 - Accent 315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63">
    <w:name w:val="No List263"/>
    <w:next w:val="NoList"/>
    <w:uiPriority w:val="99"/>
    <w:unhideWhenUsed/>
    <w:rsid w:val="00C64FC7"/>
  </w:style>
  <w:style w:type="table" w:customStyle="1" w:styleId="MediumGrid1-Accent1253">
    <w:name w:val="Medium Grid 1 - Accent 12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53">
    <w:name w:val="Light Grid - Accent 112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53">
    <w:name w:val="Light Grid - Accent 52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53">
    <w:name w:val="Light Grid - Accent 122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53">
    <w:name w:val="Light List - Accent 52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53">
    <w:name w:val="Light List - Accent 112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53">
    <w:name w:val="Light Grid - Accent 132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53">
    <w:name w:val="Medium Grid 1 - Accent 32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53">
    <w:name w:val="Grid Table 4 Accent 315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63">
    <w:name w:val="No List363"/>
    <w:next w:val="NoList"/>
    <w:uiPriority w:val="99"/>
    <w:unhideWhenUsed/>
    <w:rsid w:val="00C64FC7"/>
  </w:style>
  <w:style w:type="table" w:customStyle="1" w:styleId="MediumGrid1-Accent1353">
    <w:name w:val="Medium Grid 1 - Accent 13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53">
    <w:name w:val="Light Grid - Accent 113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53">
    <w:name w:val="Light Grid - Accent 53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53">
    <w:name w:val="Light Grid - Accent 123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53">
    <w:name w:val="Light List - Accent 53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53">
    <w:name w:val="Light List - Accent 113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53">
    <w:name w:val="Light Grid - Accent 133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53">
    <w:name w:val="Medium Grid 1 - Accent 33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53">
    <w:name w:val="Grid Table 4 Accent 325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53">
    <w:name w:val="Table Grid15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3">
    <w:name w:val="Table Grid243"/>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3">
    <w:name w:val="No List433"/>
    <w:next w:val="NoList"/>
    <w:uiPriority w:val="99"/>
    <w:unhideWhenUsed/>
    <w:rsid w:val="00C64FC7"/>
  </w:style>
  <w:style w:type="table" w:customStyle="1" w:styleId="MediumGrid1-Accent1433">
    <w:name w:val="Medium Grid 1 - Accent 14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33">
    <w:name w:val="Light Grid - Accent 114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33">
    <w:name w:val="Light Grid - Accent 54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33">
    <w:name w:val="Light Grid - Accent 124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33">
    <w:name w:val="Light List - Accent 54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33">
    <w:name w:val="Light List - Accent 114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33">
    <w:name w:val="Light Grid - Accent 134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33">
    <w:name w:val="Medium Grid 1 - Accent 34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33">
    <w:name w:val="Table Grid213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33">
    <w:name w:val="Medium Grid 3 - Accent 113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33">
    <w:name w:val="No List1133"/>
    <w:next w:val="NoList"/>
    <w:uiPriority w:val="99"/>
    <w:unhideWhenUsed/>
    <w:rsid w:val="00C64FC7"/>
  </w:style>
  <w:style w:type="table" w:customStyle="1" w:styleId="MediumGrid1-Accent11133">
    <w:name w:val="Medium Grid 1 - Accent 111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33">
    <w:name w:val="Light Grid - Accent 111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3">
    <w:name w:val="Light Grid - Accent 5113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33">
    <w:name w:val="Light Grid - Accent 121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33">
    <w:name w:val="Light List - Accent 5113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3">
    <w:name w:val="Light List - Accent 1111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33">
    <w:name w:val="Light Grid - Accent 131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33">
    <w:name w:val="Medium Grid 1 - Accent 311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33">
    <w:name w:val="Grid Table 4 - Accent 3113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33">
    <w:name w:val="No List2133"/>
    <w:next w:val="NoList"/>
    <w:uiPriority w:val="99"/>
    <w:unhideWhenUsed/>
    <w:rsid w:val="00C64FC7"/>
  </w:style>
  <w:style w:type="table" w:customStyle="1" w:styleId="MediumGrid1-Accent12133">
    <w:name w:val="Medium Grid 1 - Accent 121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33">
    <w:name w:val="Light Grid - Accent 1121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33">
    <w:name w:val="Light Grid - Accent 521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33">
    <w:name w:val="Light Grid - Accent 122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33">
    <w:name w:val="Light List - Accent 521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33">
    <w:name w:val="Light List - Accent 1121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33">
    <w:name w:val="Light Grid - Accent 132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33">
    <w:name w:val="Medium Grid 1 - Accent 321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33">
    <w:name w:val="Grid Table 4 Accent 3113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33">
    <w:name w:val="No List3133"/>
    <w:next w:val="NoList"/>
    <w:uiPriority w:val="99"/>
    <w:unhideWhenUsed/>
    <w:rsid w:val="00C64FC7"/>
  </w:style>
  <w:style w:type="table" w:customStyle="1" w:styleId="MediumGrid1-Accent13133">
    <w:name w:val="Medium Grid 1 - Accent 131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33">
    <w:name w:val="Light Grid - Accent 1131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33">
    <w:name w:val="Light Grid - Accent 531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33">
    <w:name w:val="Light Grid - Accent 123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33">
    <w:name w:val="Light List - Accent 531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33">
    <w:name w:val="Light List - Accent 1131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33">
    <w:name w:val="Light Grid - Accent 1331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33">
    <w:name w:val="Medium Grid 1 - Accent 331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33">
    <w:name w:val="Grid Table 4 Accent 3213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33">
    <w:name w:val="Table Grid113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3">
    <w:name w:val="No List533"/>
    <w:next w:val="NoList"/>
    <w:uiPriority w:val="99"/>
    <w:unhideWhenUsed/>
    <w:rsid w:val="00C64FC7"/>
  </w:style>
  <w:style w:type="table" w:customStyle="1" w:styleId="MediumGrid1-Accent1533">
    <w:name w:val="Medium Grid 1 - Accent 15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33">
    <w:name w:val="Light Grid - Accent 115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33">
    <w:name w:val="Light Grid - Accent 55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33">
    <w:name w:val="Light Grid - Accent 125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33">
    <w:name w:val="Light List - Accent 55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33">
    <w:name w:val="Light List - Accent 115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33">
    <w:name w:val="Light Grid - Accent 135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33">
    <w:name w:val="Medium Grid 1 - Accent 35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33">
    <w:name w:val="No List1233"/>
    <w:next w:val="NoList"/>
    <w:uiPriority w:val="99"/>
    <w:unhideWhenUsed/>
    <w:rsid w:val="00C64FC7"/>
  </w:style>
  <w:style w:type="numbering" w:customStyle="1" w:styleId="NoList2233">
    <w:name w:val="No List2233"/>
    <w:next w:val="NoList"/>
    <w:uiPriority w:val="99"/>
    <w:unhideWhenUsed/>
    <w:rsid w:val="00C64FC7"/>
  </w:style>
  <w:style w:type="numbering" w:customStyle="1" w:styleId="NoList3233">
    <w:name w:val="No List3233"/>
    <w:next w:val="NoList"/>
    <w:uiPriority w:val="99"/>
    <w:unhideWhenUsed/>
    <w:rsid w:val="00C64FC7"/>
  </w:style>
  <w:style w:type="numbering" w:customStyle="1" w:styleId="NoList633">
    <w:name w:val="No List633"/>
    <w:next w:val="NoList"/>
    <w:uiPriority w:val="99"/>
    <w:unhideWhenUsed/>
    <w:rsid w:val="00C64FC7"/>
  </w:style>
  <w:style w:type="table" w:customStyle="1" w:styleId="MediumGrid1-Accent1633">
    <w:name w:val="Medium Grid 1 - Accent 163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33">
    <w:name w:val="Light Grid - Accent 1163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33">
    <w:name w:val="Light Grid - Accent 563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33">
    <w:name w:val="Light Grid - Accent 126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33">
    <w:name w:val="Light List - Accent 563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33">
    <w:name w:val="Light List - Accent 1163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33">
    <w:name w:val="Light Grid - Accent 1363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33">
    <w:name w:val="Medium Grid 1 - Accent 363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33">
    <w:name w:val="No List1333"/>
    <w:next w:val="NoList"/>
    <w:uiPriority w:val="99"/>
    <w:unhideWhenUsed/>
    <w:rsid w:val="00C64FC7"/>
  </w:style>
  <w:style w:type="numbering" w:customStyle="1" w:styleId="NoList2333">
    <w:name w:val="No List2333"/>
    <w:next w:val="NoList"/>
    <w:uiPriority w:val="99"/>
    <w:unhideWhenUsed/>
    <w:rsid w:val="00C64FC7"/>
  </w:style>
  <w:style w:type="numbering" w:customStyle="1" w:styleId="NoList3333">
    <w:name w:val="No List3333"/>
    <w:next w:val="NoList"/>
    <w:uiPriority w:val="99"/>
    <w:unhideWhenUsed/>
    <w:rsid w:val="00C64FC7"/>
  </w:style>
  <w:style w:type="numbering" w:customStyle="1" w:styleId="NoList103">
    <w:name w:val="No List103"/>
    <w:next w:val="NoList"/>
    <w:uiPriority w:val="99"/>
    <w:unhideWhenUsed/>
    <w:rsid w:val="00C64FC7"/>
  </w:style>
  <w:style w:type="table" w:customStyle="1" w:styleId="TableGrid83">
    <w:name w:val="Table Grid8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63">
    <w:name w:val="Medium Grid 3 - Accent 16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03">
    <w:name w:val="Medium Grid 1 - Accent 1103"/>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3">
    <w:name w:val="Light Grid - Accent 11103"/>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03">
    <w:name w:val="Light Grid - Accent 5103"/>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03">
    <w:name w:val="Light Grid - Accent 12103"/>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03">
    <w:name w:val="Light List - Accent 5103"/>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03">
    <w:name w:val="Light List - Accent 11103"/>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03">
    <w:name w:val="Light Grid - Accent 1310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03">
    <w:name w:val="Medium Grid 1 - Accent 310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73">
    <w:name w:val="No List173"/>
    <w:next w:val="NoList"/>
    <w:uiPriority w:val="99"/>
    <w:unhideWhenUsed/>
    <w:rsid w:val="00C64FC7"/>
  </w:style>
  <w:style w:type="table" w:customStyle="1" w:styleId="MediumGrid1-Accent1163">
    <w:name w:val="Medium Grid 1 - Accent 116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63">
    <w:name w:val="Light Grid - Accent 111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3">
    <w:name w:val="Light Grid - Accent 516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63">
    <w:name w:val="Light Grid - Accent 121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63">
    <w:name w:val="Light List - Accent 516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63">
    <w:name w:val="Light List - Accent 1116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63">
    <w:name w:val="Light Grid - Accent 131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63">
    <w:name w:val="Medium Grid 1 - Accent 316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63">
    <w:name w:val="Grid Table 4 - Accent 316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73">
    <w:name w:val="No List273"/>
    <w:next w:val="NoList"/>
    <w:uiPriority w:val="99"/>
    <w:unhideWhenUsed/>
    <w:rsid w:val="00C64FC7"/>
  </w:style>
  <w:style w:type="table" w:customStyle="1" w:styleId="MediumGrid1-Accent1263">
    <w:name w:val="Medium Grid 1 - Accent 126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63">
    <w:name w:val="Light Grid - Accent 1126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63">
    <w:name w:val="Light Grid - Accent 526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63">
    <w:name w:val="Light Grid - Accent 122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63">
    <w:name w:val="Light List - Accent 526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63">
    <w:name w:val="Light List - Accent 1126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63">
    <w:name w:val="Light Grid - Accent 132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63">
    <w:name w:val="Medium Grid 1 - Accent 326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63">
    <w:name w:val="Grid Table 4 Accent 316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73">
    <w:name w:val="No List373"/>
    <w:next w:val="NoList"/>
    <w:uiPriority w:val="99"/>
    <w:unhideWhenUsed/>
    <w:rsid w:val="00C64FC7"/>
  </w:style>
  <w:style w:type="table" w:customStyle="1" w:styleId="MediumGrid1-Accent1363">
    <w:name w:val="Medium Grid 1 - Accent 136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63">
    <w:name w:val="Light Grid - Accent 1136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63">
    <w:name w:val="Light Grid - Accent 536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63">
    <w:name w:val="Light Grid - Accent 123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63">
    <w:name w:val="Light List - Accent 536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63">
    <w:name w:val="Light List - Accent 1136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63">
    <w:name w:val="Light Grid - Accent 1336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63">
    <w:name w:val="Medium Grid 1 - Accent 336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63">
    <w:name w:val="Grid Table 4 Accent 326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63">
    <w:name w:val="Table Grid16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3">
    <w:name w:val="Table Grid253"/>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3">
    <w:name w:val="No List443"/>
    <w:next w:val="NoList"/>
    <w:uiPriority w:val="99"/>
    <w:unhideWhenUsed/>
    <w:rsid w:val="00C64FC7"/>
  </w:style>
  <w:style w:type="table" w:customStyle="1" w:styleId="MediumGrid1-Accent1443">
    <w:name w:val="Medium Grid 1 - Accent 14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43">
    <w:name w:val="Light Grid - Accent 114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43">
    <w:name w:val="Light Grid - Accent 54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43">
    <w:name w:val="Light Grid - Accent 124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43">
    <w:name w:val="Light List - Accent 54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43">
    <w:name w:val="Light List - Accent 114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43">
    <w:name w:val="Light Grid - Accent 134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43">
    <w:name w:val="Medium Grid 1 - Accent 34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43">
    <w:name w:val="Table Grid214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43">
    <w:name w:val="Medium Grid 3 - Accent 114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43">
    <w:name w:val="No List1143"/>
    <w:next w:val="NoList"/>
    <w:uiPriority w:val="99"/>
    <w:unhideWhenUsed/>
    <w:rsid w:val="00C64FC7"/>
  </w:style>
  <w:style w:type="table" w:customStyle="1" w:styleId="MediumGrid1-Accent11143">
    <w:name w:val="Medium Grid 1 - Accent 111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43">
    <w:name w:val="Light Grid - Accent 111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43">
    <w:name w:val="Light Grid - Accent 5114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43">
    <w:name w:val="Light Grid - Accent 121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43">
    <w:name w:val="Light List - Accent 5114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43">
    <w:name w:val="Light List - Accent 1111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43">
    <w:name w:val="Light Grid - Accent 131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43">
    <w:name w:val="Medium Grid 1 - Accent 311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43">
    <w:name w:val="Grid Table 4 - Accent 3114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43">
    <w:name w:val="No List2143"/>
    <w:next w:val="NoList"/>
    <w:uiPriority w:val="99"/>
    <w:unhideWhenUsed/>
    <w:rsid w:val="00C64FC7"/>
  </w:style>
  <w:style w:type="table" w:customStyle="1" w:styleId="MediumGrid1-Accent12143">
    <w:name w:val="Medium Grid 1 - Accent 121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43">
    <w:name w:val="Light Grid - Accent 1121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43">
    <w:name w:val="Light Grid - Accent 521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43">
    <w:name w:val="Light Grid - Accent 122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43">
    <w:name w:val="Light List - Accent 521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43">
    <w:name w:val="Light List - Accent 1121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43">
    <w:name w:val="Light Grid - Accent 132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43">
    <w:name w:val="Medium Grid 1 - Accent 321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43">
    <w:name w:val="Grid Table 4 Accent 3114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43">
    <w:name w:val="No List3143"/>
    <w:next w:val="NoList"/>
    <w:uiPriority w:val="99"/>
    <w:unhideWhenUsed/>
    <w:rsid w:val="00C64FC7"/>
  </w:style>
  <w:style w:type="table" w:customStyle="1" w:styleId="MediumGrid1-Accent13143">
    <w:name w:val="Medium Grid 1 - Accent 131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43">
    <w:name w:val="Light Grid - Accent 1131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43">
    <w:name w:val="Light Grid - Accent 531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43">
    <w:name w:val="Light Grid - Accent 123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43">
    <w:name w:val="Light List - Accent 531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43">
    <w:name w:val="Light List - Accent 1131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43">
    <w:name w:val="Light Grid - Accent 1331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43">
    <w:name w:val="Medium Grid 1 - Accent 331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43">
    <w:name w:val="Grid Table 4 Accent 3214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43">
    <w:name w:val="Table Grid114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43">
    <w:name w:val="No List543"/>
    <w:next w:val="NoList"/>
    <w:uiPriority w:val="99"/>
    <w:unhideWhenUsed/>
    <w:rsid w:val="00C64FC7"/>
  </w:style>
  <w:style w:type="table" w:customStyle="1" w:styleId="MediumGrid1-Accent1543">
    <w:name w:val="Medium Grid 1 - Accent 15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43">
    <w:name w:val="Light Grid - Accent 115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43">
    <w:name w:val="Light Grid - Accent 55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43">
    <w:name w:val="Light Grid - Accent 125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43">
    <w:name w:val="Light List - Accent 55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43">
    <w:name w:val="Light List - Accent 115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43">
    <w:name w:val="Light Grid - Accent 135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43">
    <w:name w:val="Medium Grid 1 - Accent 35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43">
    <w:name w:val="No List1243"/>
    <w:next w:val="NoList"/>
    <w:uiPriority w:val="99"/>
    <w:unhideWhenUsed/>
    <w:rsid w:val="00C64FC7"/>
  </w:style>
  <w:style w:type="numbering" w:customStyle="1" w:styleId="NoList2243">
    <w:name w:val="No List2243"/>
    <w:next w:val="NoList"/>
    <w:uiPriority w:val="99"/>
    <w:unhideWhenUsed/>
    <w:rsid w:val="00C64FC7"/>
  </w:style>
  <w:style w:type="numbering" w:customStyle="1" w:styleId="NoList3243">
    <w:name w:val="No List3243"/>
    <w:next w:val="NoList"/>
    <w:uiPriority w:val="99"/>
    <w:unhideWhenUsed/>
    <w:rsid w:val="00C64FC7"/>
  </w:style>
  <w:style w:type="numbering" w:customStyle="1" w:styleId="NoList643">
    <w:name w:val="No List643"/>
    <w:next w:val="NoList"/>
    <w:uiPriority w:val="99"/>
    <w:unhideWhenUsed/>
    <w:rsid w:val="00C64FC7"/>
  </w:style>
  <w:style w:type="table" w:customStyle="1" w:styleId="MediumGrid1-Accent1643">
    <w:name w:val="Medium Grid 1 - Accent 164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43">
    <w:name w:val="Light Grid - Accent 1164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43">
    <w:name w:val="Light Grid - Accent 564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43">
    <w:name w:val="Light Grid - Accent 126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43">
    <w:name w:val="Light List - Accent 564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43">
    <w:name w:val="Light List - Accent 1164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43">
    <w:name w:val="Light Grid - Accent 1364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43">
    <w:name w:val="Medium Grid 1 - Accent 364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43">
    <w:name w:val="No List1343"/>
    <w:next w:val="NoList"/>
    <w:uiPriority w:val="99"/>
    <w:unhideWhenUsed/>
    <w:rsid w:val="00C64FC7"/>
  </w:style>
  <w:style w:type="numbering" w:customStyle="1" w:styleId="NoList2343">
    <w:name w:val="No List2343"/>
    <w:next w:val="NoList"/>
    <w:uiPriority w:val="99"/>
    <w:unhideWhenUsed/>
    <w:rsid w:val="00C64FC7"/>
  </w:style>
  <w:style w:type="numbering" w:customStyle="1" w:styleId="NoList3343">
    <w:name w:val="No List3343"/>
    <w:next w:val="NoList"/>
    <w:uiPriority w:val="99"/>
    <w:unhideWhenUsed/>
    <w:rsid w:val="00C64FC7"/>
  </w:style>
  <w:style w:type="numbering" w:customStyle="1" w:styleId="NoList183">
    <w:name w:val="No List183"/>
    <w:next w:val="NoList"/>
    <w:uiPriority w:val="99"/>
    <w:unhideWhenUsed/>
    <w:rsid w:val="00C64FC7"/>
  </w:style>
  <w:style w:type="table" w:customStyle="1" w:styleId="TableGrid93">
    <w:name w:val="Table Grid9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73">
    <w:name w:val="Medium Grid 3 - Accent 17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73">
    <w:name w:val="Medium Grid 1 - Accent 1173"/>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73">
    <w:name w:val="Light Grid - Accent 11173"/>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73">
    <w:name w:val="Light Grid - Accent 5173"/>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73">
    <w:name w:val="Light Grid - Accent 12173"/>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73">
    <w:name w:val="Light List - Accent 5173"/>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73">
    <w:name w:val="Light List - Accent 11173"/>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73">
    <w:name w:val="Light Grid - Accent 1317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73">
    <w:name w:val="Medium Grid 1 - Accent 317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93">
    <w:name w:val="No List193"/>
    <w:next w:val="NoList"/>
    <w:uiPriority w:val="99"/>
    <w:unhideWhenUsed/>
    <w:rsid w:val="00C64FC7"/>
  </w:style>
  <w:style w:type="table" w:customStyle="1" w:styleId="MediumGrid1-Accent1183">
    <w:name w:val="Medium Grid 1 - Accent 118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83">
    <w:name w:val="Light Grid - Accent 1118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83">
    <w:name w:val="Light Grid - Accent 518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83">
    <w:name w:val="Light Grid - Accent 1218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83">
    <w:name w:val="Light List - Accent 518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83">
    <w:name w:val="Light List - Accent 1118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83">
    <w:name w:val="Light Grid - Accent 1318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83">
    <w:name w:val="Medium Grid 1 - Accent 318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73">
    <w:name w:val="Grid Table 4 - Accent 317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83">
    <w:name w:val="No List283"/>
    <w:next w:val="NoList"/>
    <w:uiPriority w:val="99"/>
    <w:unhideWhenUsed/>
    <w:rsid w:val="00C64FC7"/>
  </w:style>
  <w:style w:type="table" w:customStyle="1" w:styleId="MediumGrid1-Accent1273">
    <w:name w:val="Medium Grid 1 - Accent 127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73">
    <w:name w:val="Light Grid - Accent 1127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73">
    <w:name w:val="Light Grid - Accent 527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73">
    <w:name w:val="Light Grid - Accent 1227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73">
    <w:name w:val="Light List - Accent 527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73">
    <w:name w:val="Light List - Accent 1127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73">
    <w:name w:val="Light Grid - Accent 1327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73">
    <w:name w:val="Medium Grid 1 - Accent 327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73">
    <w:name w:val="Grid Table 4 Accent 317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83">
    <w:name w:val="No List383"/>
    <w:next w:val="NoList"/>
    <w:uiPriority w:val="99"/>
    <w:unhideWhenUsed/>
    <w:rsid w:val="00C64FC7"/>
  </w:style>
  <w:style w:type="table" w:customStyle="1" w:styleId="MediumGrid1-Accent1373">
    <w:name w:val="Medium Grid 1 - Accent 137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73">
    <w:name w:val="Light Grid - Accent 1137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73">
    <w:name w:val="Light Grid - Accent 537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73">
    <w:name w:val="Light Grid - Accent 1237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73">
    <w:name w:val="Light List - Accent 537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73">
    <w:name w:val="Light List - Accent 1137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73">
    <w:name w:val="Light Grid - Accent 1337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73">
    <w:name w:val="Medium Grid 1 - Accent 337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73">
    <w:name w:val="Grid Table 4 Accent 327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73">
    <w:name w:val="Table Grid17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3">
    <w:name w:val="Table Grid263"/>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53">
    <w:name w:val="No List453"/>
    <w:next w:val="NoList"/>
    <w:uiPriority w:val="99"/>
    <w:unhideWhenUsed/>
    <w:rsid w:val="00C64FC7"/>
  </w:style>
  <w:style w:type="table" w:customStyle="1" w:styleId="MediumGrid1-Accent1453">
    <w:name w:val="Medium Grid 1 - Accent 14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53">
    <w:name w:val="Light Grid - Accent 114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53">
    <w:name w:val="Light Grid - Accent 54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53">
    <w:name w:val="Light Grid - Accent 124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53">
    <w:name w:val="Light List - Accent 54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53">
    <w:name w:val="Light List - Accent 114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53">
    <w:name w:val="Light Grid - Accent 134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53">
    <w:name w:val="Medium Grid 1 - Accent 34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53">
    <w:name w:val="Table Grid2153"/>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53">
    <w:name w:val="Medium Grid 3 - Accent 1153"/>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53">
    <w:name w:val="No List1153"/>
    <w:next w:val="NoList"/>
    <w:uiPriority w:val="99"/>
    <w:unhideWhenUsed/>
    <w:rsid w:val="00C64FC7"/>
  </w:style>
  <w:style w:type="table" w:customStyle="1" w:styleId="MediumGrid1-Accent11153">
    <w:name w:val="Medium Grid 1 - Accent 111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53">
    <w:name w:val="Light Grid - Accent 111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53">
    <w:name w:val="Light Grid - Accent 51153"/>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53">
    <w:name w:val="Light Grid - Accent 121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53">
    <w:name w:val="Light List - Accent 51153"/>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53">
    <w:name w:val="Light List - Accent 1111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53">
    <w:name w:val="Light Grid - Accent 131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53">
    <w:name w:val="Medium Grid 1 - Accent 311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53">
    <w:name w:val="Grid Table 4 - Accent 3115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53">
    <w:name w:val="No List2153"/>
    <w:next w:val="NoList"/>
    <w:uiPriority w:val="99"/>
    <w:unhideWhenUsed/>
    <w:rsid w:val="00C64FC7"/>
  </w:style>
  <w:style w:type="table" w:customStyle="1" w:styleId="MediumGrid1-Accent12153">
    <w:name w:val="Medium Grid 1 - Accent 121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53">
    <w:name w:val="Light Grid - Accent 1121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53">
    <w:name w:val="Light Grid - Accent 521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53">
    <w:name w:val="Light Grid - Accent 122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53">
    <w:name w:val="Light List - Accent 521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53">
    <w:name w:val="Light List - Accent 1121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53">
    <w:name w:val="Light Grid - Accent 132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53">
    <w:name w:val="Medium Grid 1 - Accent 321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53">
    <w:name w:val="Grid Table 4 Accent 3115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53">
    <w:name w:val="No List3153"/>
    <w:next w:val="NoList"/>
    <w:uiPriority w:val="99"/>
    <w:unhideWhenUsed/>
    <w:rsid w:val="00C64FC7"/>
  </w:style>
  <w:style w:type="table" w:customStyle="1" w:styleId="MediumGrid1-Accent13153">
    <w:name w:val="Medium Grid 1 - Accent 131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53">
    <w:name w:val="Light Grid - Accent 1131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53">
    <w:name w:val="Light Grid - Accent 531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53">
    <w:name w:val="Light Grid - Accent 123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53">
    <w:name w:val="Light List - Accent 531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53">
    <w:name w:val="Light List - Accent 1131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53">
    <w:name w:val="Light Grid - Accent 1331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53">
    <w:name w:val="Medium Grid 1 - Accent 331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53">
    <w:name w:val="Grid Table 4 Accent 32153"/>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53">
    <w:name w:val="Table Grid1153"/>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53">
    <w:name w:val="No List553"/>
    <w:next w:val="NoList"/>
    <w:uiPriority w:val="99"/>
    <w:unhideWhenUsed/>
    <w:rsid w:val="00C64FC7"/>
  </w:style>
  <w:style w:type="table" w:customStyle="1" w:styleId="MediumGrid1-Accent1553">
    <w:name w:val="Medium Grid 1 - Accent 15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53">
    <w:name w:val="Light Grid - Accent 115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53">
    <w:name w:val="Light Grid - Accent 55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53">
    <w:name w:val="Light Grid - Accent 125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53">
    <w:name w:val="Light List - Accent 55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53">
    <w:name w:val="Light List - Accent 115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53">
    <w:name w:val="Light Grid - Accent 135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53">
    <w:name w:val="Medium Grid 1 - Accent 35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53">
    <w:name w:val="No List1253"/>
    <w:next w:val="NoList"/>
    <w:uiPriority w:val="99"/>
    <w:unhideWhenUsed/>
    <w:rsid w:val="00C64FC7"/>
  </w:style>
  <w:style w:type="numbering" w:customStyle="1" w:styleId="NoList2253">
    <w:name w:val="No List2253"/>
    <w:next w:val="NoList"/>
    <w:uiPriority w:val="99"/>
    <w:unhideWhenUsed/>
    <w:rsid w:val="00C64FC7"/>
  </w:style>
  <w:style w:type="numbering" w:customStyle="1" w:styleId="NoList3253">
    <w:name w:val="No List3253"/>
    <w:next w:val="NoList"/>
    <w:uiPriority w:val="99"/>
    <w:unhideWhenUsed/>
    <w:rsid w:val="00C64FC7"/>
  </w:style>
  <w:style w:type="numbering" w:customStyle="1" w:styleId="NoList653">
    <w:name w:val="No List653"/>
    <w:next w:val="NoList"/>
    <w:uiPriority w:val="99"/>
    <w:unhideWhenUsed/>
    <w:rsid w:val="00C64FC7"/>
  </w:style>
  <w:style w:type="table" w:customStyle="1" w:styleId="MediumGrid1-Accent1653">
    <w:name w:val="Medium Grid 1 - Accent 1653"/>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53">
    <w:name w:val="Light Grid - Accent 11653"/>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53">
    <w:name w:val="Light Grid - Accent 5653"/>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53">
    <w:name w:val="Light Grid - Accent 126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53">
    <w:name w:val="Light List - Accent 5653"/>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53">
    <w:name w:val="Light List - Accent 11653"/>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53">
    <w:name w:val="Light Grid - Accent 13653"/>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53">
    <w:name w:val="Medium Grid 1 - Accent 3653"/>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53">
    <w:name w:val="No List1353"/>
    <w:next w:val="NoList"/>
    <w:uiPriority w:val="99"/>
    <w:unhideWhenUsed/>
    <w:rsid w:val="00C64FC7"/>
  </w:style>
  <w:style w:type="numbering" w:customStyle="1" w:styleId="NoList2353">
    <w:name w:val="No List2353"/>
    <w:next w:val="NoList"/>
    <w:uiPriority w:val="99"/>
    <w:unhideWhenUsed/>
    <w:rsid w:val="00C64FC7"/>
  </w:style>
  <w:style w:type="numbering" w:customStyle="1" w:styleId="NoList3353">
    <w:name w:val="No List3353"/>
    <w:next w:val="NoList"/>
    <w:uiPriority w:val="99"/>
    <w:unhideWhenUsed/>
    <w:rsid w:val="00C64FC7"/>
  </w:style>
  <w:style w:type="numbering" w:customStyle="1" w:styleId="NoList202">
    <w:name w:val="No List202"/>
    <w:next w:val="NoList"/>
    <w:uiPriority w:val="99"/>
    <w:unhideWhenUsed/>
    <w:rsid w:val="00C64FC7"/>
  </w:style>
  <w:style w:type="table" w:customStyle="1" w:styleId="TableGrid102">
    <w:name w:val="Table Grid10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82">
    <w:name w:val="Medium Grid 3 - Accent 18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92">
    <w:name w:val="Medium Grid 1 - Accent 119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92">
    <w:name w:val="Light Grid - Accent 1119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92">
    <w:name w:val="Light Grid - Accent 519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92">
    <w:name w:val="Light Grid - Accent 1219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92">
    <w:name w:val="Light List - Accent 519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92">
    <w:name w:val="Light List - Accent 1119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92">
    <w:name w:val="Light Grid - Accent 1319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92">
    <w:name w:val="Medium Grid 1 - Accent 319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102">
    <w:name w:val="No List1102"/>
    <w:next w:val="NoList"/>
    <w:uiPriority w:val="99"/>
    <w:unhideWhenUsed/>
    <w:rsid w:val="00C64FC7"/>
  </w:style>
  <w:style w:type="table" w:customStyle="1" w:styleId="MediumGrid1-Accent11102">
    <w:name w:val="Medium Grid 1 - Accent 1110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02">
    <w:name w:val="Light Grid - Accent 11110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02">
    <w:name w:val="Light Grid - Accent 5110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02">
    <w:name w:val="Light Grid - Accent 12110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02">
    <w:name w:val="Light List - Accent 5110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02">
    <w:name w:val="Light List - Accent 11110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02">
    <w:name w:val="Light Grid - Accent 13110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02">
    <w:name w:val="Medium Grid 1 - Accent 3110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82">
    <w:name w:val="Grid Table 4 - Accent 318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92">
    <w:name w:val="No List292"/>
    <w:next w:val="NoList"/>
    <w:uiPriority w:val="99"/>
    <w:unhideWhenUsed/>
    <w:rsid w:val="00C64FC7"/>
  </w:style>
  <w:style w:type="table" w:customStyle="1" w:styleId="MediumGrid1-Accent1282">
    <w:name w:val="Medium Grid 1 - Accent 128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82">
    <w:name w:val="Light Grid - Accent 1128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82">
    <w:name w:val="Light Grid - Accent 528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82">
    <w:name w:val="Light Grid - Accent 122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82">
    <w:name w:val="Light List - Accent 528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82">
    <w:name w:val="Light List - Accent 1128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82">
    <w:name w:val="Light Grid - Accent 132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82">
    <w:name w:val="Medium Grid 1 - Accent 328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82">
    <w:name w:val="Grid Table 4 Accent 318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92">
    <w:name w:val="No List392"/>
    <w:next w:val="NoList"/>
    <w:uiPriority w:val="99"/>
    <w:unhideWhenUsed/>
    <w:rsid w:val="00C64FC7"/>
  </w:style>
  <w:style w:type="table" w:customStyle="1" w:styleId="MediumGrid1-Accent1382">
    <w:name w:val="Medium Grid 1 - Accent 138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82">
    <w:name w:val="Light Grid - Accent 1138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82">
    <w:name w:val="Light Grid - Accent 538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82">
    <w:name w:val="Light Grid - Accent 123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82">
    <w:name w:val="Light List - Accent 538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82">
    <w:name w:val="Light List - Accent 1138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82">
    <w:name w:val="Light Grid - Accent 1338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82">
    <w:name w:val="Medium Grid 1 - Accent 338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82">
    <w:name w:val="Grid Table 4 Accent 328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82">
    <w:name w:val="Table Grid18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2">
    <w:name w:val="Table Grid27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62">
    <w:name w:val="No List462"/>
    <w:next w:val="NoList"/>
    <w:uiPriority w:val="99"/>
    <w:unhideWhenUsed/>
    <w:rsid w:val="00C64FC7"/>
  </w:style>
  <w:style w:type="table" w:customStyle="1" w:styleId="MediumGrid1-Accent1462">
    <w:name w:val="Medium Grid 1 - Accent 14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62">
    <w:name w:val="Light Grid - Accent 1146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62">
    <w:name w:val="Light Grid - Accent 546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62">
    <w:name w:val="Light Grid - Accent 124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62">
    <w:name w:val="Light List - Accent 546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62">
    <w:name w:val="Light List - Accent 114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62">
    <w:name w:val="Light Grid - Accent 134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62">
    <w:name w:val="Medium Grid 1 - Accent 34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312">
    <w:name w:val="Table Grid3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62">
    <w:name w:val="Medium Grid 3 - Accent 116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62">
    <w:name w:val="No List1162"/>
    <w:next w:val="NoList"/>
    <w:uiPriority w:val="99"/>
    <w:unhideWhenUsed/>
    <w:rsid w:val="00C64FC7"/>
  </w:style>
  <w:style w:type="table" w:customStyle="1" w:styleId="MediumGrid1-Accent11162">
    <w:name w:val="Medium Grid 1 - Accent 111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62">
    <w:name w:val="Light Grid - Accent 111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62">
    <w:name w:val="Light Grid - Accent 5116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62">
    <w:name w:val="Light Grid - Accent 121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62">
    <w:name w:val="Light List - Accent 5116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62">
    <w:name w:val="Light List - Accent 1111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62">
    <w:name w:val="Light Grid - Accent 131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62">
    <w:name w:val="Medium Grid 1 - Accent 311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62">
    <w:name w:val="Grid Table 4 - Accent 3116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62">
    <w:name w:val="No List2162"/>
    <w:next w:val="NoList"/>
    <w:uiPriority w:val="99"/>
    <w:unhideWhenUsed/>
    <w:rsid w:val="00C64FC7"/>
  </w:style>
  <w:style w:type="table" w:customStyle="1" w:styleId="MediumGrid1-Accent12162">
    <w:name w:val="Medium Grid 1 - Accent 121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62">
    <w:name w:val="Light Grid - Accent 11216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62">
    <w:name w:val="Light Grid - Accent 5216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62">
    <w:name w:val="Light Grid - Accent 122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62">
    <w:name w:val="Light List - Accent 5216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62">
    <w:name w:val="Light List - Accent 1121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62">
    <w:name w:val="Light Grid - Accent 132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62">
    <w:name w:val="Medium Grid 1 - Accent 321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62">
    <w:name w:val="Grid Table 4 Accent 3116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62">
    <w:name w:val="No List3162"/>
    <w:next w:val="NoList"/>
    <w:uiPriority w:val="99"/>
    <w:unhideWhenUsed/>
    <w:rsid w:val="00C64FC7"/>
  </w:style>
  <w:style w:type="table" w:customStyle="1" w:styleId="MediumGrid1-Accent13162">
    <w:name w:val="Medium Grid 1 - Accent 131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62">
    <w:name w:val="Light Grid - Accent 11316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62">
    <w:name w:val="Light Grid - Accent 5316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62">
    <w:name w:val="Light Grid - Accent 123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62">
    <w:name w:val="Light List - Accent 5316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62">
    <w:name w:val="Light List - Accent 1131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62">
    <w:name w:val="Light Grid - Accent 1331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62">
    <w:name w:val="Medium Grid 1 - Accent 331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62">
    <w:name w:val="Grid Table 4 Accent 3216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62">
    <w:name w:val="Table Grid116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62">
    <w:name w:val="No List562"/>
    <w:next w:val="NoList"/>
    <w:uiPriority w:val="99"/>
    <w:unhideWhenUsed/>
    <w:rsid w:val="00C64FC7"/>
  </w:style>
  <w:style w:type="table" w:customStyle="1" w:styleId="TableGrid412">
    <w:name w:val="Table Grid412"/>
    <w:basedOn w:val="TableNormal"/>
    <w:next w:val="TableGrid"/>
    <w:uiPriority w:val="5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212">
    <w:name w:val="Medium Grid 3 - Accent 12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562">
    <w:name w:val="Medium Grid 1 - Accent 156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562">
    <w:name w:val="Light Grid - Accent 1156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562">
    <w:name w:val="Light Grid - Accent 556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562">
    <w:name w:val="Light Grid - Accent 1256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562">
    <w:name w:val="Light List - Accent 556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62">
    <w:name w:val="Light List - Accent 1156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562">
    <w:name w:val="Light Grid - Accent 135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562">
    <w:name w:val="Medium Grid 1 - Accent 35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262">
    <w:name w:val="No List1262"/>
    <w:next w:val="NoList"/>
    <w:uiPriority w:val="99"/>
    <w:unhideWhenUsed/>
    <w:rsid w:val="00C64FC7"/>
  </w:style>
  <w:style w:type="table" w:customStyle="1" w:styleId="MediumGrid1-Accent11212">
    <w:name w:val="Medium Grid 1 - Accent 11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212">
    <w:name w:val="Light Grid - Accent 11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212">
    <w:name w:val="Light Grid - Accent 512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212">
    <w:name w:val="Light Grid - Accent 12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212">
    <w:name w:val="Light List - Accent 512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2">
    <w:name w:val="Light List - Accent 111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212">
    <w:name w:val="Light Grid - Accent 13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212">
    <w:name w:val="Medium Grid 1 - Accent 31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212">
    <w:name w:val="Grid Table 4 - Accent 312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262">
    <w:name w:val="No List2262"/>
    <w:next w:val="NoList"/>
    <w:uiPriority w:val="99"/>
    <w:unhideWhenUsed/>
    <w:rsid w:val="00C64FC7"/>
  </w:style>
  <w:style w:type="table" w:customStyle="1" w:styleId="MediumGrid1-Accent12212">
    <w:name w:val="Medium Grid 1 - Accent 12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212">
    <w:name w:val="Light Grid - Accent 112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212">
    <w:name w:val="Light Grid - Accent 52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212">
    <w:name w:val="Light Grid - Accent 122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212">
    <w:name w:val="Light List - Accent 52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212">
    <w:name w:val="Light List - Accent 112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212">
    <w:name w:val="Light Grid - Accent 132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212">
    <w:name w:val="Medium Grid 1 - Accent 32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212">
    <w:name w:val="Grid Table 4 Accent 312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262">
    <w:name w:val="No List3262"/>
    <w:next w:val="NoList"/>
    <w:uiPriority w:val="99"/>
    <w:unhideWhenUsed/>
    <w:rsid w:val="00C64FC7"/>
  </w:style>
  <w:style w:type="table" w:customStyle="1" w:styleId="MediumGrid1-Accent13212">
    <w:name w:val="Medium Grid 1 - Accent 13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212">
    <w:name w:val="Light Grid - Accent 113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212">
    <w:name w:val="Light Grid - Accent 53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212">
    <w:name w:val="Light Grid - Accent 123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212">
    <w:name w:val="Light List - Accent 53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212">
    <w:name w:val="Light List - Accent 113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212">
    <w:name w:val="Light Grid - Accent 133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212">
    <w:name w:val="Medium Grid 1 - Accent 33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212">
    <w:name w:val="Grid Table 4 Accent 322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212">
    <w:name w:val="Table Grid12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62">
    <w:name w:val="Table Grid2162"/>
    <w:basedOn w:val="TableNormal"/>
    <w:next w:val="TableGrid"/>
    <w:uiPriority w:val="3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62">
    <w:name w:val="No List662"/>
    <w:next w:val="NoList"/>
    <w:uiPriority w:val="99"/>
    <w:unhideWhenUsed/>
    <w:rsid w:val="00C64FC7"/>
  </w:style>
  <w:style w:type="table" w:customStyle="1" w:styleId="MediumGrid1-Accent1662">
    <w:name w:val="Medium Grid 1 - Accent 166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62">
    <w:name w:val="Light Grid - Accent 1166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62">
    <w:name w:val="Light Grid - Accent 566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62">
    <w:name w:val="Light Grid - Accent 126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62">
    <w:name w:val="Light List - Accent 566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62">
    <w:name w:val="Light List - Accent 1166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62">
    <w:name w:val="Light Grid - Accent 1366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62">
    <w:name w:val="Medium Grid 1 - Accent 366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62">
    <w:name w:val="No List1362"/>
    <w:next w:val="NoList"/>
    <w:uiPriority w:val="99"/>
    <w:unhideWhenUsed/>
    <w:rsid w:val="00C64FC7"/>
  </w:style>
  <w:style w:type="numbering" w:customStyle="1" w:styleId="NoList2362">
    <w:name w:val="No List2362"/>
    <w:next w:val="NoList"/>
    <w:uiPriority w:val="99"/>
    <w:unhideWhenUsed/>
    <w:rsid w:val="00C64FC7"/>
  </w:style>
  <w:style w:type="numbering" w:customStyle="1" w:styleId="NoList3362">
    <w:name w:val="No List3362"/>
    <w:next w:val="NoList"/>
    <w:uiPriority w:val="99"/>
    <w:unhideWhenUsed/>
    <w:rsid w:val="00C64FC7"/>
  </w:style>
  <w:style w:type="numbering" w:customStyle="1" w:styleId="NoList712">
    <w:name w:val="No List712"/>
    <w:next w:val="NoList"/>
    <w:uiPriority w:val="99"/>
    <w:unhideWhenUsed/>
    <w:rsid w:val="00C64FC7"/>
  </w:style>
  <w:style w:type="table" w:customStyle="1" w:styleId="TableGrid512">
    <w:name w:val="Table Grid5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312">
    <w:name w:val="Medium Grid 3 - Accent 13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712">
    <w:name w:val="Medium Grid 1 - Accent 171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712">
    <w:name w:val="Light Grid - Accent 1171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712">
    <w:name w:val="Light Grid - Accent 571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712">
    <w:name w:val="Light Grid - Accent 1271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712">
    <w:name w:val="Light List - Accent 571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712">
    <w:name w:val="Light List - Accent 1171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712">
    <w:name w:val="Light Grid - Accent 137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712">
    <w:name w:val="Medium Grid 1 - Accent 37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412">
    <w:name w:val="No List1412"/>
    <w:next w:val="NoList"/>
    <w:uiPriority w:val="99"/>
    <w:unhideWhenUsed/>
    <w:rsid w:val="00C64FC7"/>
  </w:style>
  <w:style w:type="table" w:customStyle="1" w:styleId="MediumGrid1-Accent11312">
    <w:name w:val="Medium Grid 1 - Accent 11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312">
    <w:name w:val="Light Grid - Accent 11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312">
    <w:name w:val="Light Grid - Accent 513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312">
    <w:name w:val="Light Grid - Accent 12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312">
    <w:name w:val="Light List - Accent 513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12">
    <w:name w:val="Light List - Accent 111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312">
    <w:name w:val="Light Grid - Accent 13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312">
    <w:name w:val="Medium Grid 1 - Accent 31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312">
    <w:name w:val="Grid Table 4 - Accent 313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412">
    <w:name w:val="No List2412"/>
    <w:next w:val="NoList"/>
    <w:uiPriority w:val="99"/>
    <w:unhideWhenUsed/>
    <w:rsid w:val="00C64FC7"/>
  </w:style>
  <w:style w:type="table" w:customStyle="1" w:styleId="MediumGrid1-Accent12312">
    <w:name w:val="Medium Grid 1 - Accent 12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312">
    <w:name w:val="Light Grid - Accent 112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312">
    <w:name w:val="Light Grid - Accent 52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312">
    <w:name w:val="Light Grid - Accent 122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312">
    <w:name w:val="Light List - Accent 52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312">
    <w:name w:val="Light List - Accent 112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312">
    <w:name w:val="Light Grid - Accent 132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312">
    <w:name w:val="Medium Grid 1 - Accent 32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312">
    <w:name w:val="Grid Table 4 Accent 313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412">
    <w:name w:val="No List3412"/>
    <w:next w:val="NoList"/>
    <w:uiPriority w:val="99"/>
    <w:unhideWhenUsed/>
    <w:rsid w:val="00C64FC7"/>
  </w:style>
  <w:style w:type="table" w:customStyle="1" w:styleId="MediumGrid1-Accent13312">
    <w:name w:val="Medium Grid 1 - Accent 13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312">
    <w:name w:val="Light Grid - Accent 113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312">
    <w:name w:val="Light Grid - Accent 53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312">
    <w:name w:val="Light Grid - Accent 123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312">
    <w:name w:val="Light List - Accent 53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312">
    <w:name w:val="Light List - Accent 113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312">
    <w:name w:val="Light Grid - Accent 133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312">
    <w:name w:val="Medium Grid 1 - Accent 33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312">
    <w:name w:val="Grid Table 4 Accent 323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312">
    <w:name w:val="Table Grid13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2">
    <w:name w:val="No List4112"/>
    <w:next w:val="NoList"/>
    <w:uiPriority w:val="99"/>
    <w:unhideWhenUsed/>
    <w:rsid w:val="00C64FC7"/>
  </w:style>
  <w:style w:type="table" w:customStyle="1" w:styleId="MediumGrid1-Accent14112">
    <w:name w:val="Medium Grid 1 - Accent 14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112">
    <w:name w:val="Light Grid - Accent 114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112">
    <w:name w:val="Light Grid - Accent 54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112">
    <w:name w:val="Light Grid - Accent 124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112">
    <w:name w:val="Light List - Accent 54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112">
    <w:name w:val="Light List - Accent 114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112">
    <w:name w:val="Light Grid - Accent 134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112">
    <w:name w:val="Medium Grid 1 - Accent 34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112">
    <w:name w:val="Table Grid211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112">
    <w:name w:val="Medium Grid 3 - Accent 111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112">
    <w:name w:val="No List11112"/>
    <w:next w:val="NoList"/>
    <w:uiPriority w:val="99"/>
    <w:unhideWhenUsed/>
    <w:rsid w:val="00C64FC7"/>
  </w:style>
  <w:style w:type="table" w:customStyle="1" w:styleId="MediumGrid1-Accent111112">
    <w:name w:val="Medium Grid 1 - Accent 111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112">
    <w:name w:val="Light Grid - Accent 111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112">
    <w:name w:val="Light Grid - Accent 5111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112">
    <w:name w:val="Light Grid - Accent 121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112">
    <w:name w:val="Light List - Accent 5111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12">
    <w:name w:val="Light List - Accent 1111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112">
    <w:name w:val="Light Grid - Accent 131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112">
    <w:name w:val="Medium Grid 1 - Accent 311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112">
    <w:name w:val="Grid Table 4 - Accent 3111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112">
    <w:name w:val="No List21112"/>
    <w:next w:val="NoList"/>
    <w:uiPriority w:val="99"/>
    <w:unhideWhenUsed/>
    <w:rsid w:val="00C64FC7"/>
  </w:style>
  <w:style w:type="table" w:customStyle="1" w:styleId="MediumGrid1-Accent121112">
    <w:name w:val="Medium Grid 1 - Accent 121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112">
    <w:name w:val="Light Grid - Accent 1121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112">
    <w:name w:val="Light Grid - Accent 521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112">
    <w:name w:val="Light Grid - Accent 122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112">
    <w:name w:val="Light List - Accent 521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112">
    <w:name w:val="Light List - Accent 1121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112">
    <w:name w:val="Light Grid - Accent 132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112">
    <w:name w:val="Medium Grid 1 - Accent 321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112">
    <w:name w:val="Grid Table 4 Accent 3111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112">
    <w:name w:val="No List31112"/>
    <w:next w:val="NoList"/>
    <w:uiPriority w:val="99"/>
    <w:unhideWhenUsed/>
    <w:rsid w:val="00C64FC7"/>
  </w:style>
  <w:style w:type="table" w:customStyle="1" w:styleId="MediumGrid1-Accent131112">
    <w:name w:val="Medium Grid 1 - Accent 131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112">
    <w:name w:val="Light Grid - Accent 1131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112">
    <w:name w:val="Light Grid - Accent 531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112">
    <w:name w:val="Light Grid - Accent 123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112">
    <w:name w:val="Light List - Accent 531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112">
    <w:name w:val="Light List - Accent 1131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112">
    <w:name w:val="Light Grid - Accent 1331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112">
    <w:name w:val="Medium Grid 1 - Accent 331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112">
    <w:name w:val="Grid Table 4 Accent 3211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112">
    <w:name w:val="Table Grid111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2">
    <w:name w:val="No List5112"/>
    <w:next w:val="NoList"/>
    <w:uiPriority w:val="99"/>
    <w:unhideWhenUsed/>
    <w:rsid w:val="00C64FC7"/>
  </w:style>
  <w:style w:type="table" w:customStyle="1" w:styleId="MediumGrid1-Accent15112">
    <w:name w:val="Medium Grid 1 - Accent 15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112">
    <w:name w:val="Light Grid - Accent 115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112">
    <w:name w:val="Light Grid - Accent 55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112">
    <w:name w:val="Light Grid - Accent 125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112">
    <w:name w:val="Light List - Accent 55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112">
    <w:name w:val="Light List - Accent 115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112">
    <w:name w:val="Light Grid - Accent 135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112">
    <w:name w:val="Medium Grid 1 - Accent 35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112">
    <w:name w:val="No List12112"/>
    <w:next w:val="NoList"/>
    <w:uiPriority w:val="99"/>
    <w:unhideWhenUsed/>
    <w:rsid w:val="00C64FC7"/>
  </w:style>
  <w:style w:type="numbering" w:customStyle="1" w:styleId="NoList22112">
    <w:name w:val="No List22112"/>
    <w:next w:val="NoList"/>
    <w:uiPriority w:val="99"/>
    <w:unhideWhenUsed/>
    <w:rsid w:val="00C64FC7"/>
  </w:style>
  <w:style w:type="numbering" w:customStyle="1" w:styleId="NoList32112">
    <w:name w:val="No List32112"/>
    <w:next w:val="NoList"/>
    <w:uiPriority w:val="99"/>
    <w:unhideWhenUsed/>
    <w:rsid w:val="00C64FC7"/>
  </w:style>
  <w:style w:type="numbering" w:customStyle="1" w:styleId="NoList6112">
    <w:name w:val="No List6112"/>
    <w:next w:val="NoList"/>
    <w:uiPriority w:val="99"/>
    <w:unhideWhenUsed/>
    <w:rsid w:val="00C64FC7"/>
  </w:style>
  <w:style w:type="table" w:customStyle="1" w:styleId="MediumGrid1-Accent16112">
    <w:name w:val="Medium Grid 1 - Accent 161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112">
    <w:name w:val="Light Grid - Accent 1161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112">
    <w:name w:val="Light Grid - Accent 561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112">
    <w:name w:val="Light Grid - Accent 126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112">
    <w:name w:val="Light List - Accent 561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112">
    <w:name w:val="Light List - Accent 1161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112">
    <w:name w:val="Light Grid - Accent 1361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112">
    <w:name w:val="Medium Grid 1 - Accent 361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112">
    <w:name w:val="No List13112"/>
    <w:next w:val="NoList"/>
    <w:uiPriority w:val="99"/>
    <w:unhideWhenUsed/>
    <w:rsid w:val="00C64FC7"/>
  </w:style>
  <w:style w:type="numbering" w:customStyle="1" w:styleId="NoList23112">
    <w:name w:val="No List23112"/>
    <w:next w:val="NoList"/>
    <w:uiPriority w:val="99"/>
    <w:unhideWhenUsed/>
    <w:rsid w:val="00C64FC7"/>
  </w:style>
  <w:style w:type="numbering" w:customStyle="1" w:styleId="NoList33112">
    <w:name w:val="No List33112"/>
    <w:next w:val="NoList"/>
    <w:uiPriority w:val="99"/>
    <w:unhideWhenUsed/>
    <w:rsid w:val="00C64FC7"/>
  </w:style>
  <w:style w:type="numbering" w:customStyle="1" w:styleId="NoList812">
    <w:name w:val="No List812"/>
    <w:next w:val="NoList"/>
    <w:uiPriority w:val="99"/>
    <w:unhideWhenUsed/>
    <w:rsid w:val="00C64FC7"/>
  </w:style>
  <w:style w:type="table" w:customStyle="1" w:styleId="TableGrid612">
    <w:name w:val="Table Grid6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412">
    <w:name w:val="Medium Grid 3 - Accent 14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812">
    <w:name w:val="Medium Grid 1 - Accent 181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812">
    <w:name w:val="Light Grid - Accent 1181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812">
    <w:name w:val="Light Grid - Accent 581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812">
    <w:name w:val="Light Grid - Accent 1281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812">
    <w:name w:val="Light List - Accent 581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812">
    <w:name w:val="Light List - Accent 1181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812">
    <w:name w:val="Light Grid - Accent 138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812">
    <w:name w:val="Medium Grid 1 - Accent 38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512">
    <w:name w:val="No List1512"/>
    <w:next w:val="NoList"/>
    <w:uiPriority w:val="99"/>
    <w:unhideWhenUsed/>
    <w:rsid w:val="00C64FC7"/>
  </w:style>
  <w:style w:type="table" w:customStyle="1" w:styleId="MediumGrid1-Accent11412">
    <w:name w:val="Medium Grid 1 - Accent 11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412">
    <w:name w:val="Light Grid - Accent 11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412">
    <w:name w:val="Light Grid - Accent 514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412">
    <w:name w:val="Light Grid - Accent 12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412">
    <w:name w:val="Light List - Accent 514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412">
    <w:name w:val="Light List - Accent 1114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412">
    <w:name w:val="Light Grid - Accent 13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412">
    <w:name w:val="Medium Grid 1 - Accent 314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412">
    <w:name w:val="Grid Table 4 - Accent 314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512">
    <w:name w:val="No List2512"/>
    <w:next w:val="NoList"/>
    <w:uiPriority w:val="99"/>
    <w:unhideWhenUsed/>
    <w:rsid w:val="00C64FC7"/>
  </w:style>
  <w:style w:type="table" w:customStyle="1" w:styleId="MediumGrid1-Accent12412">
    <w:name w:val="Medium Grid 1 - Accent 12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412">
    <w:name w:val="Light Grid - Accent 1124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412">
    <w:name w:val="Light Grid - Accent 524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412">
    <w:name w:val="Light Grid - Accent 122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412">
    <w:name w:val="Light List - Accent 524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412">
    <w:name w:val="Light List - Accent 1124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412">
    <w:name w:val="Light Grid - Accent 132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412">
    <w:name w:val="Medium Grid 1 - Accent 324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412">
    <w:name w:val="Grid Table 4 Accent 314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512">
    <w:name w:val="No List3512"/>
    <w:next w:val="NoList"/>
    <w:uiPriority w:val="99"/>
    <w:unhideWhenUsed/>
    <w:rsid w:val="00C64FC7"/>
  </w:style>
  <w:style w:type="table" w:customStyle="1" w:styleId="MediumGrid1-Accent13412">
    <w:name w:val="Medium Grid 1 - Accent 13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412">
    <w:name w:val="Light Grid - Accent 1134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412">
    <w:name w:val="Light Grid - Accent 534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412">
    <w:name w:val="Light Grid - Accent 123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412">
    <w:name w:val="Light List - Accent 534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412">
    <w:name w:val="Light List - Accent 1134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412">
    <w:name w:val="Light Grid - Accent 133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412">
    <w:name w:val="Medium Grid 1 - Accent 334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412">
    <w:name w:val="Grid Table 4 Accent 324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2">
    <w:name w:val="Table Grid14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2">
    <w:name w:val="Table Grid231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12">
    <w:name w:val="No List4212"/>
    <w:next w:val="NoList"/>
    <w:uiPriority w:val="99"/>
    <w:unhideWhenUsed/>
    <w:rsid w:val="00C64FC7"/>
  </w:style>
  <w:style w:type="table" w:customStyle="1" w:styleId="MediumGrid1-Accent14212">
    <w:name w:val="Medium Grid 1 - Accent 14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212">
    <w:name w:val="Light Grid - Accent 114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212">
    <w:name w:val="Light Grid - Accent 54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212">
    <w:name w:val="Light Grid - Accent 124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212">
    <w:name w:val="Light List - Accent 54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212">
    <w:name w:val="Light List - Accent 114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212">
    <w:name w:val="Light Grid - Accent 134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212">
    <w:name w:val="Medium Grid 1 - Accent 34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212">
    <w:name w:val="Table Grid212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212">
    <w:name w:val="Medium Grid 3 - Accent 112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212">
    <w:name w:val="No List11212"/>
    <w:next w:val="NoList"/>
    <w:uiPriority w:val="99"/>
    <w:unhideWhenUsed/>
    <w:rsid w:val="00C64FC7"/>
  </w:style>
  <w:style w:type="table" w:customStyle="1" w:styleId="MediumGrid1-Accent111212">
    <w:name w:val="Medium Grid 1 - Accent 111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212">
    <w:name w:val="Light Grid - Accent 111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212">
    <w:name w:val="Light Grid - Accent 5112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212">
    <w:name w:val="Light Grid - Accent 121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212">
    <w:name w:val="Light List - Accent 5112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212">
    <w:name w:val="Light List - Accent 1111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212">
    <w:name w:val="Light Grid - Accent 131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212">
    <w:name w:val="Medium Grid 1 - Accent 311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212">
    <w:name w:val="Grid Table 4 - Accent 3112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212">
    <w:name w:val="No List21212"/>
    <w:next w:val="NoList"/>
    <w:uiPriority w:val="99"/>
    <w:unhideWhenUsed/>
    <w:rsid w:val="00C64FC7"/>
  </w:style>
  <w:style w:type="table" w:customStyle="1" w:styleId="MediumGrid1-Accent121212">
    <w:name w:val="Medium Grid 1 - Accent 121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212">
    <w:name w:val="Light Grid - Accent 1121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212">
    <w:name w:val="Light Grid - Accent 521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212">
    <w:name w:val="Light Grid - Accent 122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212">
    <w:name w:val="Light List - Accent 521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212">
    <w:name w:val="Light List - Accent 1121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212">
    <w:name w:val="Light Grid - Accent 132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212">
    <w:name w:val="Medium Grid 1 - Accent 321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212">
    <w:name w:val="Grid Table 4 Accent 3112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212">
    <w:name w:val="No List31212"/>
    <w:next w:val="NoList"/>
    <w:uiPriority w:val="99"/>
    <w:unhideWhenUsed/>
    <w:rsid w:val="00C64FC7"/>
  </w:style>
  <w:style w:type="table" w:customStyle="1" w:styleId="MediumGrid1-Accent131212">
    <w:name w:val="Medium Grid 1 - Accent 131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212">
    <w:name w:val="Light Grid - Accent 1131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212">
    <w:name w:val="Light Grid - Accent 531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212">
    <w:name w:val="Light Grid - Accent 123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212">
    <w:name w:val="Light List - Accent 531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212">
    <w:name w:val="Light List - Accent 1131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212">
    <w:name w:val="Light Grid - Accent 1331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212">
    <w:name w:val="Medium Grid 1 - Accent 331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212">
    <w:name w:val="Grid Table 4 Accent 3212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212">
    <w:name w:val="Table Grid112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12">
    <w:name w:val="No List5212"/>
    <w:next w:val="NoList"/>
    <w:uiPriority w:val="99"/>
    <w:unhideWhenUsed/>
    <w:rsid w:val="00C64FC7"/>
  </w:style>
  <w:style w:type="table" w:customStyle="1" w:styleId="MediumGrid1-Accent15212">
    <w:name w:val="Medium Grid 1 - Accent 15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212">
    <w:name w:val="Light Grid - Accent 115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212">
    <w:name w:val="Light Grid - Accent 55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212">
    <w:name w:val="Light Grid - Accent 125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212">
    <w:name w:val="Light List - Accent 55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212">
    <w:name w:val="Light List - Accent 115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212">
    <w:name w:val="Light Grid - Accent 135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212">
    <w:name w:val="Medium Grid 1 - Accent 35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212">
    <w:name w:val="No List12212"/>
    <w:next w:val="NoList"/>
    <w:uiPriority w:val="99"/>
    <w:unhideWhenUsed/>
    <w:rsid w:val="00C64FC7"/>
  </w:style>
  <w:style w:type="numbering" w:customStyle="1" w:styleId="NoList22212">
    <w:name w:val="No List22212"/>
    <w:next w:val="NoList"/>
    <w:uiPriority w:val="99"/>
    <w:unhideWhenUsed/>
    <w:rsid w:val="00C64FC7"/>
  </w:style>
  <w:style w:type="numbering" w:customStyle="1" w:styleId="NoList32212">
    <w:name w:val="No List32212"/>
    <w:next w:val="NoList"/>
    <w:uiPriority w:val="99"/>
    <w:unhideWhenUsed/>
    <w:rsid w:val="00C64FC7"/>
  </w:style>
  <w:style w:type="numbering" w:customStyle="1" w:styleId="NoList6212">
    <w:name w:val="No List6212"/>
    <w:next w:val="NoList"/>
    <w:uiPriority w:val="99"/>
    <w:unhideWhenUsed/>
    <w:rsid w:val="00C64FC7"/>
  </w:style>
  <w:style w:type="table" w:customStyle="1" w:styleId="MediumGrid1-Accent16212">
    <w:name w:val="Medium Grid 1 - Accent 162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212">
    <w:name w:val="Light Grid - Accent 1162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212">
    <w:name w:val="Light Grid - Accent 562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212">
    <w:name w:val="Light Grid - Accent 126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212">
    <w:name w:val="Light List - Accent 562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212">
    <w:name w:val="Light List - Accent 1162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212">
    <w:name w:val="Light Grid - Accent 1362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212">
    <w:name w:val="Medium Grid 1 - Accent 362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212">
    <w:name w:val="No List13212"/>
    <w:next w:val="NoList"/>
    <w:uiPriority w:val="99"/>
    <w:unhideWhenUsed/>
    <w:rsid w:val="00C64FC7"/>
  </w:style>
  <w:style w:type="numbering" w:customStyle="1" w:styleId="NoList23212">
    <w:name w:val="No List23212"/>
    <w:next w:val="NoList"/>
    <w:uiPriority w:val="99"/>
    <w:unhideWhenUsed/>
    <w:rsid w:val="00C64FC7"/>
  </w:style>
  <w:style w:type="numbering" w:customStyle="1" w:styleId="NoList33212">
    <w:name w:val="No List33212"/>
    <w:next w:val="NoList"/>
    <w:uiPriority w:val="99"/>
    <w:unhideWhenUsed/>
    <w:rsid w:val="00C64FC7"/>
  </w:style>
  <w:style w:type="numbering" w:customStyle="1" w:styleId="NoList912">
    <w:name w:val="No List912"/>
    <w:next w:val="NoList"/>
    <w:uiPriority w:val="99"/>
    <w:unhideWhenUsed/>
    <w:rsid w:val="00C64FC7"/>
  </w:style>
  <w:style w:type="table" w:customStyle="1" w:styleId="TableGrid712">
    <w:name w:val="Table Grid7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512">
    <w:name w:val="Medium Grid 3 - Accent 1512"/>
    <w:basedOn w:val="TableNormal"/>
    <w:next w:val="MediumGrid3-Accent1"/>
    <w:uiPriority w:val="69"/>
    <w:locked/>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912">
    <w:name w:val="Medium Grid 1 - Accent 191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912">
    <w:name w:val="Light Grid - Accent 1191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912">
    <w:name w:val="Light Grid - Accent 591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912">
    <w:name w:val="Light Grid - Accent 1291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912">
    <w:name w:val="Light List - Accent 591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12">
    <w:name w:val="Light List - Accent 1191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912">
    <w:name w:val="Light Grid - Accent 139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912">
    <w:name w:val="Medium Grid 1 - Accent 39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612">
    <w:name w:val="No List1612"/>
    <w:next w:val="NoList"/>
    <w:uiPriority w:val="99"/>
    <w:unhideWhenUsed/>
    <w:rsid w:val="00C64FC7"/>
  </w:style>
  <w:style w:type="table" w:customStyle="1" w:styleId="MediumGrid1-Accent11512">
    <w:name w:val="Medium Grid 1 - Accent 115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512">
    <w:name w:val="Light Grid - Accent 111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512">
    <w:name w:val="Light Grid - Accent 515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512">
    <w:name w:val="Light Grid - Accent 121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512">
    <w:name w:val="Light List - Accent 515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512">
    <w:name w:val="Light List - Accent 1115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512">
    <w:name w:val="Light Grid - Accent 131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512">
    <w:name w:val="Medium Grid 1 - Accent 315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512">
    <w:name w:val="Grid Table 4 - Accent 315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612">
    <w:name w:val="No List2612"/>
    <w:next w:val="NoList"/>
    <w:uiPriority w:val="99"/>
    <w:unhideWhenUsed/>
    <w:rsid w:val="00C64FC7"/>
  </w:style>
  <w:style w:type="table" w:customStyle="1" w:styleId="MediumGrid1-Accent12512">
    <w:name w:val="Medium Grid 1 - Accent 125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512">
    <w:name w:val="Light Grid - Accent 1125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512">
    <w:name w:val="Light Grid - Accent 525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512">
    <w:name w:val="Light Grid - Accent 122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512">
    <w:name w:val="Light List - Accent 525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512">
    <w:name w:val="Light List - Accent 1125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512">
    <w:name w:val="Light Grid - Accent 132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512">
    <w:name w:val="Medium Grid 1 - Accent 325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512">
    <w:name w:val="Grid Table 4 Accent 315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612">
    <w:name w:val="No List3612"/>
    <w:next w:val="NoList"/>
    <w:uiPriority w:val="99"/>
    <w:unhideWhenUsed/>
    <w:rsid w:val="00C64FC7"/>
  </w:style>
  <w:style w:type="table" w:customStyle="1" w:styleId="MediumGrid1-Accent13512">
    <w:name w:val="Medium Grid 1 - Accent 135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512">
    <w:name w:val="Light Grid - Accent 1135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512">
    <w:name w:val="Light Grid - Accent 535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512">
    <w:name w:val="Light Grid - Accent 123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512">
    <w:name w:val="Light List - Accent 535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512">
    <w:name w:val="Light List - Accent 1135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512">
    <w:name w:val="Light Grid - Accent 1335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512">
    <w:name w:val="Medium Grid 1 - Accent 335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512">
    <w:name w:val="Grid Table 4 Accent 325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512">
    <w:name w:val="Table Grid15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2">
    <w:name w:val="Table Grid241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2">
    <w:name w:val="No List4312"/>
    <w:next w:val="NoList"/>
    <w:uiPriority w:val="99"/>
    <w:unhideWhenUsed/>
    <w:rsid w:val="00C64FC7"/>
  </w:style>
  <w:style w:type="table" w:customStyle="1" w:styleId="MediumGrid1-Accent14312">
    <w:name w:val="Medium Grid 1 - Accent 14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312">
    <w:name w:val="Light Grid - Accent 114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312">
    <w:name w:val="Light Grid - Accent 54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312">
    <w:name w:val="Light Grid - Accent 124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312">
    <w:name w:val="Light List - Accent 54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312">
    <w:name w:val="Light List - Accent 114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312">
    <w:name w:val="Light Grid - Accent 134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312">
    <w:name w:val="Medium Grid 1 - Accent 34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312">
    <w:name w:val="Table Grid213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312">
    <w:name w:val="Medium Grid 3 - Accent 113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312">
    <w:name w:val="No List11312"/>
    <w:next w:val="NoList"/>
    <w:uiPriority w:val="99"/>
    <w:unhideWhenUsed/>
    <w:rsid w:val="00C64FC7"/>
  </w:style>
  <w:style w:type="table" w:customStyle="1" w:styleId="MediumGrid1-Accent111312">
    <w:name w:val="Medium Grid 1 - Accent 111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312">
    <w:name w:val="Light Grid - Accent 111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312">
    <w:name w:val="Light Grid - Accent 5113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312">
    <w:name w:val="Light Grid - Accent 121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312">
    <w:name w:val="Light List - Accent 5113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312">
    <w:name w:val="Light List - Accent 1111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312">
    <w:name w:val="Light Grid - Accent 131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312">
    <w:name w:val="Medium Grid 1 - Accent 311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312">
    <w:name w:val="Grid Table 4 - Accent 3113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312">
    <w:name w:val="No List21312"/>
    <w:next w:val="NoList"/>
    <w:uiPriority w:val="99"/>
    <w:unhideWhenUsed/>
    <w:rsid w:val="00C64FC7"/>
  </w:style>
  <w:style w:type="table" w:customStyle="1" w:styleId="MediumGrid1-Accent121312">
    <w:name w:val="Medium Grid 1 - Accent 121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312">
    <w:name w:val="Light Grid - Accent 1121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312">
    <w:name w:val="Light Grid - Accent 521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312">
    <w:name w:val="Light Grid - Accent 122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312">
    <w:name w:val="Light List - Accent 521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1312">
    <w:name w:val="Light List - Accent 1121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1312">
    <w:name w:val="Light Grid - Accent 132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1312">
    <w:name w:val="Medium Grid 1 - Accent 321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1312">
    <w:name w:val="Grid Table 4 Accent 3113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1312">
    <w:name w:val="No List31312"/>
    <w:next w:val="NoList"/>
    <w:uiPriority w:val="99"/>
    <w:unhideWhenUsed/>
    <w:rsid w:val="00C64FC7"/>
  </w:style>
  <w:style w:type="table" w:customStyle="1" w:styleId="MediumGrid1-Accent131312">
    <w:name w:val="Medium Grid 1 - Accent 131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1312">
    <w:name w:val="Light Grid - Accent 1131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1312">
    <w:name w:val="Light Grid - Accent 531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1312">
    <w:name w:val="Light Grid - Accent 123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1312">
    <w:name w:val="Light List - Accent 531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1312">
    <w:name w:val="Light List - Accent 1131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1312">
    <w:name w:val="Light Grid - Accent 1331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1312">
    <w:name w:val="Medium Grid 1 - Accent 331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1312">
    <w:name w:val="Grid Table 4 Accent 3213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1312">
    <w:name w:val="Table Grid113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12">
    <w:name w:val="No List5312"/>
    <w:next w:val="NoList"/>
    <w:uiPriority w:val="99"/>
    <w:unhideWhenUsed/>
    <w:rsid w:val="00C64FC7"/>
  </w:style>
  <w:style w:type="table" w:customStyle="1" w:styleId="MediumGrid1-Accent15312">
    <w:name w:val="Medium Grid 1 - Accent 15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5312">
    <w:name w:val="Light Grid - Accent 115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5312">
    <w:name w:val="Light Grid - Accent 55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5312">
    <w:name w:val="Light Grid - Accent 125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5312">
    <w:name w:val="Light List - Accent 55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5312">
    <w:name w:val="Light List - Accent 115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5312">
    <w:name w:val="Light Grid - Accent 135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5312">
    <w:name w:val="Medium Grid 1 - Accent 35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2312">
    <w:name w:val="No List12312"/>
    <w:next w:val="NoList"/>
    <w:uiPriority w:val="99"/>
    <w:unhideWhenUsed/>
    <w:rsid w:val="00C64FC7"/>
  </w:style>
  <w:style w:type="numbering" w:customStyle="1" w:styleId="NoList22312">
    <w:name w:val="No List22312"/>
    <w:next w:val="NoList"/>
    <w:uiPriority w:val="99"/>
    <w:unhideWhenUsed/>
    <w:rsid w:val="00C64FC7"/>
  </w:style>
  <w:style w:type="numbering" w:customStyle="1" w:styleId="NoList32312">
    <w:name w:val="No List32312"/>
    <w:next w:val="NoList"/>
    <w:uiPriority w:val="99"/>
    <w:unhideWhenUsed/>
    <w:rsid w:val="00C64FC7"/>
  </w:style>
  <w:style w:type="numbering" w:customStyle="1" w:styleId="NoList6312">
    <w:name w:val="No List6312"/>
    <w:next w:val="NoList"/>
    <w:uiPriority w:val="99"/>
    <w:unhideWhenUsed/>
    <w:rsid w:val="00C64FC7"/>
  </w:style>
  <w:style w:type="table" w:customStyle="1" w:styleId="MediumGrid1-Accent16312">
    <w:name w:val="Medium Grid 1 - Accent 163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6312">
    <w:name w:val="Light Grid - Accent 1163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6312">
    <w:name w:val="Light Grid - Accent 563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6312">
    <w:name w:val="Light Grid - Accent 126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6312">
    <w:name w:val="Light List - Accent 563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6312">
    <w:name w:val="Light List - Accent 1163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6312">
    <w:name w:val="Light Grid - Accent 1363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6312">
    <w:name w:val="Medium Grid 1 - Accent 363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numbering" w:customStyle="1" w:styleId="NoList13312">
    <w:name w:val="No List13312"/>
    <w:next w:val="NoList"/>
    <w:uiPriority w:val="99"/>
    <w:unhideWhenUsed/>
    <w:rsid w:val="00C64FC7"/>
  </w:style>
  <w:style w:type="numbering" w:customStyle="1" w:styleId="NoList23312">
    <w:name w:val="No List23312"/>
    <w:next w:val="NoList"/>
    <w:uiPriority w:val="99"/>
    <w:unhideWhenUsed/>
    <w:rsid w:val="00C64FC7"/>
  </w:style>
  <w:style w:type="numbering" w:customStyle="1" w:styleId="NoList33312">
    <w:name w:val="No List33312"/>
    <w:next w:val="NoList"/>
    <w:uiPriority w:val="99"/>
    <w:unhideWhenUsed/>
    <w:rsid w:val="00C64FC7"/>
  </w:style>
  <w:style w:type="numbering" w:customStyle="1" w:styleId="NoList1012">
    <w:name w:val="No List1012"/>
    <w:next w:val="NoList"/>
    <w:uiPriority w:val="99"/>
    <w:unhideWhenUsed/>
    <w:rsid w:val="00C64FC7"/>
  </w:style>
  <w:style w:type="table" w:customStyle="1" w:styleId="TableGrid812">
    <w:name w:val="Table Grid8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612">
    <w:name w:val="Medium Grid 3 - Accent 16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11012">
    <w:name w:val="Medium Grid 1 - Accent 11012"/>
    <w:basedOn w:val="TableNormal"/>
    <w:next w:val="MediumGrid1-Accent1"/>
    <w:uiPriority w:val="67"/>
    <w:rsid w:val="00C64FC7"/>
    <w:pPr>
      <w:jc w:val="both"/>
    </w:pPr>
    <w:rPr>
      <w:rFonts w:ascii="Times New Roman" w:eastAsia="Calibri" w:hAnsi="Times New Roman"/>
      <w:lang w:val="en-IN" w:bidi="hi-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012">
    <w:name w:val="Light Grid - Accent 111012"/>
    <w:basedOn w:val="TableNormal"/>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012">
    <w:name w:val="Light Grid - Accent 51012"/>
    <w:basedOn w:val="TableNormal"/>
    <w:next w:val="LightGrid-Accent5"/>
    <w:uiPriority w:val="62"/>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012">
    <w:name w:val="Light Grid - Accent 121012"/>
    <w:basedOn w:val="TableNormal"/>
    <w:uiPriority w:val="62"/>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012">
    <w:name w:val="Light List - Accent 51012"/>
    <w:basedOn w:val="TableNormal"/>
    <w:next w:val="LightList-Accent5"/>
    <w:uiPriority w:val="61"/>
    <w:rsid w:val="00C64FC7"/>
    <w:pPr>
      <w:jc w:val="both"/>
    </w:pPr>
    <w:rPr>
      <w:rFonts w:ascii="Calibri" w:eastAsia="Calibri" w:hAnsi="Calibri"/>
      <w:sz w:val="20"/>
      <w:szCs w:val="20"/>
      <w:lang w:val="en-US" w:bidi="hi-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012">
    <w:name w:val="Light List - Accent 111012"/>
    <w:basedOn w:val="TableNormal"/>
    <w:uiPriority w:val="61"/>
    <w:rsid w:val="00C64FC7"/>
    <w:pPr>
      <w:jc w:val="both"/>
    </w:pPr>
    <w:rPr>
      <w:rFonts w:ascii="Times New Roman" w:eastAsia="Calibri" w:hAnsi="Times New Roman"/>
      <w:lang w:val="en-IN" w:bidi="hi-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012">
    <w:name w:val="Light Grid - Accent 1310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012">
    <w:name w:val="Medium Grid 1 - Accent 310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numbering" w:customStyle="1" w:styleId="NoList1712">
    <w:name w:val="No List1712"/>
    <w:next w:val="NoList"/>
    <w:uiPriority w:val="99"/>
    <w:unhideWhenUsed/>
    <w:rsid w:val="00C64FC7"/>
  </w:style>
  <w:style w:type="table" w:customStyle="1" w:styleId="MediumGrid1-Accent11612">
    <w:name w:val="Medium Grid 1 - Accent 116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612">
    <w:name w:val="Light Grid - Accent 111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612">
    <w:name w:val="Light Grid - Accent 516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612">
    <w:name w:val="Light Grid - Accent 121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612">
    <w:name w:val="Light List - Accent 516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612">
    <w:name w:val="Light List - Accent 1116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612">
    <w:name w:val="Light Grid - Accent 131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612">
    <w:name w:val="Medium Grid 1 - Accent 316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612">
    <w:name w:val="Grid Table 4 - Accent 316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712">
    <w:name w:val="No List2712"/>
    <w:next w:val="NoList"/>
    <w:uiPriority w:val="99"/>
    <w:unhideWhenUsed/>
    <w:rsid w:val="00C64FC7"/>
  </w:style>
  <w:style w:type="table" w:customStyle="1" w:styleId="MediumGrid1-Accent12612">
    <w:name w:val="Medium Grid 1 - Accent 126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612">
    <w:name w:val="Light Grid - Accent 1126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612">
    <w:name w:val="Light Grid - Accent 526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612">
    <w:name w:val="Light Grid - Accent 122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612">
    <w:name w:val="Light List - Accent 526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2612">
    <w:name w:val="Light List - Accent 1126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2612">
    <w:name w:val="Light Grid - Accent 132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2612">
    <w:name w:val="Medium Grid 1 - Accent 326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1612">
    <w:name w:val="Grid Table 4 Accent 316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3712">
    <w:name w:val="No List3712"/>
    <w:next w:val="NoList"/>
    <w:uiPriority w:val="99"/>
    <w:unhideWhenUsed/>
    <w:rsid w:val="00C64FC7"/>
  </w:style>
  <w:style w:type="table" w:customStyle="1" w:styleId="MediumGrid1-Accent13612">
    <w:name w:val="Medium Grid 1 - Accent 136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3612">
    <w:name w:val="Light Grid - Accent 1136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3612">
    <w:name w:val="Light Grid - Accent 536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3612">
    <w:name w:val="Light Grid - Accent 123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3612">
    <w:name w:val="Light List - Accent 536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3612">
    <w:name w:val="Light List - Accent 1136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3612">
    <w:name w:val="Light Grid - Accent 1336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3612">
    <w:name w:val="Medium Grid 1 - Accent 336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dTable4Accent32612">
    <w:name w:val="Grid Table 4 Accent 326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612">
    <w:name w:val="Table Grid1612"/>
    <w:basedOn w:val="TableNormal"/>
    <w:next w:val="TableGrid"/>
    <w:uiPriority w:val="39"/>
    <w:rsid w:val="00C64FC7"/>
    <w:rPr>
      <w:rFonts w:ascii="Calibri" w:eastAsia="Calibri" w:hAnsi="Calibri" w:cs="Vrinda"/>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12">
    <w:name w:val="Table Grid2512"/>
    <w:basedOn w:val="TableNormal"/>
    <w:next w:val="TableGrid"/>
    <w:uiPriority w:val="59"/>
    <w:rsid w:val="00C64FC7"/>
    <w:pPr>
      <w:jc w:val="both"/>
    </w:pPr>
    <w:rPr>
      <w:rFonts w:ascii="Calibri" w:eastAsia="Calibri" w:hAnsi="Calibri" w:cs="Mang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12">
    <w:name w:val="No List4412"/>
    <w:next w:val="NoList"/>
    <w:uiPriority w:val="99"/>
    <w:unhideWhenUsed/>
    <w:rsid w:val="00C64FC7"/>
  </w:style>
  <w:style w:type="table" w:customStyle="1" w:styleId="MediumGrid1-Accent14412">
    <w:name w:val="Medium Grid 1 - Accent 14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4412">
    <w:name w:val="Light Grid - Accent 1144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4412">
    <w:name w:val="Light Grid - Accent 544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4412">
    <w:name w:val="Light Grid - Accent 124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4412">
    <w:name w:val="Light List - Accent 544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114412">
    <w:name w:val="Light List - Accent 1144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Grid-Accent134412">
    <w:name w:val="Light Grid - Accent 134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MediumGrid1-Accent34412">
    <w:name w:val="Medium Grid 1 - Accent 344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TableGrid21412">
    <w:name w:val="Table Grid21412"/>
    <w:basedOn w:val="TableNormal"/>
    <w:next w:val="TableGrid"/>
    <w:uiPriority w:val="39"/>
    <w:rsid w:val="00C64FC7"/>
    <w:rPr>
      <w:rFonts w:ascii="Times New Roman" w:eastAsia="Times New Roman" w:hAnsi="Times New Roman"/>
      <w:sz w:val="20"/>
      <w:szCs w:val="20"/>
      <w:lang w:val="en-US"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Grid3-Accent11412">
    <w:name w:val="Medium Grid 3 - Accent 11412"/>
    <w:basedOn w:val="TableNormal"/>
    <w:next w:val="MediumGrid3-Accent1"/>
    <w:uiPriority w:val="69"/>
    <w:rsid w:val="00C64FC7"/>
    <w:rPr>
      <w:rFonts w:ascii="Times New Roman" w:eastAsia="Calibri" w:hAnsi="Times New Roman"/>
      <w:szCs w:val="20"/>
      <w:lang w:bidi="hi-I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oList11412">
    <w:name w:val="No List11412"/>
    <w:next w:val="NoList"/>
    <w:uiPriority w:val="99"/>
    <w:unhideWhenUsed/>
    <w:rsid w:val="00C64FC7"/>
  </w:style>
  <w:style w:type="table" w:customStyle="1" w:styleId="MediumGrid1-Accent111412">
    <w:name w:val="Medium Grid 1 - Accent 111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1111412">
    <w:name w:val="Light Grid - Accent 111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511412">
    <w:name w:val="Light Grid - Accent 511412"/>
    <w:basedOn w:val="TableNormal"/>
    <w:next w:val="LightGrid-Accent5"/>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11412">
    <w:name w:val="Light Grid - Accent 121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511412">
    <w:name w:val="Light List - Accent 511412"/>
    <w:basedOn w:val="TableNormal"/>
    <w:next w:val="LightList-Accent5"/>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412">
    <w:name w:val="Light List - Accent 1111412"/>
    <w:basedOn w:val="TableNormal"/>
    <w:uiPriority w:val="61"/>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311412">
    <w:name w:val="Light Grid - Accent 131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Grid1-Accent311412">
    <w:name w:val="Medium Grid 1 - Accent 311412"/>
    <w:basedOn w:val="TableNormal"/>
    <w:next w:val="MediumGrid1-Accent3"/>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GridTable4-Accent311412">
    <w:name w:val="Grid Table 4 - Accent 311412"/>
    <w:basedOn w:val="TableNormal"/>
    <w:uiPriority w:val="49"/>
    <w:rsid w:val="00C64FC7"/>
    <w:pPr>
      <w:jc w:val="both"/>
    </w:pPr>
    <w:rPr>
      <w:rFonts w:ascii="Times New Roman" w:eastAsia="Calibri" w:hAnsi="Times New Roman"/>
      <w:lang w:val="en-I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NoList21412">
    <w:name w:val="No List21412"/>
    <w:next w:val="NoList"/>
    <w:uiPriority w:val="99"/>
    <w:semiHidden/>
    <w:unhideWhenUsed/>
    <w:rsid w:val="00C64FC7"/>
  </w:style>
  <w:style w:type="table" w:customStyle="1" w:styleId="MediumGrid1-Accent121412">
    <w:name w:val="Medium Grid 1 - Accent 121412"/>
    <w:basedOn w:val="TableNormal"/>
    <w:next w:val="MediumGrid1-Accent1"/>
    <w:uiPriority w:val="67"/>
    <w:rsid w:val="00C64FC7"/>
    <w:pPr>
      <w:jc w:val="both"/>
    </w:pPr>
    <w:rPr>
      <w:rFonts w:ascii="Times New Roman" w:eastAsia="Calibri" w:hAnsi="Times New Roman"/>
      <w:lang w:val="en-I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CellMar>
        <w:top w:w="0" w:type="dxa"/>
        <w:left w:w="108" w:type="dxa"/>
        <w:bottom w:w="0" w:type="dxa"/>
        <w:right w:w="108" w:type="dxa"/>
      </w:tblCellMar>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LightGrid-Accent1121412">
    <w:name w:val="Light Grid - Accent 1121412"/>
    <w:basedOn w:val="TableNormal"/>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521412">
    <w:name w:val="Light Grid - Accent 521412"/>
    <w:basedOn w:val="TableNormal"/>
    <w:next w:val="LightGrid-Accent5"/>
    <w:uiPriority w:val="62"/>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Vrinda"/>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1221412">
    <w:name w:val="Light Grid - Accent 1221412"/>
    <w:basedOn w:val="TableNormal"/>
    <w:uiPriority w:val="62"/>
    <w:rsid w:val="00C64FC7"/>
    <w:pPr>
      <w:jc w:val="both"/>
    </w:pPr>
    <w:rPr>
      <w:rFonts w:ascii="Times New Roman" w:eastAsia="Calibri" w:hAnsi="Times New Roman"/>
      <w:lang w:val="en-IN"/>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Vrinda"/>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Vrinda"/>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Vrinda"/>
        <w:b/>
        <w:bCs/>
      </w:rPr>
    </w:tblStylePr>
    <w:tblStylePr w:type="lastCol">
      <w:rPr>
        <w:rFonts w:ascii="Calibri Light" w:eastAsia="Times New Roman" w:hAnsi="Calibri Light" w:cs="Vrinda"/>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List-Accent521412">
    <w:name w:val="Light List - Accent 521412"/>
    <w:basedOn w:val="TableNormal"/>
    <w:next w:val="LightList-Accent5"/>
    <w:uiPriority w:val="61"/>
    <w:rsid w:val="00C64FC7"/>
    <w:pPr>
      <w:jc w:val="both"/>
    </w:pPr>
    <w:rPr>
      <w:rFonts w:ascii="Calibri" w:eastAsia="Calibri" w:hAnsi="Calibri" w:cs="Vrinda"/>
      <w:sz w:val="22"/>
      <w:szCs w:val="22"/>
      <w:lang w:val="en-US"/>
    </w:rPr>
    <w:tblPr>
      <w:tblStyleRowBandSize w:val="1"/>
      <w:tblStyleColBandSize w:val="1"/>
      <w:tblInd w:w="0" w:type="dxa"/>
      <w:tblBorders>
        <w:top w:val="single" w:sz="8" w:space="0" w:color="4472C4"/>
        <w:left w:val="single" w:sz="8" w:space="0" w:color="4472C4"/>
        <w:bottom w:val="single" w:sz="8" w:space="0" w:color="4472C4"/>
        <w:right w:val="single" w:sz="8" w:space="0" w:color="4472C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8900">
      <w:bodyDiv w:val="1"/>
      <w:marLeft w:val="0"/>
      <w:marRight w:val="0"/>
      <w:marTop w:val="0"/>
      <w:marBottom w:val="0"/>
      <w:divBdr>
        <w:top w:val="none" w:sz="0" w:space="0" w:color="auto"/>
        <w:left w:val="none" w:sz="0" w:space="0" w:color="auto"/>
        <w:bottom w:val="none" w:sz="0" w:space="0" w:color="auto"/>
        <w:right w:val="none" w:sz="0" w:space="0" w:color="auto"/>
      </w:divBdr>
    </w:div>
    <w:div w:id="9843139">
      <w:bodyDiv w:val="1"/>
      <w:marLeft w:val="0"/>
      <w:marRight w:val="0"/>
      <w:marTop w:val="0"/>
      <w:marBottom w:val="0"/>
      <w:divBdr>
        <w:top w:val="none" w:sz="0" w:space="0" w:color="auto"/>
        <w:left w:val="none" w:sz="0" w:space="0" w:color="auto"/>
        <w:bottom w:val="none" w:sz="0" w:space="0" w:color="auto"/>
        <w:right w:val="none" w:sz="0" w:space="0" w:color="auto"/>
      </w:divBdr>
    </w:div>
    <w:div w:id="10227050">
      <w:bodyDiv w:val="1"/>
      <w:marLeft w:val="0"/>
      <w:marRight w:val="0"/>
      <w:marTop w:val="0"/>
      <w:marBottom w:val="0"/>
      <w:divBdr>
        <w:top w:val="none" w:sz="0" w:space="0" w:color="auto"/>
        <w:left w:val="none" w:sz="0" w:space="0" w:color="auto"/>
        <w:bottom w:val="none" w:sz="0" w:space="0" w:color="auto"/>
        <w:right w:val="none" w:sz="0" w:space="0" w:color="auto"/>
      </w:divBdr>
    </w:div>
    <w:div w:id="10881054">
      <w:bodyDiv w:val="1"/>
      <w:marLeft w:val="0"/>
      <w:marRight w:val="0"/>
      <w:marTop w:val="0"/>
      <w:marBottom w:val="0"/>
      <w:divBdr>
        <w:top w:val="none" w:sz="0" w:space="0" w:color="auto"/>
        <w:left w:val="none" w:sz="0" w:space="0" w:color="auto"/>
        <w:bottom w:val="none" w:sz="0" w:space="0" w:color="auto"/>
        <w:right w:val="none" w:sz="0" w:space="0" w:color="auto"/>
      </w:divBdr>
    </w:div>
    <w:div w:id="11609932">
      <w:bodyDiv w:val="1"/>
      <w:marLeft w:val="0"/>
      <w:marRight w:val="0"/>
      <w:marTop w:val="0"/>
      <w:marBottom w:val="0"/>
      <w:divBdr>
        <w:top w:val="none" w:sz="0" w:space="0" w:color="auto"/>
        <w:left w:val="none" w:sz="0" w:space="0" w:color="auto"/>
        <w:bottom w:val="none" w:sz="0" w:space="0" w:color="auto"/>
        <w:right w:val="none" w:sz="0" w:space="0" w:color="auto"/>
      </w:divBdr>
    </w:div>
    <w:div w:id="12388553">
      <w:bodyDiv w:val="1"/>
      <w:marLeft w:val="0"/>
      <w:marRight w:val="0"/>
      <w:marTop w:val="0"/>
      <w:marBottom w:val="0"/>
      <w:divBdr>
        <w:top w:val="none" w:sz="0" w:space="0" w:color="auto"/>
        <w:left w:val="none" w:sz="0" w:space="0" w:color="auto"/>
        <w:bottom w:val="none" w:sz="0" w:space="0" w:color="auto"/>
        <w:right w:val="none" w:sz="0" w:space="0" w:color="auto"/>
      </w:divBdr>
    </w:div>
    <w:div w:id="13310316">
      <w:bodyDiv w:val="1"/>
      <w:marLeft w:val="0"/>
      <w:marRight w:val="0"/>
      <w:marTop w:val="0"/>
      <w:marBottom w:val="0"/>
      <w:divBdr>
        <w:top w:val="none" w:sz="0" w:space="0" w:color="auto"/>
        <w:left w:val="none" w:sz="0" w:space="0" w:color="auto"/>
        <w:bottom w:val="none" w:sz="0" w:space="0" w:color="auto"/>
        <w:right w:val="none" w:sz="0" w:space="0" w:color="auto"/>
      </w:divBdr>
    </w:div>
    <w:div w:id="13578146">
      <w:bodyDiv w:val="1"/>
      <w:marLeft w:val="0"/>
      <w:marRight w:val="0"/>
      <w:marTop w:val="0"/>
      <w:marBottom w:val="0"/>
      <w:divBdr>
        <w:top w:val="none" w:sz="0" w:space="0" w:color="auto"/>
        <w:left w:val="none" w:sz="0" w:space="0" w:color="auto"/>
        <w:bottom w:val="none" w:sz="0" w:space="0" w:color="auto"/>
        <w:right w:val="none" w:sz="0" w:space="0" w:color="auto"/>
      </w:divBdr>
      <w:divsChild>
        <w:div w:id="2105369961">
          <w:marLeft w:val="0"/>
          <w:marRight w:val="0"/>
          <w:marTop w:val="0"/>
          <w:marBottom w:val="0"/>
          <w:divBdr>
            <w:top w:val="none" w:sz="0" w:space="0" w:color="auto"/>
            <w:left w:val="none" w:sz="0" w:space="0" w:color="auto"/>
            <w:bottom w:val="none" w:sz="0" w:space="0" w:color="auto"/>
            <w:right w:val="none" w:sz="0" w:space="0" w:color="auto"/>
          </w:divBdr>
        </w:div>
      </w:divsChild>
    </w:div>
    <w:div w:id="14576221">
      <w:bodyDiv w:val="1"/>
      <w:marLeft w:val="0"/>
      <w:marRight w:val="0"/>
      <w:marTop w:val="0"/>
      <w:marBottom w:val="0"/>
      <w:divBdr>
        <w:top w:val="none" w:sz="0" w:space="0" w:color="auto"/>
        <w:left w:val="none" w:sz="0" w:space="0" w:color="auto"/>
        <w:bottom w:val="none" w:sz="0" w:space="0" w:color="auto"/>
        <w:right w:val="none" w:sz="0" w:space="0" w:color="auto"/>
      </w:divBdr>
    </w:div>
    <w:div w:id="17707175">
      <w:bodyDiv w:val="1"/>
      <w:marLeft w:val="0"/>
      <w:marRight w:val="0"/>
      <w:marTop w:val="0"/>
      <w:marBottom w:val="0"/>
      <w:divBdr>
        <w:top w:val="none" w:sz="0" w:space="0" w:color="auto"/>
        <w:left w:val="none" w:sz="0" w:space="0" w:color="auto"/>
        <w:bottom w:val="none" w:sz="0" w:space="0" w:color="auto"/>
        <w:right w:val="none" w:sz="0" w:space="0" w:color="auto"/>
      </w:divBdr>
    </w:div>
    <w:div w:id="19207987">
      <w:bodyDiv w:val="1"/>
      <w:marLeft w:val="0"/>
      <w:marRight w:val="0"/>
      <w:marTop w:val="0"/>
      <w:marBottom w:val="0"/>
      <w:divBdr>
        <w:top w:val="none" w:sz="0" w:space="0" w:color="auto"/>
        <w:left w:val="none" w:sz="0" w:space="0" w:color="auto"/>
        <w:bottom w:val="none" w:sz="0" w:space="0" w:color="auto"/>
        <w:right w:val="none" w:sz="0" w:space="0" w:color="auto"/>
      </w:divBdr>
    </w:div>
    <w:div w:id="19475855">
      <w:bodyDiv w:val="1"/>
      <w:marLeft w:val="0"/>
      <w:marRight w:val="0"/>
      <w:marTop w:val="0"/>
      <w:marBottom w:val="0"/>
      <w:divBdr>
        <w:top w:val="none" w:sz="0" w:space="0" w:color="auto"/>
        <w:left w:val="none" w:sz="0" w:space="0" w:color="auto"/>
        <w:bottom w:val="none" w:sz="0" w:space="0" w:color="auto"/>
        <w:right w:val="none" w:sz="0" w:space="0" w:color="auto"/>
      </w:divBdr>
    </w:div>
    <w:div w:id="21442526">
      <w:bodyDiv w:val="1"/>
      <w:marLeft w:val="0"/>
      <w:marRight w:val="0"/>
      <w:marTop w:val="0"/>
      <w:marBottom w:val="0"/>
      <w:divBdr>
        <w:top w:val="none" w:sz="0" w:space="0" w:color="auto"/>
        <w:left w:val="none" w:sz="0" w:space="0" w:color="auto"/>
        <w:bottom w:val="none" w:sz="0" w:space="0" w:color="auto"/>
        <w:right w:val="none" w:sz="0" w:space="0" w:color="auto"/>
      </w:divBdr>
    </w:div>
    <w:div w:id="26377685">
      <w:bodyDiv w:val="1"/>
      <w:marLeft w:val="0"/>
      <w:marRight w:val="0"/>
      <w:marTop w:val="0"/>
      <w:marBottom w:val="0"/>
      <w:divBdr>
        <w:top w:val="none" w:sz="0" w:space="0" w:color="auto"/>
        <w:left w:val="none" w:sz="0" w:space="0" w:color="auto"/>
        <w:bottom w:val="none" w:sz="0" w:space="0" w:color="auto"/>
        <w:right w:val="none" w:sz="0" w:space="0" w:color="auto"/>
      </w:divBdr>
    </w:div>
    <w:div w:id="28579509">
      <w:bodyDiv w:val="1"/>
      <w:marLeft w:val="0"/>
      <w:marRight w:val="0"/>
      <w:marTop w:val="0"/>
      <w:marBottom w:val="0"/>
      <w:divBdr>
        <w:top w:val="none" w:sz="0" w:space="0" w:color="auto"/>
        <w:left w:val="none" w:sz="0" w:space="0" w:color="auto"/>
        <w:bottom w:val="none" w:sz="0" w:space="0" w:color="auto"/>
        <w:right w:val="none" w:sz="0" w:space="0" w:color="auto"/>
      </w:divBdr>
    </w:div>
    <w:div w:id="30031797">
      <w:bodyDiv w:val="1"/>
      <w:marLeft w:val="0"/>
      <w:marRight w:val="0"/>
      <w:marTop w:val="0"/>
      <w:marBottom w:val="0"/>
      <w:divBdr>
        <w:top w:val="none" w:sz="0" w:space="0" w:color="auto"/>
        <w:left w:val="none" w:sz="0" w:space="0" w:color="auto"/>
        <w:bottom w:val="none" w:sz="0" w:space="0" w:color="auto"/>
        <w:right w:val="none" w:sz="0" w:space="0" w:color="auto"/>
      </w:divBdr>
    </w:div>
    <w:div w:id="30688402">
      <w:bodyDiv w:val="1"/>
      <w:marLeft w:val="0"/>
      <w:marRight w:val="0"/>
      <w:marTop w:val="0"/>
      <w:marBottom w:val="0"/>
      <w:divBdr>
        <w:top w:val="none" w:sz="0" w:space="0" w:color="auto"/>
        <w:left w:val="none" w:sz="0" w:space="0" w:color="auto"/>
        <w:bottom w:val="none" w:sz="0" w:space="0" w:color="auto"/>
        <w:right w:val="none" w:sz="0" w:space="0" w:color="auto"/>
      </w:divBdr>
    </w:div>
    <w:div w:id="31350755">
      <w:bodyDiv w:val="1"/>
      <w:marLeft w:val="0"/>
      <w:marRight w:val="0"/>
      <w:marTop w:val="0"/>
      <w:marBottom w:val="0"/>
      <w:divBdr>
        <w:top w:val="none" w:sz="0" w:space="0" w:color="auto"/>
        <w:left w:val="none" w:sz="0" w:space="0" w:color="auto"/>
        <w:bottom w:val="none" w:sz="0" w:space="0" w:color="auto"/>
        <w:right w:val="none" w:sz="0" w:space="0" w:color="auto"/>
      </w:divBdr>
    </w:div>
    <w:div w:id="32584182">
      <w:bodyDiv w:val="1"/>
      <w:marLeft w:val="0"/>
      <w:marRight w:val="0"/>
      <w:marTop w:val="0"/>
      <w:marBottom w:val="0"/>
      <w:divBdr>
        <w:top w:val="none" w:sz="0" w:space="0" w:color="auto"/>
        <w:left w:val="none" w:sz="0" w:space="0" w:color="auto"/>
        <w:bottom w:val="none" w:sz="0" w:space="0" w:color="auto"/>
        <w:right w:val="none" w:sz="0" w:space="0" w:color="auto"/>
      </w:divBdr>
    </w:div>
    <w:div w:id="33315537">
      <w:bodyDiv w:val="1"/>
      <w:marLeft w:val="0"/>
      <w:marRight w:val="0"/>
      <w:marTop w:val="0"/>
      <w:marBottom w:val="0"/>
      <w:divBdr>
        <w:top w:val="none" w:sz="0" w:space="0" w:color="auto"/>
        <w:left w:val="none" w:sz="0" w:space="0" w:color="auto"/>
        <w:bottom w:val="none" w:sz="0" w:space="0" w:color="auto"/>
        <w:right w:val="none" w:sz="0" w:space="0" w:color="auto"/>
      </w:divBdr>
      <w:divsChild>
        <w:div w:id="58554659">
          <w:marLeft w:val="0"/>
          <w:marRight w:val="0"/>
          <w:marTop w:val="0"/>
          <w:marBottom w:val="0"/>
          <w:divBdr>
            <w:top w:val="none" w:sz="0" w:space="0" w:color="auto"/>
            <w:left w:val="none" w:sz="0" w:space="0" w:color="auto"/>
            <w:bottom w:val="none" w:sz="0" w:space="0" w:color="auto"/>
            <w:right w:val="none" w:sz="0" w:space="0" w:color="auto"/>
          </w:divBdr>
        </w:div>
        <w:div w:id="304824829">
          <w:marLeft w:val="0"/>
          <w:marRight w:val="0"/>
          <w:marTop w:val="0"/>
          <w:marBottom w:val="0"/>
          <w:divBdr>
            <w:top w:val="none" w:sz="0" w:space="0" w:color="auto"/>
            <w:left w:val="none" w:sz="0" w:space="0" w:color="auto"/>
            <w:bottom w:val="none" w:sz="0" w:space="0" w:color="auto"/>
            <w:right w:val="none" w:sz="0" w:space="0" w:color="auto"/>
          </w:divBdr>
        </w:div>
        <w:div w:id="413475020">
          <w:marLeft w:val="0"/>
          <w:marRight w:val="0"/>
          <w:marTop w:val="0"/>
          <w:marBottom w:val="0"/>
          <w:divBdr>
            <w:top w:val="none" w:sz="0" w:space="0" w:color="auto"/>
            <w:left w:val="none" w:sz="0" w:space="0" w:color="auto"/>
            <w:bottom w:val="none" w:sz="0" w:space="0" w:color="auto"/>
            <w:right w:val="none" w:sz="0" w:space="0" w:color="auto"/>
          </w:divBdr>
        </w:div>
        <w:div w:id="463542758">
          <w:marLeft w:val="0"/>
          <w:marRight w:val="0"/>
          <w:marTop w:val="0"/>
          <w:marBottom w:val="0"/>
          <w:divBdr>
            <w:top w:val="none" w:sz="0" w:space="0" w:color="auto"/>
            <w:left w:val="none" w:sz="0" w:space="0" w:color="auto"/>
            <w:bottom w:val="none" w:sz="0" w:space="0" w:color="auto"/>
            <w:right w:val="none" w:sz="0" w:space="0" w:color="auto"/>
          </w:divBdr>
        </w:div>
        <w:div w:id="670988903">
          <w:marLeft w:val="0"/>
          <w:marRight w:val="0"/>
          <w:marTop w:val="0"/>
          <w:marBottom w:val="0"/>
          <w:divBdr>
            <w:top w:val="none" w:sz="0" w:space="0" w:color="auto"/>
            <w:left w:val="none" w:sz="0" w:space="0" w:color="auto"/>
            <w:bottom w:val="none" w:sz="0" w:space="0" w:color="auto"/>
            <w:right w:val="none" w:sz="0" w:space="0" w:color="auto"/>
          </w:divBdr>
        </w:div>
        <w:div w:id="764770610">
          <w:marLeft w:val="0"/>
          <w:marRight w:val="0"/>
          <w:marTop w:val="0"/>
          <w:marBottom w:val="0"/>
          <w:divBdr>
            <w:top w:val="none" w:sz="0" w:space="0" w:color="auto"/>
            <w:left w:val="none" w:sz="0" w:space="0" w:color="auto"/>
            <w:bottom w:val="none" w:sz="0" w:space="0" w:color="auto"/>
            <w:right w:val="none" w:sz="0" w:space="0" w:color="auto"/>
          </w:divBdr>
        </w:div>
        <w:div w:id="767821550">
          <w:marLeft w:val="0"/>
          <w:marRight w:val="0"/>
          <w:marTop w:val="0"/>
          <w:marBottom w:val="0"/>
          <w:divBdr>
            <w:top w:val="none" w:sz="0" w:space="0" w:color="auto"/>
            <w:left w:val="none" w:sz="0" w:space="0" w:color="auto"/>
            <w:bottom w:val="none" w:sz="0" w:space="0" w:color="auto"/>
            <w:right w:val="none" w:sz="0" w:space="0" w:color="auto"/>
          </w:divBdr>
        </w:div>
        <w:div w:id="827667789">
          <w:marLeft w:val="0"/>
          <w:marRight w:val="0"/>
          <w:marTop w:val="0"/>
          <w:marBottom w:val="0"/>
          <w:divBdr>
            <w:top w:val="none" w:sz="0" w:space="0" w:color="auto"/>
            <w:left w:val="none" w:sz="0" w:space="0" w:color="auto"/>
            <w:bottom w:val="none" w:sz="0" w:space="0" w:color="auto"/>
            <w:right w:val="none" w:sz="0" w:space="0" w:color="auto"/>
          </w:divBdr>
        </w:div>
        <w:div w:id="831024916">
          <w:marLeft w:val="0"/>
          <w:marRight w:val="0"/>
          <w:marTop w:val="0"/>
          <w:marBottom w:val="0"/>
          <w:divBdr>
            <w:top w:val="none" w:sz="0" w:space="0" w:color="auto"/>
            <w:left w:val="none" w:sz="0" w:space="0" w:color="auto"/>
            <w:bottom w:val="none" w:sz="0" w:space="0" w:color="auto"/>
            <w:right w:val="none" w:sz="0" w:space="0" w:color="auto"/>
          </w:divBdr>
        </w:div>
        <w:div w:id="847597016">
          <w:marLeft w:val="0"/>
          <w:marRight w:val="0"/>
          <w:marTop w:val="0"/>
          <w:marBottom w:val="0"/>
          <w:divBdr>
            <w:top w:val="none" w:sz="0" w:space="0" w:color="auto"/>
            <w:left w:val="none" w:sz="0" w:space="0" w:color="auto"/>
            <w:bottom w:val="none" w:sz="0" w:space="0" w:color="auto"/>
            <w:right w:val="none" w:sz="0" w:space="0" w:color="auto"/>
          </w:divBdr>
        </w:div>
        <w:div w:id="1132092421">
          <w:marLeft w:val="0"/>
          <w:marRight w:val="0"/>
          <w:marTop w:val="0"/>
          <w:marBottom w:val="0"/>
          <w:divBdr>
            <w:top w:val="none" w:sz="0" w:space="0" w:color="auto"/>
            <w:left w:val="none" w:sz="0" w:space="0" w:color="auto"/>
            <w:bottom w:val="none" w:sz="0" w:space="0" w:color="auto"/>
            <w:right w:val="none" w:sz="0" w:space="0" w:color="auto"/>
          </w:divBdr>
        </w:div>
        <w:div w:id="1180465105">
          <w:marLeft w:val="0"/>
          <w:marRight w:val="0"/>
          <w:marTop w:val="0"/>
          <w:marBottom w:val="0"/>
          <w:divBdr>
            <w:top w:val="none" w:sz="0" w:space="0" w:color="auto"/>
            <w:left w:val="none" w:sz="0" w:space="0" w:color="auto"/>
            <w:bottom w:val="none" w:sz="0" w:space="0" w:color="auto"/>
            <w:right w:val="none" w:sz="0" w:space="0" w:color="auto"/>
          </w:divBdr>
        </w:div>
        <w:div w:id="1285037378">
          <w:marLeft w:val="0"/>
          <w:marRight w:val="0"/>
          <w:marTop w:val="0"/>
          <w:marBottom w:val="0"/>
          <w:divBdr>
            <w:top w:val="none" w:sz="0" w:space="0" w:color="auto"/>
            <w:left w:val="none" w:sz="0" w:space="0" w:color="auto"/>
            <w:bottom w:val="none" w:sz="0" w:space="0" w:color="auto"/>
            <w:right w:val="none" w:sz="0" w:space="0" w:color="auto"/>
          </w:divBdr>
        </w:div>
        <w:div w:id="1385062433">
          <w:marLeft w:val="0"/>
          <w:marRight w:val="0"/>
          <w:marTop w:val="0"/>
          <w:marBottom w:val="0"/>
          <w:divBdr>
            <w:top w:val="none" w:sz="0" w:space="0" w:color="auto"/>
            <w:left w:val="none" w:sz="0" w:space="0" w:color="auto"/>
            <w:bottom w:val="none" w:sz="0" w:space="0" w:color="auto"/>
            <w:right w:val="none" w:sz="0" w:space="0" w:color="auto"/>
          </w:divBdr>
        </w:div>
        <w:div w:id="1386640956">
          <w:marLeft w:val="0"/>
          <w:marRight w:val="0"/>
          <w:marTop w:val="0"/>
          <w:marBottom w:val="0"/>
          <w:divBdr>
            <w:top w:val="none" w:sz="0" w:space="0" w:color="auto"/>
            <w:left w:val="none" w:sz="0" w:space="0" w:color="auto"/>
            <w:bottom w:val="none" w:sz="0" w:space="0" w:color="auto"/>
            <w:right w:val="none" w:sz="0" w:space="0" w:color="auto"/>
          </w:divBdr>
        </w:div>
        <w:div w:id="1569459871">
          <w:marLeft w:val="0"/>
          <w:marRight w:val="0"/>
          <w:marTop w:val="0"/>
          <w:marBottom w:val="0"/>
          <w:divBdr>
            <w:top w:val="none" w:sz="0" w:space="0" w:color="auto"/>
            <w:left w:val="none" w:sz="0" w:space="0" w:color="auto"/>
            <w:bottom w:val="none" w:sz="0" w:space="0" w:color="auto"/>
            <w:right w:val="none" w:sz="0" w:space="0" w:color="auto"/>
          </w:divBdr>
        </w:div>
        <w:div w:id="1650010697">
          <w:marLeft w:val="0"/>
          <w:marRight w:val="0"/>
          <w:marTop w:val="0"/>
          <w:marBottom w:val="0"/>
          <w:divBdr>
            <w:top w:val="none" w:sz="0" w:space="0" w:color="auto"/>
            <w:left w:val="none" w:sz="0" w:space="0" w:color="auto"/>
            <w:bottom w:val="none" w:sz="0" w:space="0" w:color="auto"/>
            <w:right w:val="none" w:sz="0" w:space="0" w:color="auto"/>
          </w:divBdr>
        </w:div>
        <w:div w:id="1688943621">
          <w:marLeft w:val="0"/>
          <w:marRight w:val="0"/>
          <w:marTop w:val="0"/>
          <w:marBottom w:val="0"/>
          <w:divBdr>
            <w:top w:val="none" w:sz="0" w:space="0" w:color="auto"/>
            <w:left w:val="none" w:sz="0" w:space="0" w:color="auto"/>
            <w:bottom w:val="none" w:sz="0" w:space="0" w:color="auto"/>
            <w:right w:val="none" w:sz="0" w:space="0" w:color="auto"/>
          </w:divBdr>
        </w:div>
        <w:div w:id="1726680702">
          <w:marLeft w:val="0"/>
          <w:marRight w:val="0"/>
          <w:marTop w:val="0"/>
          <w:marBottom w:val="0"/>
          <w:divBdr>
            <w:top w:val="none" w:sz="0" w:space="0" w:color="auto"/>
            <w:left w:val="none" w:sz="0" w:space="0" w:color="auto"/>
            <w:bottom w:val="none" w:sz="0" w:space="0" w:color="auto"/>
            <w:right w:val="none" w:sz="0" w:space="0" w:color="auto"/>
          </w:divBdr>
        </w:div>
        <w:div w:id="1780366795">
          <w:marLeft w:val="0"/>
          <w:marRight w:val="0"/>
          <w:marTop w:val="0"/>
          <w:marBottom w:val="0"/>
          <w:divBdr>
            <w:top w:val="none" w:sz="0" w:space="0" w:color="auto"/>
            <w:left w:val="none" w:sz="0" w:space="0" w:color="auto"/>
            <w:bottom w:val="none" w:sz="0" w:space="0" w:color="auto"/>
            <w:right w:val="none" w:sz="0" w:space="0" w:color="auto"/>
          </w:divBdr>
        </w:div>
        <w:div w:id="1843623163">
          <w:marLeft w:val="0"/>
          <w:marRight w:val="0"/>
          <w:marTop w:val="0"/>
          <w:marBottom w:val="0"/>
          <w:divBdr>
            <w:top w:val="none" w:sz="0" w:space="0" w:color="auto"/>
            <w:left w:val="none" w:sz="0" w:space="0" w:color="auto"/>
            <w:bottom w:val="none" w:sz="0" w:space="0" w:color="auto"/>
            <w:right w:val="none" w:sz="0" w:space="0" w:color="auto"/>
          </w:divBdr>
        </w:div>
        <w:div w:id="1944070104">
          <w:marLeft w:val="0"/>
          <w:marRight w:val="0"/>
          <w:marTop w:val="0"/>
          <w:marBottom w:val="0"/>
          <w:divBdr>
            <w:top w:val="none" w:sz="0" w:space="0" w:color="auto"/>
            <w:left w:val="none" w:sz="0" w:space="0" w:color="auto"/>
            <w:bottom w:val="none" w:sz="0" w:space="0" w:color="auto"/>
            <w:right w:val="none" w:sz="0" w:space="0" w:color="auto"/>
          </w:divBdr>
        </w:div>
        <w:div w:id="2015722103">
          <w:marLeft w:val="0"/>
          <w:marRight w:val="0"/>
          <w:marTop w:val="0"/>
          <w:marBottom w:val="0"/>
          <w:divBdr>
            <w:top w:val="none" w:sz="0" w:space="0" w:color="auto"/>
            <w:left w:val="none" w:sz="0" w:space="0" w:color="auto"/>
            <w:bottom w:val="none" w:sz="0" w:space="0" w:color="auto"/>
            <w:right w:val="none" w:sz="0" w:space="0" w:color="auto"/>
          </w:divBdr>
        </w:div>
        <w:div w:id="2123573788">
          <w:marLeft w:val="0"/>
          <w:marRight w:val="0"/>
          <w:marTop w:val="0"/>
          <w:marBottom w:val="0"/>
          <w:divBdr>
            <w:top w:val="none" w:sz="0" w:space="0" w:color="auto"/>
            <w:left w:val="none" w:sz="0" w:space="0" w:color="auto"/>
            <w:bottom w:val="none" w:sz="0" w:space="0" w:color="auto"/>
            <w:right w:val="none" w:sz="0" w:space="0" w:color="auto"/>
          </w:divBdr>
        </w:div>
      </w:divsChild>
    </w:div>
    <w:div w:id="34622816">
      <w:bodyDiv w:val="1"/>
      <w:marLeft w:val="0"/>
      <w:marRight w:val="0"/>
      <w:marTop w:val="0"/>
      <w:marBottom w:val="0"/>
      <w:divBdr>
        <w:top w:val="none" w:sz="0" w:space="0" w:color="auto"/>
        <w:left w:val="none" w:sz="0" w:space="0" w:color="auto"/>
        <w:bottom w:val="none" w:sz="0" w:space="0" w:color="auto"/>
        <w:right w:val="none" w:sz="0" w:space="0" w:color="auto"/>
      </w:divBdr>
    </w:div>
    <w:div w:id="38748654">
      <w:bodyDiv w:val="1"/>
      <w:marLeft w:val="0"/>
      <w:marRight w:val="0"/>
      <w:marTop w:val="0"/>
      <w:marBottom w:val="0"/>
      <w:divBdr>
        <w:top w:val="none" w:sz="0" w:space="0" w:color="auto"/>
        <w:left w:val="none" w:sz="0" w:space="0" w:color="auto"/>
        <w:bottom w:val="none" w:sz="0" w:space="0" w:color="auto"/>
        <w:right w:val="none" w:sz="0" w:space="0" w:color="auto"/>
      </w:divBdr>
    </w:div>
    <w:div w:id="39983502">
      <w:bodyDiv w:val="1"/>
      <w:marLeft w:val="0"/>
      <w:marRight w:val="0"/>
      <w:marTop w:val="0"/>
      <w:marBottom w:val="0"/>
      <w:divBdr>
        <w:top w:val="none" w:sz="0" w:space="0" w:color="auto"/>
        <w:left w:val="none" w:sz="0" w:space="0" w:color="auto"/>
        <w:bottom w:val="none" w:sz="0" w:space="0" w:color="auto"/>
        <w:right w:val="none" w:sz="0" w:space="0" w:color="auto"/>
      </w:divBdr>
    </w:div>
    <w:div w:id="42826555">
      <w:bodyDiv w:val="1"/>
      <w:marLeft w:val="0"/>
      <w:marRight w:val="0"/>
      <w:marTop w:val="0"/>
      <w:marBottom w:val="0"/>
      <w:divBdr>
        <w:top w:val="none" w:sz="0" w:space="0" w:color="auto"/>
        <w:left w:val="none" w:sz="0" w:space="0" w:color="auto"/>
        <w:bottom w:val="none" w:sz="0" w:space="0" w:color="auto"/>
        <w:right w:val="none" w:sz="0" w:space="0" w:color="auto"/>
      </w:divBdr>
    </w:div>
    <w:div w:id="44527007">
      <w:bodyDiv w:val="1"/>
      <w:marLeft w:val="0"/>
      <w:marRight w:val="0"/>
      <w:marTop w:val="0"/>
      <w:marBottom w:val="0"/>
      <w:divBdr>
        <w:top w:val="none" w:sz="0" w:space="0" w:color="auto"/>
        <w:left w:val="none" w:sz="0" w:space="0" w:color="auto"/>
        <w:bottom w:val="none" w:sz="0" w:space="0" w:color="auto"/>
        <w:right w:val="none" w:sz="0" w:space="0" w:color="auto"/>
      </w:divBdr>
    </w:div>
    <w:div w:id="51082171">
      <w:bodyDiv w:val="1"/>
      <w:marLeft w:val="0"/>
      <w:marRight w:val="0"/>
      <w:marTop w:val="0"/>
      <w:marBottom w:val="0"/>
      <w:divBdr>
        <w:top w:val="none" w:sz="0" w:space="0" w:color="auto"/>
        <w:left w:val="none" w:sz="0" w:space="0" w:color="auto"/>
        <w:bottom w:val="none" w:sz="0" w:space="0" w:color="auto"/>
        <w:right w:val="none" w:sz="0" w:space="0" w:color="auto"/>
      </w:divBdr>
    </w:div>
    <w:div w:id="54356867">
      <w:bodyDiv w:val="1"/>
      <w:marLeft w:val="0"/>
      <w:marRight w:val="0"/>
      <w:marTop w:val="0"/>
      <w:marBottom w:val="0"/>
      <w:divBdr>
        <w:top w:val="none" w:sz="0" w:space="0" w:color="auto"/>
        <w:left w:val="none" w:sz="0" w:space="0" w:color="auto"/>
        <w:bottom w:val="none" w:sz="0" w:space="0" w:color="auto"/>
        <w:right w:val="none" w:sz="0" w:space="0" w:color="auto"/>
      </w:divBdr>
    </w:div>
    <w:div w:id="54550347">
      <w:bodyDiv w:val="1"/>
      <w:marLeft w:val="0"/>
      <w:marRight w:val="0"/>
      <w:marTop w:val="0"/>
      <w:marBottom w:val="0"/>
      <w:divBdr>
        <w:top w:val="none" w:sz="0" w:space="0" w:color="auto"/>
        <w:left w:val="none" w:sz="0" w:space="0" w:color="auto"/>
        <w:bottom w:val="none" w:sz="0" w:space="0" w:color="auto"/>
        <w:right w:val="none" w:sz="0" w:space="0" w:color="auto"/>
      </w:divBdr>
    </w:div>
    <w:div w:id="58673668">
      <w:bodyDiv w:val="1"/>
      <w:marLeft w:val="0"/>
      <w:marRight w:val="0"/>
      <w:marTop w:val="0"/>
      <w:marBottom w:val="0"/>
      <w:divBdr>
        <w:top w:val="none" w:sz="0" w:space="0" w:color="auto"/>
        <w:left w:val="none" w:sz="0" w:space="0" w:color="auto"/>
        <w:bottom w:val="none" w:sz="0" w:space="0" w:color="auto"/>
        <w:right w:val="none" w:sz="0" w:space="0" w:color="auto"/>
      </w:divBdr>
    </w:div>
    <w:div w:id="64572798">
      <w:bodyDiv w:val="1"/>
      <w:marLeft w:val="0"/>
      <w:marRight w:val="0"/>
      <w:marTop w:val="0"/>
      <w:marBottom w:val="0"/>
      <w:divBdr>
        <w:top w:val="none" w:sz="0" w:space="0" w:color="auto"/>
        <w:left w:val="none" w:sz="0" w:space="0" w:color="auto"/>
        <w:bottom w:val="none" w:sz="0" w:space="0" w:color="auto"/>
        <w:right w:val="none" w:sz="0" w:space="0" w:color="auto"/>
      </w:divBdr>
    </w:div>
    <w:div w:id="64762157">
      <w:bodyDiv w:val="1"/>
      <w:marLeft w:val="0"/>
      <w:marRight w:val="0"/>
      <w:marTop w:val="0"/>
      <w:marBottom w:val="0"/>
      <w:divBdr>
        <w:top w:val="none" w:sz="0" w:space="0" w:color="auto"/>
        <w:left w:val="none" w:sz="0" w:space="0" w:color="auto"/>
        <w:bottom w:val="none" w:sz="0" w:space="0" w:color="auto"/>
        <w:right w:val="none" w:sz="0" w:space="0" w:color="auto"/>
      </w:divBdr>
      <w:divsChild>
        <w:div w:id="1615012710">
          <w:marLeft w:val="0"/>
          <w:marRight w:val="0"/>
          <w:marTop w:val="0"/>
          <w:marBottom w:val="0"/>
          <w:divBdr>
            <w:top w:val="none" w:sz="0" w:space="0" w:color="auto"/>
            <w:left w:val="none" w:sz="0" w:space="0" w:color="auto"/>
            <w:bottom w:val="none" w:sz="0" w:space="0" w:color="auto"/>
            <w:right w:val="none" w:sz="0" w:space="0" w:color="auto"/>
          </w:divBdr>
        </w:div>
      </w:divsChild>
    </w:div>
    <w:div w:id="65155814">
      <w:bodyDiv w:val="1"/>
      <w:marLeft w:val="0"/>
      <w:marRight w:val="0"/>
      <w:marTop w:val="0"/>
      <w:marBottom w:val="0"/>
      <w:divBdr>
        <w:top w:val="none" w:sz="0" w:space="0" w:color="auto"/>
        <w:left w:val="none" w:sz="0" w:space="0" w:color="auto"/>
        <w:bottom w:val="none" w:sz="0" w:space="0" w:color="auto"/>
        <w:right w:val="none" w:sz="0" w:space="0" w:color="auto"/>
      </w:divBdr>
    </w:div>
    <w:div w:id="66343589">
      <w:bodyDiv w:val="1"/>
      <w:marLeft w:val="0"/>
      <w:marRight w:val="0"/>
      <w:marTop w:val="0"/>
      <w:marBottom w:val="0"/>
      <w:divBdr>
        <w:top w:val="none" w:sz="0" w:space="0" w:color="auto"/>
        <w:left w:val="none" w:sz="0" w:space="0" w:color="auto"/>
        <w:bottom w:val="none" w:sz="0" w:space="0" w:color="auto"/>
        <w:right w:val="none" w:sz="0" w:space="0" w:color="auto"/>
      </w:divBdr>
    </w:div>
    <w:div w:id="71195577">
      <w:bodyDiv w:val="1"/>
      <w:marLeft w:val="0"/>
      <w:marRight w:val="0"/>
      <w:marTop w:val="0"/>
      <w:marBottom w:val="0"/>
      <w:divBdr>
        <w:top w:val="none" w:sz="0" w:space="0" w:color="auto"/>
        <w:left w:val="none" w:sz="0" w:space="0" w:color="auto"/>
        <w:bottom w:val="none" w:sz="0" w:space="0" w:color="auto"/>
        <w:right w:val="none" w:sz="0" w:space="0" w:color="auto"/>
      </w:divBdr>
    </w:div>
    <w:div w:id="72046671">
      <w:bodyDiv w:val="1"/>
      <w:marLeft w:val="0"/>
      <w:marRight w:val="0"/>
      <w:marTop w:val="0"/>
      <w:marBottom w:val="0"/>
      <w:divBdr>
        <w:top w:val="none" w:sz="0" w:space="0" w:color="auto"/>
        <w:left w:val="none" w:sz="0" w:space="0" w:color="auto"/>
        <w:bottom w:val="none" w:sz="0" w:space="0" w:color="auto"/>
        <w:right w:val="none" w:sz="0" w:space="0" w:color="auto"/>
      </w:divBdr>
    </w:div>
    <w:div w:id="72970213">
      <w:bodyDiv w:val="1"/>
      <w:marLeft w:val="0"/>
      <w:marRight w:val="0"/>
      <w:marTop w:val="0"/>
      <w:marBottom w:val="0"/>
      <w:divBdr>
        <w:top w:val="none" w:sz="0" w:space="0" w:color="auto"/>
        <w:left w:val="none" w:sz="0" w:space="0" w:color="auto"/>
        <w:bottom w:val="none" w:sz="0" w:space="0" w:color="auto"/>
        <w:right w:val="none" w:sz="0" w:space="0" w:color="auto"/>
      </w:divBdr>
    </w:div>
    <w:div w:id="73279492">
      <w:bodyDiv w:val="1"/>
      <w:marLeft w:val="0"/>
      <w:marRight w:val="0"/>
      <w:marTop w:val="0"/>
      <w:marBottom w:val="0"/>
      <w:divBdr>
        <w:top w:val="none" w:sz="0" w:space="0" w:color="auto"/>
        <w:left w:val="none" w:sz="0" w:space="0" w:color="auto"/>
        <w:bottom w:val="none" w:sz="0" w:space="0" w:color="auto"/>
        <w:right w:val="none" w:sz="0" w:space="0" w:color="auto"/>
      </w:divBdr>
    </w:div>
    <w:div w:id="74254284">
      <w:bodyDiv w:val="1"/>
      <w:marLeft w:val="0"/>
      <w:marRight w:val="0"/>
      <w:marTop w:val="0"/>
      <w:marBottom w:val="0"/>
      <w:divBdr>
        <w:top w:val="none" w:sz="0" w:space="0" w:color="auto"/>
        <w:left w:val="none" w:sz="0" w:space="0" w:color="auto"/>
        <w:bottom w:val="none" w:sz="0" w:space="0" w:color="auto"/>
        <w:right w:val="none" w:sz="0" w:space="0" w:color="auto"/>
      </w:divBdr>
    </w:div>
    <w:div w:id="74280638">
      <w:bodyDiv w:val="1"/>
      <w:marLeft w:val="0"/>
      <w:marRight w:val="0"/>
      <w:marTop w:val="0"/>
      <w:marBottom w:val="0"/>
      <w:divBdr>
        <w:top w:val="none" w:sz="0" w:space="0" w:color="auto"/>
        <w:left w:val="none" w:sz="0" w:space="0" w:color="auto"/>
        <w:bottom w:val="none" w:sz="0" w:space="0" w:color="auto"/>
        <w:right w:val="none" w:sz="0" w:space="0" w:color="auto"/>
      </w:divBdr>
    </w:div>
    <w:div w:id="77794269">
      <w:bodyDiv w:val="1"/>
      <w:marLeft w:val="0"/>
      <w:marRight w:val="0"/>
      <w:marTop w:val="0"/>
      <w:marBottom w:val="0"/>
      <w:divBdr>
        <w:top w:val="none" w:sz="0" w:space="0" w:color="auto"/>
        <w:left w:val="none" w:sz="0" w:space="0" w:color="auto"/>
        <w:bottom w:val="none" w:sz="0" w:space="0" w:color="auto"/>
        <w:right w:val="none" w:sz="0" w:space="0" w:color="auto"/>
      </w:divBdr>
    </w:div>
    <w:div w:id="78141133">
      <w:bodyDiv w:val="1"/>
      <w:marLeft w:val="0"/>
      <w:marRight w:val="0"/>
      <w:marTop w:val="0"/>
      <w:marBottom w:val="0"/>
      <w:divBdr>
        <w:top w:val="none" w:sz="0" w:space="0" w:color="auto"/>
        <w:left w:val="none" w:sz="0" w:space="0" w:color="auto"/>
        <w:bottom w:val="none" w:sz="0" w:space="0" w:color="auto"/>
        <w:right w:val="none" w:sz="0" w:space="0" w:color="auto"/>
      </w:divBdr>
    </w:div>
    <w:div w:id="78143174">
      <w:bodyDiv w:val="1"/>
      <w:marLeft w:val="0"/>
      <w:marRight w:val="0"/>
      <w:marTop w:val="0"/>
      <w:marBottom w:val="0"/>
      <w:divBdr>
        <w:top w:val="none" w:sz="0" w:space="0" w:color="auto"/>
        <w:left w:val="none" w:sz="0" w:space="0" w:color="auto"/>
        <w:bottom w:val="none" w:sz="0" w:space="0" w:color="auto"/>
        <w:right w:val="none" w:sz="0" w:space="0" w:color="auto"/>
      </w:divBdr>
    </w:div>
    <w:div w:id="83497711">
      <w:bodyDiv w:val="1"/>
      <w:marLeft w:val="0"/>
      <w:marRight w:val="0"/>
      <w:marTop w:val="0"/>
      <w:marBottom w:val="0"/>
      <w:divBdr>
        <w:top w:val="none" w:sz="0" w:space="0" w:color="auto"/>
        <w:left w:val="none" w:sz="0" w:space="0" w:color="auto"/>
        <w:bottom w:val="none" w:sz="0" w:space="0" w:color="auto"/>
        <w:right w:val="none" w:sz="0" w:space="0" w:color="auto"/>
      </w:divBdr>
    </w:div>
    <w:div w:id="86271895">
      <w:bodyDiv w:val="1"/>
      <w:marLeft w:val="0"/>
      <w:marRight w:val="0"/>
      <w:marTop w:val="0"/>
      <w:marBottom w:val="0"/>
      <w:divBdr>
        <w:top w:val="none" w:sz="0" w:space="0" w:color="auto"/>
        <w:left w:val="none" w:sz="0" w:space="0" w:color="auto"/>
        <w:bottom w:val="none" w:sz="0" w:space="0" w:color="auto"/>
        <w:right w:val="none" w:sz="0" w:space="0" w:color="auto"/>
      </w:divBdr>
    </w:div>
    <w:div w:id="86274064">
      <w:bodyDiv w:val="1"/>
      <w:marLeft w:val="0"/>
      <w:marRight w:val="0"/>
      <w:marTop w:val="0"/>
      <w:marBottom w:val="0"/>
      <w:divBdr>
        <w:top w:val="none" w:sz="0" w:space="0" w:color="auto"/>
        <w:left w:val="none" w:sz="0" w:space="0" w:color="auto"/>
        <w:bottom w:val="none" w:sz="0" w:space="0" w:color="auto"/>
        <w:right w:val="none" w:sz="0" w:space="0" w:color="auto"/>
      </w:divBdr>
    </w:div>
    <w:div w:id="86509318">
      <w:bodyDiv w:val="1"/>
      <w:marLeft w:val="0"/>
      <w:marRight w:val="0"/>
      <w:marTop w:val="0"/>
      <w:marBottom w:val="0"/>
      <w:divBdr>
        <w:top w:val="none" w:sz="0" w:space="0" w:color="auto"/>
        <w:left w:val="none" w:sz="0" w:space="0" w:color="auto"/>
        <w:bottom w:val="none" w:sz="0" w:space="0" w:color="auto"/>
        <w:right w:val="none" w:sz="0" w:space="0" w:color="auto"/>
      </w:divBdr>
    </w:div>
    <w:div w:id="87847649">
      <w:bodyDiv w:val="1"/>
      <w:marLeft w:val="0"/>
      <w:marRight w:val="0"/>
      <w:marTop w:val="0"/>
      <w:marBottom w:val="0"/>
      <w:divBdr>
        <w:top w:val="none" w:sz="0" w:space="0" w:color="auto"/>
        <w:left w:val="none" w:sz="0" w:space="0" w:color="auto"/>
        <w:bottom w:val="none" w:sz="0" w:space="0" w:color="auto"/>
        <w:right w:val="none" w:sz="0" w:space="0" w:color="auto"/>
      </w:divBdr>
    </w:div>
    <w:div w:id="91901644">
      <w:bodyDiv w:val="1"/>
      <w:marLeft w:val="0"/>
      <w:marRight w:val="0"/>
      <w:marTop w:val="0"/>
      <w:marBottom w:val="0"/>
      <w:divBdr>
        <w:top w:val="none" w:sz="0" w:space="0" w:color="auto"/>
        <w:left w:val="none" w:sz="0" w:space="0" w:color="auto"/>
        <w:bottom w:val="none" w:sz="0" w:space="0" w:color="auto"/>
        <w:right w:val="none" w:sz="0" w:space="0" w:color="auto"/>
      </w:divBdr>
    </w:div>
    <w:div w:id="94207537">
      <w:bodyDiv w:val="1"/>
      <w:marLeft w:val="0"/>
      <w:marRight w:val="0"/>
      <w:marTop w:val="0"/>
      <w:marBottom w:val="0"/>
      <w:divBdr>
        <w:top w:val="none" w:sz="0" w:space="0" w:color="auto"/>
        <w:left w:val="none" w:sz="0" w:space="0" w:color="auto"/>
        <w:bottom w:val="none" w:sz="0" w:space="0" w:color="auto"/>
        <w:right w:val="none" w:sz="0" w:space="0" w:color="auto"/>
      </w:divBdr>
    </w:div>
    <w:div w:id="95370907">
      <w:bodyDiv w:val="1"/>
      <w:marLeft w:val="0"/>
      <w:marRight w:val="0"/>
      <w:marTop w:val="0"/>
      <w:marBottom w:val="0"/>
      <w:divBdr>
        <w:top w:val="none" w:sz="0" w:space="0" w:color="auto"/>
        <w:left w:val="none" w:sz="0" w:space="0" w:color="auto"/>
        <w:bottom w:val="none" w:sz="0" w:space="0" w:color="auto"/>
        <w:right w:val="none" w:sz="0" w:space="0" w:color="auto"/>
      </w:divBdr>
    </w:div>
    <w:div w:id="96216600">
      <w:bodyDiv w:val="1"/>
      <w:marLeft w:val="0"/>
      <w:marRight w:val="0"/>
      <w:marTop w:val="0"/>
      <w:marBottom w:val="0"/>
      <w:divBdr>
        <w:top w:val="none" w:sz="0" w:space="0" w:color="auto"/>
        <w:left w:val="none" w:sz="0" w:space="0" w:color="auto"/>
        <w:bottom w:val="none" w:sz="0" w:space="0" w:color="auto"/>
        <w:right w:val="none" w:sz="0" w:space="0" w:color="auto"/>
      </w:divBdr>
    </w:div>
    <w:div w:id="100342425">
      <w:bodyDiv w:val="1"/>
      <w:marLeft w:val="0"/>
      <w:marRight w:val="0"/>
      <w:marTop w:val="0"/>
      <w:marBottom w:val="0"/>
      <w:divBdr>
        <w:top w:val="none" w:sz="0" w:space="0" w:color="auto"/>
        <w:left w:val="none" w:sz="0" w:space="0" w:color="auto"/>
        <w:bottom w:val="none" w:sz="0" w:space="0" w:color="auto"/>
        <w:right w:val="none" w:sz="0" w:space="0" w:color="auto"/>
      </w:divBdr>
    </w:div>
    <w:div w:id="102119371">
      <w:bodyDiv w:val="1"/>
      <w:marLeft w:val="0"/>
      <w:marRight w:val="0"/>
      <w:marTop w:val="0"/>
      <w:marBottom w:val="0"/>
      <w:divBdr>
        <w:top w:val="none" w:sz="0" w:space="0" w:color="auto"/>
        <w:left w:val="none" w:sz="0" w:space="0" w:color="auto"/>
        <w:bottom w:val="none" w:sz="0" w:space="0" w:color="auto"/>
        <w:right w:val="none" w:sz="0" w:space="0" w:color="auto"/>
      </w:divBdr>
    </w:div>
    <w:div w:id="104859289">
      <w:bodyDiv w:val="1"/>
      <w:marLeft w:val="0"/>
      <w:marRight w:val="0"/>
      <w:marTop w:val="0"/>
      <w:marBottom w:val="0"/>
      <w:divBdr>
        <w:top w:val="none" w:sz="0" w:space="0" w:color="auto"/>
        <w:left w:val="none" w:sz="0" w:space="0" w:color="auto"/>
        <w:bottom w:val="none" w:sz="0" w:space="0" w:color="auto"/>
        <w:right w:val="none" w:sz="0" w:space="0" w:color="auto"/>
      </w:divBdr>
    </w:div>
    <w:div w:id="107357389">
      <w:bodyDiv w:val="1"/>
      <w:marLeft w:val="0"/>
      <w:marRight w:val="0"/>
      <w:marTop w:val="0"/>
      <w:marBottom w:val="0"/>
      <w:divBdr>
        <w:top w:val="none" w:sz="0" w:space="0" w:color="auto"/>
        <w:left w:val="none" w:sz="0" w:space="0" w:color="auto"/>
        <w:bottom w:val="none" w:sz="0" w:space="0" w:color="auto"/>
        <w:right w:val="none" w:sz="0" w:space="0" w:color="auto"/>
      </w:divBdr>
    </w:div>
    <w:div w:id="108210149">
      <w:bodyDiv w:val="1"/>
      <w:marLeft w:val="0"/>
      <w:marRight w:val="0"/>
      <w:marTop w:val="0"/>
      <w:marBottom w:val="0"/>
      <w:divBdr>
        <w:top w:val="none" w:sz="0" w:space="0" w:color="auto"/>
        <w:left w:val="none" w:sz="0" w:space="0" w:color="auto"/>
        <w:bottom w:val="none" w:sz="0" w:space="0" w:color="auto"/>
        <w:right w:val="none" w:sz="0" w:space="0" w:color="auto"/>
      </w:divBdr>
    </w:div>
    <w:div w:id="116459435">
      <w:bodyDiv w:val="1"/>
      <w:marLeft w:val="0"/>
      <w:marRight w:val="0"/>
      <w:marTop w:val="0"/>
      <w:marBottom w:val="0"/>
      <w:divBdr>
        <w:top w:val="none" w:sz="0" w:space="0" w:color="auto"/>
        <w:left w:val="none" w:sz="0" w:space="0" w:color="auto"/>
        <w:bottom w:val="none" w:sz="0" w:space="0" w:color="auto"/>
        <w:right w:val="none" w:sz="0" w:space="0" w:color="auto"/>
      </w:divBdr>
    </w:div>
    <w:div w:id="116532062">
      <w:bodyDiv w:val="1"/>
      <w:marLeft w:val="0"/>
      <w:marRight w:val="0"/>
      <w:marTop w:val="0"/>
      <w:marBottom w:val="0"/>
      <w:divBdr>
        <w:top w:val="none" w:sz="0" w:space="0" w:color="auto"/>
        <w:left w:val="none" w:sz="0" w:space="0" w:color="auto"/>
        <w:bottom w:val="none" w:sz="0" w:space="0" w:color="auto"/>
        <w:right w:val="none" w:sz="0" w:space="0" w:color="auto"/>
      </w:divBdr>
    </w:div>
    <w:div w:id="119541647">
      <w:bodyDiv w:val="1"/>
      <w:marLeft w:val="0"/>
      <w:marRight w:val="0"/>
      <w:marTop w:val="0"/>
      <w:marBottom w:val="0"/>
      <w:divBdr>
        <w:top w:val="none" w:sz="0" w:space="0" w:color="auto"/>
        <w:left w:val="none" w:sz="0" w:space="0" w:color="auto"/>
        <w:bottom w:val="none" w:sz="0" w:space="0" w:color="auto"/>
        <w:right w:val="none" w:sz="0" w:space="0" w:color="auto"/>
      </w:divBdr>
    </w:div>
    <w:div w:id="121578532">
      <w:bodyDiv w:val="1"/>
      <w:marLeft w:val="0"/>
      <w:marRight w:val="0"/>
      <w:marTop w:val="0"/>
      <w:marBottom w:val="0"/>
      <w:divBdr>
        <w:top w:val="none" w:sz="0" w:space="0" w:color="auto"/>
        <w:left w:val="none" w:sz="0" w:space="0" w:color="auto"/>
        <w:bottom w:val="none" w:sz="0" w:space="0" w:color="auto"/>
        <w:right w:val="none" w:sz="0" w:space="0" w:color="auto"/>
      </w:divBdr>
    </w:div>
    <w:div w:id="123541782">
      <w:bodyDiv w:val="1"/>
      <w:marLeft w:val="0"/>
      <w:marRight w:val="0"/>
      <w:marTop w:val="0"/>
      <w:marBottom w:val="0"/>
      <w:divBdr>
        <w:top w:val="none" w:sz="0" w:space="0" w:color="auto"/>
        <w:left w:val="none" w:sz="0" w:space="0" w:color="auto"/>
        <w:bottom w:val="none" w:sz="0" w:space="0" w:color="auto"/>
        <w:right w:val="none" w:sz="0" w:space="0" w:color="auto"/>
      </w:divBdr>
    </w:div>
    <w:div w:id="126122111">
      <w:bodyDiv w:val="1"/>
      <w:marLeft w:val="0"/>
      <w:marRight w:val="0"/>
      <w:marTop w:val="0"/>
      <w:marBottom w:val="0"/>
      <w:divBdr>
        <w:top w:val="none" w:sz="0" w:space="0" w:color="auto"/>
        <w:left w:val="none" w:sz="0" w:space="0" w:color="auto"/>
        <w:bottom w:val="none" w:sz="0" w:space="0" w:color="auto"/>
        <w:right w:val="none" w:sz="0" w:space="0" w:color="auto"/>
      </w:divBdr>
    </w:div>
    <w:div w:id="127018056">
      <w:bodyDiv w:val="1"/>
      <w:marLeft w:val="0"/>
      <w:marRight w:val="0"/>
      <w:marTop w:val="0"/>
      <w:marBottom w:val="0"/>
      <w:divBdr>
        <w:top w:val="none" w:sz="0" w:space="0" w:color="auto"/>
        <w:left w:val="none" w:sz="0" w:space="0" w:color="auto"/>
        <w:bottom w:val="none" w:sz="0" w:space="0" w:color="auto"/>
        <w:right w:val="none" w:sz="0" w:space="0" w:color="auto"/>
      </w:divBdr>
    </w:div>
    <w:div w:id="127213224">
      <w:bodyDiv w:val="1"/>
      <w:marLeft w:val="0"/>
      <w:marRight w:val="0"/>
      <w:marTop w:val="0"/>
      <w:marBottom w:val="0"/>
      <w:divBdr>
        <w:top w:val="none" w:sz="0" w:space="0" w:color="auto"/>
        <w:left w:val="none" w:sz="0" w:space="0" w:color="auto"/>
        <w:bottom w:val="none" w:sz="0" w:space="0" w:color="auto"/>
        <w:right w:val="none" w:sz="0" w:space="0" w:color="auto"/>
      </w:divBdr>
    </w:div>
    <w:div w:id="127403914">
      <w:bodyDiv w:val="1"/>
      <w:marLeft w:val="0"/>
      <w:marRight w:val="0"/>
      <w:marTop w:val="0"/>
      <w:marBottom w:val="0"/>
      <w:divBdr>
        <w:top w:val="none" w:sz="0" w:space="0" w:color="auto"/>
        <w:left w:val="none" w:sz="0" w:space="0" w:color="auto"/>
        <w:bottom w:val="none" w:sz="0" w:space="0" w:color="auto"/>
        <w:right w:val="none" w:sz="0" w:space="0" w:color="auto"/>
      </w:divBdr>
    </w:div>
    <w:div w:id="131095717">
      <w:bodyDiv w:val="1"/>
      <w:marLeft w:val="0"/>
      <w:marRight w:val="0"/>
      <w:marTop w:val="0"/>
      <w:marBottom w:val="0"/>
      <w:divBdr>
        <w:top w:val="none" w:sz="0" w:space="0" w:color="auto"/>
        <w:left w:val="none" w:sz="0" w:space="0" w:color="auto"/>
        <w:bottom w:val="none" w:sz="0" w:space="0" w:color="auto"/>
        <w:right w:val="none" w:sz="0" w:space="0" w:color="auto"/>
      </w:divBdr>
    </w:div>
    <w:div w:id="132873667">
      <w:bodyDiv w:val="1"/>
      <w:marLeft w:val="0"/>
      <w:marRight w:val="0"/>
      <w:marTop w:val="0"/>
      <w:marBottom w:val="0"/>
      <w:divBdr>
        <w:top w:val="none" w:sz="0" w:space="0" w:color="auto"/>
        <w:left w:val="none" w:sz="0" w:space="0" w:color="auto"/>
        <w:bottom w:val="none" w:sz="0" w:space="0" w:color="auto"/>
        <w:right w:val="none" w:sz="0" w:space="0" w:color="auto"/>
      </w:divBdr>
    </w:div>
    <w:div w:id="133067749">
      <w:bodyDiv w:val="1"/>
      <w:marLeft w:val="0"/>
      <w:marRight w:val="0"/>
      <w:marTop w:val="0"/>
      <w:marBottom w:val="0"/>
      <w:divBdr>
        <w:top w:val="none" w:sz="0" w:space="0" w:color="auto"/>
        <w:left w:val="none" w:sz="0" w:space="0" w:color="auto"/>
        <w:bottom w:val="none" w:sz="0" w:space="0" w:color="auto"/>
        <w:right w:val="none" w:sz="0" w:space="0" w:color="auto"/>
      </w:divBdr>
    </w:div>
    <w:div w:id="134763259">
      <w:bodyDiv w:val="1"/>
      <w:marLeft w:val="0"/>
      <w:marRight w:val="0"/>
      <w:marTop w:val="0"/>
      <w:marBottom w:val="0"/>
      <w:divBdr>
        <w:top w:val="none" w:sz="0" w:space="0" w:color="auto"/>
        <w:left w:val="none" w:sz="0" w:space="0" w:color="auto"/>
        <w:bottom w:val="none" w:sz="0" w:space="0" w:color="auto"/>
        <w:right w:val="none" w:sz="0" w:space="0" w:color="auto"/>
      </w:divBdr>
      <w:divsChild>
        <w:div w:id="170611104">
          <w:marLeft w:val="0"/>
          <w:marRight w:val="83"/>
          <w:marTop w:val="0"/>
          <w:marBottom w:val="0"/>
          <w:divBdr>
            <w:top w:val="none" w:sz="0" w:space="0" w:color="auto"/>
            <w:left w:val="none" w:sz="0" w:space="0" w:color="auto"/>
            <w:bottom w:val="none" w:sz="0" w:space="0" w:color="auto"/>
            <w:right w:val="none" w:sz="0" w:space="0" w:color="auto"/>
          </w:divBdr>
        </w:div>
        <w:div w:id="1727146921">
          <w:marLeft w:val="0"/>
          <w:marRight w:val="0"/>
          <w:marTop w:val="0"/>
          <w:marBottom w:val="0"/>
          <w:divBdr>
            <w:top w:val="none" w:sz="0" w:space="0" w:color="auto"/>
            <w:left w:val="none" w:sz="0" w:space="0" w:color="auto"/>
            <w:bottom w:val="none" w:sz="0" w:space="0" w:color="auto"/>
            <w:right w:val="none" w:sz="0" w:space="0" w:color="auto"/>
          </w:divBdr>
          <w:divsChild>
            <w:div w:id="1770270629">
              <w:marLeft w:val="0"/>
              <w:marRight w:val="0"/>
              <w:marTop w:val="0"/>
              <w:marBottom w:val="0"/>
              <w:divBdr>
                <w:top w:val="none" w:sz="0" w:space="0" w:color="auto"/>
                <w:left w:val="none" w:sz="0" w:space="0" w:color="auto"/>
                <w:bottom w:val="none" w:sz="0" w:space="0" w:color="auto"/>
                <w:right w:val="none" w:sz="0" w:space="0" w:color="auto"/>
              </w:divBdr>
              <w:divsChild>
                <w:div w:id="1221552515">
                  <w:marLeft w:val="0"/>
                  <w:marRight w:val="0"/>
                  <w:marTop w:val="0"/>
                  <w:marBottom w:val="0"/>
                  <w:divBdr>
                    <w:top w:val="none" w:sz="0" w:space="0" w:color="auto"/>
                    <w:left w:val="none" w:sz="0" w:space="0" w:color="auto"/>
                    <w:bottom w:val="none" w:sz="0" w:space="0" w:color="auto"/>
                    <w:right w:val="none" w:sz="0" w:space="0" w:color="auto"/>
                  </w:divBdr>
                </w:div>
                <w:div w:id="1938443985">
                  <w:marLeft w:val="0"/>
                  <w:marRight w:val="0"/>
                  <w:marTop w:val="0"/>
                  <w:marBottom w:val="0"/>
                  <w:divBdr>
                    <w:top w:val="none" w:sz="0" w:space="0" w:color="auto"/>
                    <w:left w:val="none" w:sz="0" w:space="0" w:color="auto"/>
                    <w:bottom w:val="none" w:sz="0" w:space="0" w:color="auto"/>
                    <w:right w:val="none" w:sz="0" w:space="0" w:color="auto"/>
                  </w:divBdr>
                  <w:divsChild>
                    <w:div w:id="187302444">
                      <w:marLeft w:val="0"/>
                      <w:marRight w:val="0"/>
                      <w:marTop w:val="0"/>
                      <w:marBottom w:val="0"/>
                      <w:divBdr>
                        <w:top w:val="none" w:sz="0" w:space="0" w:color="auto"/>
                        <w:left w:val="none" w:sz="0" w:space="0" w:color="auto"/>
                        <w:bottom w:val="none" w:sz="0" w:space="0" w:color="auto"/>
                        <w:right w:val="none" w:sz="0" w:space="0" w:color="auto"/>
                      </w:divBdr>
                    </w:div>
                    <w:div w:id="129775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69101">
      <w:bodyDiv w:val="1"/>
      <w:marLeft w:val="0"/>
      <w:marRight w:val="0"/>
      <w:marTop w:val="0"/>
      <w:marBottom w:val="0"/>
      <w:divBdr>
        <w:top w:val="none" w:sz="0" w:space="0" w:color="auto"/>
        <w:left w:val="none" w:sz="0" w:space="0" w:color="auto"/>
        <w:bottom w:val="none" w:sz="0" w:space="0" w:color="auto"/>
        <w:right w:val="none" w:sz="0" w:space="0" w:color="auto"/>
      </w:divBdr>
    </w:div>
    <w:div w:id="137772914">
      <w:bodyDiv w:val="1"/>
      <w:marLeft w:val="0"/>
      <w:marRight w:val="0"/>
      <w:marTop w:val="0"/>
      <w:marBottom w:val="0"/>
      <w:divBdr>
        <w:top w:val="none" w:sz="0" w:space="0" w:color="auto"/>
        <w:left w:val="none" w:sz="0" w:space="0" w:color="auto"/>
        <w:bottom w:val="none" w:sz="0" w:space="0" w:color="auto"/>
        <w:right w:val="none" w:sz="0" w:space="0" w:color="auto"/>
      </w:divBdr>
    </w:div>
    <w:div w:id="142477579">
      <w:bodyDiv w:val="1"/>
      <w:marLeft w:val="0"/>
      <w:marRight w:val="0"/>
      <w:marTop w:val="0"/>
      <w:marBottom w:val="0"/>
      <w:divBdr>
        <w:top w:val="none" w:sz="0" w:space="0" w:color="auto"/>
        <w:left w:val="none" w:sz="0" w:space="0" w:color="auto"/>
        <w:bottom w:val="none" w:sz="0" w:space="0" w:color="auto"/>
        <w:right w:val="none" w:sz="0" w:space="0" w:color="auto"/>
      </w:divBdr>
    </w:div>
    <w:div w:id="142619773">
      <w:bodyDiv w:val="1"/>
      <w:marLeft w:val="0"/>
      <w:marRight w:val="0"/>
      <w:marTop w:val="0"/>
      <w:marBottom w:val="0"/>
      <w:divBdr>
        <w:top w:val="none" w:sz="0" w:space="0" w:color="auto"/>
        <w:left w:val="none" w:sz="0" w:space="0" w:color="auto"/>
        <w:bottom w:val="none" w:sz="0" w:space="0" w:color="auto"/>
        <w:right w:val="none" w:sz="0" w:space="0" w:color="auto"/>
      </w:divBdr>
    </w:div>
    <w:div w:id="144856199">
      <w:bodyDiv w:val="1"/>
      <w:marLeft w:val="0"/>
      <w:marRight w:val="0"/>
      <w:marTop w:val="0"/>
      <w:marBottom w:val="0"/>
      <w:divBdr>
        <w:top w:val="none" w:sz="0" w:space="0" w:color="auto"/>
        <w:left w:val="none" w:sz="0" w:space="0" w:color="auto"/>
        <w:bottom w:val="none" w:sz="0" w:space="0" w:color="auto"/>
        <w:right w:val="none" w:sz="0" w:space="0" w:color="auto"/>
      </w:divBdr>
    </w:div>
    <w:div w:id="145169973">
      <w:bodyDiv w:val="1"/>
      <w:marLeft w:val="0"/>
      <w:marRight w:val="0"/>
      <w:marTop w:val="0"/>
      <w:marBottom w:val="0"/>
      <w:divBdr>
        <w:top w:val="none" w:sz="0" w:space="0" w:color="auto"/>
        <w:left w:val="none" w:sz="0" w:space="0" w:color="auto"/>
        <w:bottom w:val="none" w:sz="0" w:space="0" w:color="auto"/>
        <w:right w:val="none" w:sz="0" w:space="0" w:color="auto"/>
      </w:divBdr>
    </w:div>
    <w:div w:id="145899346">
      <w:bodyDiv w:val="1"/>
      <w:marLeft w:val="0"/>
      <w:marRight w:val="0"/>
      <w:marTop w:val="0"/>
      <w:marBottom w:val="0"/>
      <w:divBdr>
        <w:top w:val="none" w:sz="0" w:space="0" w:color="auto"/>
        <w:left w:val="none" w:sz="0" w:space="0" w:color="auto"/>
        <w:bottom w:val="none" w:sz="0" w:space="0" w:color="auto"/>
        <w:right w:val="none" w:sz="0" w:space="0" w:color="auto"/>
      </w:divBdr>
    </w:div>
    <w:div w:id="146362950">
      <w:bodyDiv w:val="1"/>
      <w:marLeft w:val="0"/>
      <w:marRight w:val="0"/>
      <w:marTop w:val="0"/>
      <w:marBottom w:val="0"/>
      <w:divBdr>
        <w:top w:val="none" w:sz="0" w:space="0" w:color="auto"/>
        <w:left w:val="none" w:sz="0" w:space="0" w:color="auto"/>
        <w:bottom w:val="none" w:sz="0" w:space="0" w:color="auto"/>
        <w:right w:val="none" w:sz="0" w:space="0" w:color="auto"/>
      </w:divBdr>
    </w:div>
    <w:div w:id="152071680">
      <w:bodyDiv w:val="1"/>
      <w:marLeft w:val="0"/>
      <w:marRight w:val="0"/>
      <w:marTop w:val="0"/>
      <w:marBottom w:val="0"/>
      <w:divBdr>
        <w:top w:val="none" w:sz="0" w:space="0" w:color="auto"/>
        <w:left w:val="none" w:sz="0" w:space="0" w:color="auto"/>
        <w:bottom w:val="none" w:sz="0" w:space="0" w:color="auto"/>
        <w:right w:val="none" w:sz="0" w:space="0" w:color="auto"/>
      </w:divBdr>
    </w:div>
    <w:div w:id="152377278">
      <w:bodyDiv w:val="1"/>
      <w:marLeft w:val="0"/>
      <w:marRight w:val="0"/>
      <w:marTop w:val="0"/>
      <w:marBottom w:val="0"/>
      <w:divBdr>
        <w:top w:val="none" w:sz="0" w:space="0" w:color="auto"/>
        <w:left w:val="none" w:sz="0" w:space="0" w:color="auto"/>
        <w:bottom w:val="none" w:sz="0" w:space="0" w:color="auto"/>
        <w:right w:val="none" w:sz="0" w:space="0" w:color="auto"/>
      </w:divBdr>
    </w:div>
    <w:div w:id="152575220">
      <w:bodyDiv w:val="1"/>
      <w:marLeft w:val="0"/>
      <w:marRight w:val="0"/>
      <w:marTop w:val="0"/>
      <w:marBottom w:val="0"/>
      <w:divBdr>
        <w:top w:val="none" w:sz="0" w:space="0" w:color="auto"/>
        <w:left w:val="none" w:sz="0" w:space="0" w:color="auto"/>
        <w:bottom w:val="none" w:sz="0" w:space="0" w:color="auto"/>
        <w:right w:val="none" w:sz="0" w:space="0" w:color="auto"/>
      </w:divBdr>
    </w:div>
    <w:div w:id="153306833">
      <w:bodyDiv w:val="1"/>
      <w:marLeft w:val="0"/>
      <w:marRight w:val="0"/>
      <w:marTop w:val="0"/>
      <w:marBottom w:val="0"/>
      <w:divBdr>
        <w:top w:val="none" w:sz="0" w:space="0" w:color="auto"/>
        <w:left w:val="none" w:sz="0" w:space="0" w:color="auto"/>
        <w:bottom w:val="none" w:sz="0" w:space="0" w:color="auto"/>
        <w:right w:val="none" w:sz="0" w:space="0" w:color="auto"/>
      </w:divBdr>
    </w:div>
    <w:div w:id="159851390">
      <w:bodyDiv w:val="1"/>
      <w:marLeft w:val="0"/>
      <w:marRight w:val="0"/>
      <w:marTop w:val="0"/>
      <w:marBottom w:val="0"/>
      <w:divBdr>
        <w:top w:val="none" w:sz="0" w:space="0" w:color="auto"/>
        <w:left w:val="none" w:sz="0" w:space="0" w:color="auto"/>
        <w:bottom w:val="none" w:sz="0" w:space="0" w:color="auto"/>
        <w:right w:val="none" w:sz="0" w:space="0" w:color="auto"/>
      </w:divBdr>
    </w:div>
    <w:div w:id="160778333">
      <w:bodyDiv w:val="1"/>
      <w:marLeft w:val="0"/>
      <w:marRight w:val="0"/>
      <w:marTop w:val="0"/>
      <w:marBottom w:val="0"/>
      <w:divBdr>
        <w:top w:val="none" w:sz="0" w:space="0" w:color="auto"/>
        <w:left w:val="none" w:sz="0" w:space="0" w:color="auto"/>
        <w:bottom w:val="none" w:sz="0" w:space="0" w:color="auto"/>
        <w:right w:val="none" w:sz="0" w:space="0" w:color="auto"/>
      </w:divBdr>
    </w:div>
    <w:div w:id="162862210">
      <w:bodyDiv w:val="1"/>
      <w:marLeft w:val="0"/>
      <w:marRight w:val="0"/>
      <w:marTop w:val="0"/>
      <w:marBottom w:val="0"/>
      <w:divBdr>
        <w:top w:val="none" w:sz="0" w:space="0" w:color="auto"/>
        <w:left w:val="none" w:sz="0" w:space="0" w:color="auto"/>
        <w:bottom w:val="none" w:sz="0" w:space="0" w:color="auto"/>
        <w:right w:val="none" w:sz="0" w:space="0" w:color="auto"/>
      </w:divBdr>
    </w:div>
    <w:div w:id="163211436">
      <w:bodyDiv w:val="1"/>
      <w:marLeft w:val="0"/>
      <w:marRight w:val="0"/>
      <w:marTop w:val="0"/>
      <w:marBottom w:val="0"/>
      <w:divBdr>
        <w:top w:val="none" w:sz="0" w:space="0" w:color="auto"/>
        <w:left w:val="none" w:sz="0" w:space="0" w:color="auto"/>
        <w:bottom w:val="none" w:sz="0" w:space="0" w:color="auto"/>
        <w:right w:val="none" w:sz="0" w:space="0" w:color="auto"/>
      </w:divBdr>
    </w:div>
    <w:div w:id="163521453">
      <w:bodyDiv w:val="1"/>
      <w:marLeft w:val="0"/>
      <w:marRight w:val="0"/>
      <w:marTop w:val="0"/>
      <w:marBottom w:val="0"/>
      <w:divBdr>
        <w:top w:val="none" w:sz="0" w:space="0" w:color="auto"/>
        <w:left w:val="none" w:sz="0" w:space="0" w:color="auto"/>
        <w:bottom w:val="none" w:sz="0" w:space="0" w:color="auto"/>
        <w:right w:val="none" w:sz="0" w:space="0" w:color="auto"/>
      </w:divBdr>
    </w:div>
    <w:div w:id="165900742">
      <w:bodyDiv w:val="1"/>
      <w:marLeft w:val="0"/>
      <w:marRight w:val="0"/>
      <w:marTop w:val="0"/>
      <w:marBottom w:val="0"/>
      <w:divBdr>
        <w:top w:val="none" w:sz="0" w:space="0" w:color="auto"/>
        <w:left w:val="none" w:sz="0" w:space="0" w:color="auto"/>
        <w:bottom w:val="none" w:sz="0" w:space="0" w:color="auto"/>
        <w:right w:val="none" w:sz="0" w:space="0" w:color="auto"/>
      </w:divBdr>
    </w:div>
    <w:div w:id="166291667">
      <w:bodyDiv w:val="1"/>
      <w:marLeft w:val="0"/>
      <w:marRight w:val="0"/>
      <w:marTop w:val="0"/>
      <w:marBottom w:val="0"/>
      <w:divBdr>
        <w:top w:val="none" w:sz="0" w:space="0" w:color="auto"/>
        <w:left w:val="none" w:sz="0" w:space="0" w:color="auto"/>
        <w:bottom w:val="none" w:sz="0" w:space="0" w:color="auto"/>
        <w:right w:val="none" w:sz="0" w:space="0" w:color="auto"/>
      </w:divBdr>
    </w:div>
    <w:div w:id="171840804">
      <w:bodyDiv w:val="1"/>
      <w:marLeft w:val="0"/>
      <w:marRight w:val="0"/>
      <w:marTop w:val="0"/>
      <w:marBottom w:val="0"/>
      <w:divBdr>
        <w:top w:val="none" w:sz="0" w:space="0" w:color="auto"/>
        <w:left w:val="none" w:sz="0" w:space="0" w:color="auto"/>
        <w:bottom w:val="none" w:sz="0" w:space="0" w:color="auto"/>
        <w:right w:val="none" w:sz="0" w:space="0" w:color="auto"/>
      </w:divBdr>
    </w:div>
    <w:div w:id="173305058">
      <w:bodyDiv w:val="1"/>
      <w:marLeft w:val="0"/>
      <w:marRight w:val="0"/>
      <w:marTop w:val="0"/>
      <w:marBottom w:val="0"/>
      <w:divBdr>
        <w:top w:val="none" w:sz="0" w:space="0" w:color="auto"/>
        <w:left w:val="none" w:sz="0" w:space="0" w:color="auto"/>
        <w:bottom w:val="none" w:sz="0" w:space="0" w:color="auto"/>
        <w:right w:val="none" w:sz="0" w:space="0" w:color="auto"/>
      </w:divBdr>
    </w:div>
    <w:div w:id="176775140">
      <w:bodyDiv w:val="1"/>
      <w:marLeft w:val="0"/>
      <w:marRight w:val="0"/>
      <w:marTop w:val="0"/>
      <w:marBottom w:val="0"/>
      <w:divBdr>
        <w:top w:val="none" w:sz="0" w:space="0" w:color="auto"/>
        <w:left w:val="none" w:sz="0" w:space="0" w:color="auto"/>
        <w:bottom w:val="none" w:sz="0" w:space="0" w:color="auto"/>
        <w:right w:val="none" w:sz="0" w:space="0" w:color="auto"/>
      </w:divBdr>
    </w:div>
    <w:div w:id="179046478">
      <w:bodyDiv w:val="1"/>
      <w:marLeft w:val="0"/>
      <w:marRight w:val="0"/>
      <w:marTop w:val="0"/>
      <w:marBottom w:val="0"/>
      <w:divBdr>
        <w:top w:val="none" w:sz="0" w:space="0" w:color="auto"/>
        <w:left w:val="none" w:sz="0" w:space="0" w:color="auto"/>
        <w:bottom w:val="none" w:sz="0" w:space="0" w:color="auto"/>
        <w:right w:val="none" w:sz="0" w:space="0" w:color="auto"/>
      </w:divBdr>
    </w:div>
    <w:div w:id="179247669">
      <w:bodyDiv w:val="1"/>
      <w:marLeft w:val="0"/>
      <w:marRight w:val="0"/>
      <w:marTop w:val="0"/>
      <w:marBottom w:val="0"/>
      <w:divBdr>
        <w:top w:val="none" w:sz="0" w:space="0" w:color="auto"/>
        <w:left w:val="none" w:sz="0" w:space="0" w:color="auto"/>
        <w:bottom w:val="none" w:sz="0" w:space="0" w:color="auto"/>
        <w:right w:val="none" w:sz="0" w:space="0" w:color="auto"/>
      </w:divBdr>
    </w:div>
    <w:div w:id="179665496">
      <w:bodyDiv w:val="1"/>
      <w:marLeft w:val="0"/>
      <w:marRight w:val="0"/>
      <w:marTop w:val="0"/>
      <w:marBottom w:val="0"/>
      <w:divBdr>
        <w:top w:val="none" w:sz="0" w:space="0" w:color="auto"/>
        <w:left w:val="none" w:sz="0" w:space="0" w:color="auto"/>
        <w:bottom w:val="none" w:sz="0" w:space="0" w:color="auto"/>
        <w:right w:val="none" w:sz="0" w:space="0" w:color="auto"/>
      </w:divBdr>
    </w:div>
    <w:div w:id="180360846">
      <w:bodyDiv w:val="1"/>
      <w:marLeft w:val="0"/>
      <w:marRight w:val="0"/>
      <w:marTop w:val="0"/>
      <w:marBottom w:val="0"/>
      <w:divBdr>
        <w:top w:val="none" w:sz="0" w:space="0" w:color="auto"/>
        <w:left w:val="none" w:sz="0" w:space="0" w:color="auto"/>
        <w:bottom w:val="none" w:sz="0" w:space="0" w:color="auto"/>
        <w:right w:val="none" w:sz="0" w:space="0" w:color="auto"/>
      </w:divBdr>
    </w:div>
    <w:div w:id="180823727">
      <w:bodyDiv w:val="1"/>
      <w:marLeft w:val="0"/>
      <w:marRight w:val="0"/>
      <w:marTop w:val="0"/>
      <w:marBottom w:val="0"/>
      <w:divBdr>
        <w:top w:val="none" w:sz="0" w:space="0" w:color="auto"/>
        <w:left w:val="none" w:sz="0" w:space="0" w:color="auto"/>
        <w:bottom w:val="none" w:sz="0" w:space="0" w:color="auto"/>
        <w:right w:val="none" w:sz="0" w:space="0" w:color="auto"/>
      </w:divBdr>
    </w:div>
    <w:div w:id="184055054">
      <w:bodyDiv w:val="1"/>
      <w:marLeft w:val="0"/>
      <w:marRight w:val="0"/>
      <w:marTop w:val="0"/>
      <w:marBottom w:val="0"/>
      <w:divBdr>
        <w:top w:val="none" w:sz="0" w:space="0" w:color="auto"/>
        <w:left w:val="none" w:sz="0" w:space="0" w:color="auto"/>
        <w:bottom w:val="none" w:sz="0" w:space="0" w:color="auto"/>
        <w:right w:val="none" w:sz="0" w:space="0" w:color="auto"/>
      </w:divBdr>
    </w:div>
    <w:div w:id="185217778">
      <w:bodyDiv w:val="1"/>
      <w:marLeft w:val="0"/>
      <w:marRight w:val="0"/>
      <w:marTop w:val="0"/>
      <w:marBottom w:val="0"/>
      <w:divBdr>
        <w:top w:val="none" w:sz="0" w:space="0" w:color="auto"/>
        <w:left w:val="none" w:sz="0" w:space="0" w:color="auto"/>
        <w:bottom w:val="none" w:sz="0" w:space="0" w:color="auto"/>
        <w:right w:val="none" w:sz="0" w:space="0" w:color="auto"/>
      </w:divBdr>
    </w:div>
    <w:div w:id="188374425">
      <w:bodyDiv w:val="1"/>
      <w:marLeft w:val="0"/>
      <w:marRight w:val="0"/>
      <w:marTop w:val="0"/>
      <w:marBottom w:val="0"/>
      <w:divBdr>
        <w:top w:val="none" w:sz="0" w:space="0" w:color="auto"/>
        <w:left w:val="none" w:sz="0" w:space="0" w:color="auto"/>
        <w:bottom w:val="none" w:sz="0" w:space="0" w:color="auto"/>
        <w:right w:val="none" w:sz="0" w:space="0" w:color="auto"/>
      </w:divBdr>
    </w:div>
    <w:div w:id="189295252">
      <w:bodyDiv w:val="1"/>
      <w:marLeft w:val="0"/>
      <w:marRight w:val="0"/>
      <w:marTop w:val="0"/>
      <w:marBottom w:val="0"/>
      <w:divBdr>
        <w:top w:val="none" w:sz="0" w:space="0" w:color="auto"/>
        <w:left w:val="none" w:sz="0" w:space="0" w:color="auto"/>
        <w:bottom w:val="none" w:sz="0" w:space="0" w:color="auto"/>
        <w:right w:val="none" w:sz="0" w:space="0" w:color="auto"/>
      </w:divBdr>
    </w:div>
    <w:div w:id="191503146">
      <w:bodyDiv w:val="1"/>
      <w:marLeft w:val="0"/>
      <w:marRight w:val="0"/>
      <w:marTop w:val="0"/>
      <w:marBottom w:val="0"/>
      <w:divBdr>
        <w:top w:val="none" w:sz="0" w:space="0" w:color="auto"/>
        <w:left w:val="none" w:sz="0" w:space="0" w:color="auto"/>
        <w:bottom w:val="none" w:sz="0" w:space="0" w:color="auto"/>
        <w:right w:val="none" w:sz="0" w:space="0" w:color="auto"/>
      </w:divBdr>
    </w:div>
    <w:div w:id="192617469">
      <w:bodyDiv w:val="1"/>
      <w:marLeft w:val="0"/>
      <w:marRight w:val="0"/>
      <w:marTop w:val="0"/>
      <w:marBottom w:val="0"/>
      <w:divBdr>
        <w:top w:val="none" w:sz="0" w:space="0" w:color="auto"/>
        <w:left w:val="none" w:sz="0" w:space="0" w:color="auto"/>
        <w:bottom w:val="none" w:sz="0" w:space="0" w:color="auto"/>
        <w:right w:val="none" w:sz="0" w:space="0" w:color="auto"/>
      </w:divBdr>
    </w:div>
    <w:div w:id="193346049">
      <w:bodyDiv w:val="1"/>
      <w:marLeft w:val="0"/>
      <w:marRight w:val="0"/>
      <w:marTop w:val="0"/>
      <w:marBottom w:val="0"/>
      <w:divBdr>
        <w:top w:val="none" w:sz="0" w:space="0" w:color="auto"/>
        <w:left w:val="none" w:sz="0" w:space="0" w:color="auto"/>
        <w:bottom w:val="none" w:sz="0" w:space="0" w:color="auto"/>
        <w:right w:val="none" w:sz="0" w:space="0" w:color="auto"/>
      </w:divBdr>
    </w:div>
    <w:div w:id="193882987">
      <w:bodyDiv w:val="1"/>
      <w:marLeft w:val="0"/>
      <w:marRight w:val="0"/>
      <w:marTop w:val="0"/>
      <w:marBottom w:val="0"/>
      <w:divBdr>
        <w:top w:val="none" w:sz="0" w:space="0" w:color="auto"/>
        <w:left w:val="none" w:sz="0" w:space="0" w:color="auto"/>
        <w:bottom w:val="none" w:sz="0" w:space="0" w:color="auto"/>
        <w:right w:val="none" w:sz="0" w:space="0" w:color="auto"/>
      </w:divBdr>
      <w:divsChild>
        <w:div w:id="1632318501">
          <w:marLeft w:val="0"/>
          <w:marRight w:val="0"/>
          <w:marTop w:val="0"/>
          <w:marBottom w:val="0"/>
          <w:divBdr>
            <w:top w:val="none" w:sz="0" w:space="0" w:color="auto"/>
            <w:left w:val="none" w:sz="0" w:space="0" w:color="auto"/>
            <w:bottom w:val="none" w:sz="0" w:space="0" w:color="auto"/>
            <w:right w:val="none" w:sz="0" w:space="0" w:color="auto"/>
          </w:divBdr>
        </w:div>
      </w:divsChild>
    </w:div>
    <w:div w:id="199828448">
      <w:bodyDiv w:val="1"/>
      <w:marLeft w:val="0"/>
      <w:marRight w:val="0"/>
      <w:marTop w:val="0"/>
      <w:marBottom w:val="0"/>
      <w:divBdr>
        <w:top w:val="none" w:sz="0" w:space="0" w:color="auto"/>
        <w:left w:val="none" w:sz="0" w:space="0" w:color="auto"/>
        <w:bottom w:val="none" w:sz="0" w:space="0" w:color="auto"/>
        <w:right w:val="none" w:sz="0" w:space="0" w:color="auto"/>
      </w:divBdr>
    </w:div>
    <w:div w:id="201405758">
      <w:bodyDiv w:val="1"/>
      <w:marLeft w:val="0"/>
      <w:marRight w:val="0"/>
      <w:marTop w:val="0"/>
      <w:marBottom w:val="0"/>
      <w:divBdr>
        <w:top w:val="none" w:sz="0" w:space="0" w:color="auto"/>
        <w:left w:val="none" w:sz="0" w:space="0" w:color="auto"/>
        <w:bottom w:val="none" w:sz="0" w:space="0" w:color="auto"/>
        <w:right w:val="none" w:sz="0" w:space="0" w:color="auto"/>
      </w:divBdr>
    </w:div>
    <w:div w:id="204829559">
      <w:bodyDiv w:val="1"/>
      <w:marLeft w:val="0"/>
      <w:marRight w:val="0"/>
      <w:marTop w:val="0"/>
      <w:marBottom w:val="0"/>
      <w:divBdr>
        <w:top w:val="none" w:sz="0" w:space="0" w:color="auto"/>
        <w:left w:val="none" w:sz="0" w:space="0" w:color="auto"/>
        <w:bottom w:val="none" w:sz="0" w:space="0" w:color="auto"/>
        <w:right w:val="none" w:sz="0" w:space="0" w:color="auto"/>
      </w:divBdr>
    </w:div>
    <w:div w:id="207837922">
      <w:bodyDiv w:val="1"/>
      <w:marLeft w:val="0"/>
      <w:marRight w:val="0"/>
      <w:marTop w:val="0"/>
      <w:marBottom w:val="0"/>
      <w:divBdr>
        <w:top w:val="none" w:sz="0" w:space="0" w:color="auto"/>
        <w:left w:val="none" w:sz="0" w:space="0" w:color="auto"/>
        <w:bottom w:val="none" w:sz="0" w:space="0" w:color="auto"/>
        <w:right w:val="none" w:sz="0" w:space="0" w:color="auto"/>
      </w:divBdr>
    </w:div>
    <w:div w:id="215050540">
      <w:bodyDiv w:val="1"/>
      <w:marLeft w:val="0"/>
      <w:marRight w:val="0"/>
      <w:marTop w:val="0"/>
      <w:marBottom w:val="0"/>
      <w:divBdr>
        <w:top w:val="none" w:sz="0" w:space="0" w:color="auto"/>
        <w:left w:val="none" w:sz="0" w:space="0" w:color="auto"/>
        <w:bottom w:val="none" w:sz="0" w:space="0" w:color="auto"/>
        <w:right w:val="none" w:sz="0" w:space="0" w:color="auto"/>
      </w:divBdr>
    </w:div>
    <w:div w:id="217472511">
      <w:bodyDiv w:val="1"/>
      <w:marLeft w:val="0"/>
      <w:marRight w:val="0"/>
      <w:marTop w:val="0"/>
      <w:marBottom w:val="0"/>
      <w:divBdr>
        <w:top w:val="none" w:sz="0" w:space="0" w:color="auto"/>
        <w:left w:val="none" w:sz="0" w:space="0" w:color="auto"/>
        <w:bottom w:val="none" w:sz="0" w:space="0" w:color="auto"/>
        <w:right w:val="none" w:sz="0" w:space="0" w:color="auto"/>
      </w:divBdr>
    </w:div>
    <w:div w:id="217590888">
      <w:bodyDiv w:val="1"/>
      <w:marLeft w:val="0"/>
      <w:marRight w:val="0"/>
      <w:marTop w:val="0"/>
      <w:marBottom w:val="0"/>
      <w:divBdr>
        <w:top w:val="none" w:sz="0" w:space="0" w:color="auto"/>
        <w:left w:val="none" w:sz="0" w:space="0" w:color="auto"/>
        <w:bottom w:val="none" w:sz="0" w:space="0" w:color="auto"/>
        <w:right w:val="none" w:sz="0" w:space="0" w:color="auto"/>
      </w:divBdr>
    </w:div>
    <w:div w:id="220485982">
      <w:bodyDiv w:val="1"/>
      <w:marLeft w:val="0"/>
      <w:marRight w:val="0"/>
      <w:marTop w:val="0"/>
      <w:marBottom w:val="0"/>
      <w:divBdr>
        <w:top w:val="none" w:sz="0" w:space="0" w:color="auto"/>
        <w:left w:val="none" w:sz="0" w:space="0" w:color="auto"/>
        <w:bottom w:val="none" w:sz="0" w:space="0" w:color="auto"/>
        <w:right w:val="none" w:sz="0" w:space="0" w:color="auto"/>
      </w:divBdr>
    </w:div>
    <w:div w:id="220792788">
      <w:bodyDiv w:val="1"/>
      <w:marLeft w:val="0"/>
      <w:marRight w:val="0"/>
      <w:marTop w:val="0"/>
      <w:marBottom w:val="0"/>
      <w:divBdr>
        <w:top w:val="none" w:sz="0" w:space="0" w:color="auto"/>
        <w:left w:val="none" w:sz="0" w:space="0" w:color="auto"/>
        <w:bottom w:val="none" w:sz="0" w:space="0" w:color="auto"/>
        <w:right w:val="none" w:sz="0" w:space="0" w:color="auto"/>
      </w:divBdr>
    </w:div>
    <w:div w:id="224611064">
      <w:bodyDiv w:val="1"/>
      <w:marLeft w:val="0"/>
      <w:marRight w:val="0"/>
      <w:marTop w:val="0"/>
      <w:marBottom w:val="0"/>
      <w:divBdr>
        <w:top w:val="none" w:sz="0" w:space="0" w:color="auto"/>
        <w:left w:val="none" w:sz="0" w:space="0" w:color="auto"/>
        <w:bottom w:val="none" w:sz="0" w:space="0" w:color="auto"/>
        <w:right w:val="none" w:sz="0" w:space="0" w:color="auto"/>
      </w:divBdr>
    </w:div>
    <w:div w:id="227962458">
      <w:bodyDiv w:val="1"/>
      <w:marLeft w:val="0"/>
      <w:marRight w:val="0"/>
      <w:marTop w:val="0"/>
      <w:marBottom w:val="0"/>
      <w:divBdr>
        <w:top w:val="none" w:sz="0" w:space="0" w:color="auto"/>
        <w:left w:val="none" w:sz="0" w:space="0" w:color="auto"/>
        <w:bottom w:val="none" w:sz="0" w:space="0" w:color="auto"/>
        <w:right w:val="none" w:sz="0" w:space="0" w:color="auto"/>
      </w:divBdr>
    </w:div>
    <w:div w:id="229384865">
      <w:bodyDiv w:val="1"/>
      <w:marLeft w:val="0"/>
      <w:marRight w:val="0"/>
      <w:marTop w:val="0"/>
      <w:marBottom w:val="0"/>
      <w:divBdr>
        <w:top w:val="none" w:sz="0" w:space="0" w:color="auto"/>
        <w:left w:val="none" w:sz="0" w:space="0" w:color="auto"/>
        <w:bottom w:val="none" w:sz="0" w:space="0" w:color="auto"/>
        <w:right w:val="none" w:sz="0" w:space="0" w:color="auto"/>
      </w:divBdr>
    </w:div>
    <w:div w:id="231279912">
      <w:bodyDiv w:val="1"/>
      <w:marLeft w:val="0"/>
      <w:marRight w:val="0"/>
      <w:marTop w:val="0"/>
      <w:marBottom w:val="0"/>
      <w:divBdr>
        <w:top w:val="none" w:sz="0" w:space="0" w:color="auto"/>
        <w:left w:val="none" w:sz="0" w:space="0" w:color="auto"/>
        <w:bottom w:val="none" w:sz="0" w:space="0" w:color="auto"/>
        <w:right w:val="none" w:sz="0" w:space="0" w:color="auto"/>
      </w:divBdr>
    </w:div>
    <w:div w:id="231815199">
      <w:bodyDiv w:val="1"/>
      <w:marLeft w:val="0"/>
      <w:marRight w:val="0"/>
      <w:marTop w:val="0"/>
      <w:marBottom w:val="0"/>
      <w:divBdr>
        <w:top w:val="none" w:sz="0" w:space="0" w:color="auto"/>
        <w:left w:val="none" w:sz="0" w:space="0" w:color="auto"/>
        <w:bottom w:val="none" w:sz="0" w:space="0" w:color="auto"/>
        <w:right w:val="none" w:sz="0" w:space="0" w:color="auto"/>
      </w:divBdr>
    </w:div>
    <w:div w:id="233441735">
      <w:bodyDiv w:val="1"/>
      <w:marLeft w:val="0"/>
      <w:marRight w:val="0"/>
      <w:marTop w:val="0"/>
      <w:marBottom w:val="0"/>
      <w:divBdr>
        <w:top w:val="none" w:sz="0" w:space="0" w:color="auto"/>
        <w:left w:val="none" w:sz="0" w:space="0" w:color="auto"/>
        <w:bottom w:val="none" w:sz="0" w:space="0" w:color="auto"/>
        <w:right w:val="none" w:sz="0" w:space="0" w:color="auto"/>
      </w:divBdr>
    </w:div>
    <w:div w:id="235017036">
      <w:bodyDiv w:val="1"/>
      <w:marLeft w:val="0"/>
      <w:marRight w:val="0"/>
      <w:marTop w:val="0"/>
      <w:marBottom w:val="0"/>
      <w:divBdr>
        <w:top w:val="none" w:sz="0" w:space="0" w:color="auto"/>
        <w:left w:val="none" w:sz="0" w:space="0" w:color="auto"/>
        <w:bottom w:val="none" w:sz="0" w:space="0" w:color="auto"/>
        <w:right w:val="none" w:sz="0" w:space="0" w:color="auto"/>
      </w:divBdr>
    </w:div>
    <w:div w:id="235864833">
      <w:bodyDiv w:val="1"/>
      <w:marLeft w:val="0"/>
      <w:marRight w:val="0"/>
      <w:marTop w:val="0"/>
      <w:marBottom w:val="0"/>
      <w:divBdr>
        <w:top w:val="none" w:sz="0" w:space="0" w:color="auto"/>
        <w:left w:val="none" w:sz="0" w:space="0" w:color="auto"/>
        <w:bottom w:val="none" w:sz="0" w:space="0" w:color="auto"/>
        <w:right w:val="none" w:sz="0" w:space="0" w:color="auto"/>
      </w:divBdr>
    </w:div>
    <w:div w:id="238373744">
      <w:bodyDiv w:val="1"/>
      <w:marLeft w:val="0"/>
      <w:marRight w:val="0"/>
      <w:marTop w:val="0"/>
      <w:marBottom w:val="0"/>
      <w:divBdr>
        <w:top w:val="none" w:sz="0" w:space="0" w:color="auto"/>
        <w:left w:val="none" w:sz="0" w:space="0" w:color="auto"/>
        <w:bottom w:val="none" w:sz="0" w:space="0" w:color="auto"/>
        <w:right w:val="none" w:sz="0" w:space="0" w:color="auto"/>
      </w:divBdr>
    </w:div>
    <w:div w:id="242882377">
      <w:bodyDiv w:val="1"/>
      <w:marLeft w:val="0"/>
      <w:marRight w:val="0"/>
      <w:marTop w:val="0"/>
      <w:marBottom w:val="0"/>
      <w:divBdr>
        <w:top w:val="none" w:sz="0" w:space="0" w:color="auto"/>
        <w:left w:val="none" w:sz="0" w:space="0" w:color="auto"/>
        <w:bottom w:val="none" w:sz="0" w:space="0" w:color="auto"/>
        <w:right w:val="none" w:sz="0" w:space="0" w:color="auto"/>
      </w:divBdr>
    </w:div>
    <w:div w:id="244808016">
      <w:bodyDiv w:val="1"/>
      <w:marLeft w:val="0"/>
      <w:marRight w:val="0"/>
      <w:marTop w:val="0"/>
      <w:marBottom w:val="0"/>
      <w:divBdr>
        <w:top w:val="none" w:sz="0" w:space="0" w:color="auto"/>
        <w:left w:val="none" w:sz="0" w:space="0" w:color="auto"/>
        <w:bottom w:val="none" w:sz="0" w:space="0" w:color="auto"/>
        <w:right w:val="none" w:sz="0" w:space="0" w:color="auto"/>
      </w:divBdr>
      <w:divsChild>
        <w:div w:id="1518231279">
          <w:marLeft w:val="0"/>
          <w:marRight w:val="0"/>
          <w:marTop w:val="0"/>
          <w:marBottom w:val="0"/>
          <w:divBdr>
            <w:top w:val="none" w:sz="0" w:space="0" w:color="auto"/>
            <w:left w:val="none" w:sz="0" w:space="0" w:color="auto"/>
            <w:bottom w:val="none" w:sz="0" w:space="0" w:color="auto"/>
            <w:right w:val="none" w:sz="0" w:space="0" w:color="auto"/>
          </w:divBdr>
          <w:divsChild>
            <w:div w:id="287704891">
              <w:marLeft w:val="0"/>
              <w:marRight w:val="0"/>
              <w:marTop w:val="0"/>
              <w:marBottom w:val="0"/>
              <w:divBdr>
                <w:top w:val="none" w:sz="0" w:space="0" w:color="auto"/>
                <w:left w:val="none" w:sz="0" w:space="0" w:color="auto"/>
                <w:bottom w:val="none" w:sz="0" w:space="0" w:color="auto"/>
                <w:right w:val="none" w:sz="0" w:space="0" w:color="auto"/>
              </w:divBdr>
              <w:divsChild>
                <w:div w:id="162661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032327">
          <w:marLeft w:val="0"/>
          <w:marRight w:val="0"/>
          <w:marTop w:val="0"/>
          <w:marBottom w:val="0"/>
          <w:divBdr>
            <w:top w:val="none" w:sz="0" w:space="0" w:color="auto"/>
            <w:left w:val="none" w:sz="0" w:space="0" w:color="auto"/>
            <w:bottom w:val="none" w:sz="0" w:space="0" w:color="auto"/>
            <w:right w:val="none" w:sz="0" w:space="0" w:color="auto"/>
          </w:divBdr>
        </w:div>
      </w:divsChild>
    </w:div>
    <w:div w:id="246811412">
      <w:bodyDiv w:val="1"/>
      <w:marLeft w:val="0"/>
      <w:marRight w:val="0"/>
      <w:marTop w:val="0"/>
      <w:marBottom w:val="0"/>
      <w:divBdr>
        <w:top w:val="none" w:sz="0" w:space="0" w:color="auto"/>
        <w:left w:val="none" w:sz="0" w:space="0" w:color="auto"/>
        <w:bottom w:val="none" w:sz="0" w:space="0" w:color="auto"/>
        <w:right w:val="none" w:sz="0" w:space="0" w:color="auto"/>
      </w:divBdr>
    </w:div>
    <w:div w:id="252277797">
      <w:bodyDiv w:val="1"/>
      <w:marLeft w:val="0"/>
      <w:marRight w:val="0"/>
      <w:marTop w:val="0"/>
      <w:marBottom w:val="0"/>
      <w:divBdr>
        <w:top w:val="none" w:sz="0" w:space="0" w:color="auto"/>
        <w:left w:val="none" w:sz="0" w:space="0" w:color="auto"/>
        <w:bottom w:val="none" w:sz="0" w:space="0" w:color="auto"/>
        <w:right w:val="none" w:sz="0" w:space="0" w:color="auto"/>
      </w:divBdr>
    </w:div>
    <w:div w:id="260651718">
      <w:bodyDiv w:val="1"/>
      <w:marLeft w:val="0"/>
      <w:marRight w:val="0"/>
      <w:marTop w:val="0"/>
      <w:marBottom w:val="0"/>
      <w:divBdr>
        <w:top w:val="none" w:sz="0" w:space="0" w:color="auto"/>
        <w:left w:val="none" w:sz="0" w:space="0" w:color="auto"/>
        <w:bottom w:val="none" w:sz="0" w:space="0" w:color="auto"/>
        <w:right w:val="none" w:sz="0" w:space="0" w:color="auto"/>
      </w:divBdr>
    </w:div>
    <w:div w:id="264073735">
      <w:bodyDiv w:val="1"/>
      <w:marLeft w:val="0"/>
      <w:marRight w:val="0"/>
      <w:marTop w:val="0"/>
      <w:marBottom w:val="0"/>
      <w:divBdr>
        <w:top w:val="none" w:sz="0" w:space="0" w:color="auto"/>
        <w:left w:val="none" w:sz="0" w:space="0" w:color="auto"/>
        <w:bottom w:val="none" w:sz="0" w:space="0" w:color="auto"/>
        <w:right w:val="none" w:sz="0" w:space="0" w:color="auto"/>
      </w:divBdr>
    </w:div>
    <w:div w:id="266618758">
      <w:bodyDiv w:val="1"/>
      <w:marLeft w:val="0"/>
      <w:marRight w:val="0"/>
      <w:marTop w:val="0"/>
      <w:marBottom w:val="0"/>
      <w:divBdr>
        <w:top w:val="none" w:sz="0" w:space="0" w:color="auto"/>
        <w:left w:val="none" w:sz="0" w:space="0" w:color="auto"/>
        <w:bottom w:val="none" w:sz="0" w:space="0" w:color="auto"/>
        <w:right w:val="none" w:sz="0" w:space="0" w:color="auto"/>
      </w:divBdr>
    </w:div>
    <w:div w:id="271980141">
      <w:bodyDiv w:val="1"/>
      <w:marLeft w:val="0"/>
      <w:marRight w:val="0"/>
      <w:marTop w:val="0"/>
      <w:marBottom w:val="0"/>
      <w:divBdr>
        <w:top w:val="none" w:sz="0" w:space="0" w:color="auto"/>
        <w:left w:val="none" w:sz="0" w:space="0" w:color="auto"/>
        <w:bottom w:val="none" w:sz="0" w:space="0" w:color="auto"/>
        <w:right w:val="none" w:sz="0" w:space="0" w:color="auto"/>
      </w:divBdr>
    </w:div>
    <w:div w:id="274681859">
      <w:bodyDiv w:val="1"/>
      <w:marLeft w:val="0"/>
      <w:marRight w:val="0"/>
      <w:marTop w:val="0"/>
      <w:marBottom w:val="0"/>
      <w:divBdr>
        <w:top w:val="none" w:sz="0" w:space="0" w:color="auto"/>
        <w:left w:val="none" w:sz="0" w:space="0" w:color="auto"/>
        <w:bottom w:val="none" w:sz="0" w:space="0" w:color="auto"/>
        <w:right w:val="none" w:sz="0" w:space="0" w:color="auto"/>
      </w:divBdr>
    </w:div>
    <w:div w:id="278757168">
      <w:bodyDiv w:val="1"/>
      <w:marLeft w:val="0"/>
      <w:marRight w:val="0"/>
      <w:marTop w:val="0"/>
      <w:marBottom w:val="0"/>
      <w:divBdr>
        <w:top w:val="none" w:sz="0" w:space="0" w:color="auto"/>
        <w:left w:val="none" w:sz="0" w:space="0" w:color="auto"/>
        <w:bottom w:val="none" w:sz="0" w:space="0" w:color="auto"/>
        <w:right w:val="none" w:sz="0" w:space="0" w:color="auto"/>
      </w:divBdr>
    </w:div>
    <w:div w:id="282661961">
      <w:bodyDiv w:val="1"/>
      <w:marLeft w:val="0"/>
      <w:marRight w:val="0"/>
      <w:marTop w:val="0"/>
      <w:marBottom w:val="0"/>
      <w:divBdr>
        <w:top w:val="none" w:sz="0" w:space="0" w:color="auto"/>
        <w:left w:val="none" w:sz="0" w:space="0" w:color="auto"/>
        <w:bottom w:val="none" w:sz="0" w:space="0" w:color="auto"/>
        <w:right w:val="none" w:sz="0" w:space="0" w:color="auto"/>
      </w:divBdr>
    </w:div>
    <w:div w:id="283578331">
      <w:bodyDiv w:val="1"/>
      <w:marLeft w:val="0"/>
      <w:marRight w:val="0"/>
      <w:marTop w:val="0"/>
      <w:marBottom w:val="0"/>
      <w:divBdr>
        <w:top w:val="none" w:sz="0" w:space="0" w:color="auto"/>
        <w:left w:val="none" w:sz="0" w:space="0" w:color="auto"/>
        <w:bottom w:val="none" w:sz="0" w:space="0" w:color="auto"/>
        <w:right w:val="none" w:sz="0" w:space="0" w:color="auto"/>
      </w:divBdr>
    </w:div>
    <w:div w:id="284044050">
      <w:bodyDiv w:val="1"/>
      <w:marLeft w:val="0"/>
      <w:marRight w:val="0"/>
      <w:marTop w:val="0"/>
      <w:marBottom w:val="0"/>
      <w:divBdr>
        <w:top w:val="none" w:sz="0" w:space="0" w:color="auto"/>
        <w:left w:val="none" w:sz="0" w:space="0" w:color="auto"/>
        <w:bottom w:val="none" w:sz="0" w:space="0" w:color="auto"/>
        <w:right w:val="none" w:sz="0" w:space="0" w:color="auto"/>
      </w:divBdr>
    </w:div>
    <w:div w:id="287703869">
      <w:bodyDiv w:val="1"/>
      <w:marLeft w:val="0"/>
      <w:marRight w:val="0"/>
      <w:marTop w:val="0"/>
      <w:marBottom w:val="0"/>
      <w:divBdr>
        <w:top w:val="none" w:sz="0" w:space="0" w:color="auto"/>
        <w:left w:val="none" w:sz="0" w:space="0" w:color="auto"/>
        <w:bottom w:val="none" w:sz="0" w:space="0" w:color="auto"/>
        <w:right w:val="none" w:sz="0" w:space="0" w:color="auto"/>
      </w:divBdr>
    </w:div>
    <w:div w:id="288973641">
      <w:bodyDiv w:val="1"/>
      <w:marLeft w:val="0"/>
      <w:marRight w:val="0"/>
      <w:marTop w:val="0"/>
      <w:marBottom w:val="0"/>
      <w:divBdr>
        <w:top w:val="none" w:sz="0" w:space="0" w:color="auto"/>
        <w:left w:val="none" w:sz="0" w:space="0" w:color="auto"/>
        <w:bottom w:val="none" w:sz="0" w:space="0" w:color="auto"/>
        <w:right w:val="none" w:sz="0" w:space="0" w:color="auto"/>
      </w:divBdr>
    </w:div>
    <w:div w:id="289629793">
      <w:bodyDiv w:val="1"/>
      <w:marLeft w:val="0"/>
      <w:marRight w:val="0"/>
      <w:marTop w:val="0"/>
      <w:marBottom w:val="0"/>
      <w:divBdr>
        <w:top w:val="none" w:sz="0" w:space="0" w:color="auto"/>
        <w:left w:val="none" w:sz="0" w:space="0" w:color="auto"/>
        <w:bottom w:val="none" w:sz="0" w:space="0" w:color="auto"/>
        <w:right w:val="none" w:sz="0" w:space="0" w:color="auto"/>
      </w:divBdr>
      <w:divsChild>
        <w:div w:id="969170244">
          <w:marLeft w:val="0"/>
          <w:marRight w:val="0"/>
          <w:marTop w:val="0"/>
          <w:marBottom w:val="0"/>
          <w:divBdr>
            <w:top w:val="none" w:sz="0" w:space="0" w:color="auto"/>
            <w:left w:val="none" w:sz="0" w:space="0" w:color="auto"/>
            <w:bottom w:val="none" w:sz="0" w:space="0" w:color="auto"/>
            <w:right w:val="none" w:sz="0" w:space="0" w:color="auto"/>
          </w:divBdr>
        </w:div>
        <w:div w:id="1121610744">
          <w:marLeft w:val="0"/>
          <w:marRight w:val="0"/>
          <w:marTop w:val="0"/>
          <w:marBottom w:val="0"/>
          <w:divBdr>
            <w:top w:val="none" w:sz="0" w:space="0" w:color="auto"/>
            <w:left w:val="none" w:sz="0" w:space="0" w:color="auto"/>
            <w:bottom w:val="none" w:sz="0" w:space="0" w:color="auto"/>
            <w:right w:val="none" w:sz="0" w:space="0" w:color="auto"/>
          </w:divBdr>
        </w:div>
        <w:div w:id="1479030387">
          <w:marLeft w:val="0"/>
          <w:marRight w:val="0"/>
          <w:marTop w:val="0"/>
          <w:marBottom w:val="0"/>
          <w:divBdr>
            <w:top w:val="none" w:sz="0" w:space="0" w:color="auto"/>
            <w:left w:val="none" w:sz="0" w:space="0" w:color="auto"/>
            <w:bottom w:val="none" w:sz="0" w:space="0" w:color="auto"/>
            <w:right w:val="none" w:sz="0" w:space="0" w:color="auto"/>
          </w:divBdr>
        </w:div>
        <w:div w:id="1881163479">
          <w:marLeft w:val="0"/>
          <w:marRight w:val="0"/>
          <w:marTop w:val="0"/>
          <w:marBottom w:val="0"/>
          <w:divBdr>
            <w:top w:val="none" w:sz="0" w:space="0" w:color="auto"/>
            <w:left w:val="none" w:sz="0" w:space="0" w:color="auto"/>
            <w:bottom w:val="none" w:sz="0" w:space="0" w:color="auto"/>
            <w:right w:val="none" w:sz="0" w:space="0" w:color="auto"/>
          </w:divBdr>
        </w:div>
      </w:divsChild>
    </w:div>
    <w:div w:id="292558560">
      <w:bodyDiv w:val="1"/>
      <w:marLeft w:val="0"/>
      <w:marRight w:val="0"/>
      <w:marTop w:val="0"/>
      <w:marBottom w:val="0"/>
      <w:divBdr>
        <w:top w:val="none" w:sz="0" w:space="0" w:color="auto"/>
        <w:left w:val="none" w:sz="0" w:space="0" w:color="auto"/>
        <w:bottom w:val="none" w:sz="0" w:space="0" w:color="auto"/>
        <w:right w:val="none" w:sz="0" w:space="0" w:color="auto"/>
      </w:divBdr>
      <w:divsChild>
        <w:div w:id="1014504050">
          <w:marLeft w:val="0"/>
          <w:marRight w:val="0"/>
          <w:marTop w:val="15"/>
          <w:marBottom w:val="0"/>
          <w:divBdr>
            <w:top w:val="none" w:sz="0" w:space="0" w:color="auto"/>
            <w:left w:val="none" w:sz="0" w:space="0" w:color="auto"/>
            <w:bottom w:val="none" w:sz="0" w:space="0" w:color="auto"/>
            <w:right w:val="none" w:sz="0" w:space="0" w:color="auto"/>
          </w:divBdr>
          <w:divsChild>
            <w:div w:id="832337499">
              <w:marLeft w:val="0"/>
              <w:marRight w:val="0"/>
              <w:marTop w:val="0"/>
              <w:marBottom w:val="0"/>
              <w:divBdr>
                <w:top w:val="none" w:sz="0" w:space="0" w:color="auto"/>
                <w:left w:val="none" w:sz="0" w:space="0" w:color="auto"/>
                <w:bottom w:val="none" w:sz="0" w:space="0" w:color="auto"/>
                <w:right w:val="none" w:sz="0" w:space="0" w:color="auto"/>
              </w:divBdr>
              <w:divsChild>
                <w:div w:id="142934389">
                  <w:marLeft w:val="0"/>
                  <w:marRight w:val="0"/>
                  <w:marTop w:val="0"/>
                  <w:marBottom w:val="0"/>
                  <w:divBdr>
                    <w:top w:val="none" w:sz="0" w:space="0" w:color="auto"/>
                    <w:left w:val="none" w:sz="0" w:space="0" w:color="auto"/>
                    <w:bottom w:val="none" w:sz="0" w:space="0" w:color="auto"/>
                    <w:right w:val="none" w:sz="0" w:space="0" w:color="auto"/>
                  </w:divBdr>
                </w:div>
                <w:div w:id="875774261">
                  <w:marLeft w:val="0"/>
                  <w:marRight w:val="0"/>
                  <w:marTop w:val="0"/>
                  <w:marBottom w:val="0"/>
                  <w:divBdr>
                    <w:top w:val="none" w:sz="0" w:space="0" w:color="auto"/>
                    <w:left w:val="none" w:sz="0" w:space="0" w:color="auto"/>
                    <w:bottom w:val="none" w:sz="0" w:space="0" w:color="auto"/>
                    <w:right w:val="none" w:sz="0" w:space="0" w:color="auto"/>
                  </w:divBdr>
                </w:div>
                <w:div w:id="1232228302">
                  <w:marLeft w:val="0"/>
                  <w:marRight w:val="0"/>
                  <w:marTop w:val="0"/>
                  <w:marBottom w:val="0"/>
                  <w:divBdr>
                    <w:top w:val="none" w:sz="0" w:space="0" w:color="auto"/>
                    <w:left w:val="none" w:sz="0" w:space="0" w:color="auto"/>
                    <w:bottom w:val="none" w:sz="0" w:space="0" w:color="auto"/>
                    <w:right w:val="none" w:sz="0" w:space="0" w:color="auto"/>
                  </w:divBdr>
                </w:div>
                <w:div w:id="1651442000">
                  <w:marLeft w:val="0"/>
                  <w:marRight w:val="0"/>
                  <w:marTop w:val="0"/>
                  <w:marBottom w:val="0"/>
                  <w:divBdr>
                    <w:top w:val="none" w:sz="0" w:space="0" w:color="auto"/>
                    <w:left w:val="none" w:sz="0" w:space="0" w:color="auto"/>
                    <w:bottom w:val="none" w:sz="0" w:space="0" w:color="auto"/>
                    <w:right w:val="none" w:sz="0" w:space="0" w:color="auto"/>
                  </w:divBdr>
                </w:div>
                <w:div w:id="196538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4049">
          <w:marLeft w:val="0"/>
          <w:marRight w:val="0"/>
          <w:marTop w:val="15"/>
          <w:marBottom w:val="0"/>
          <w:divBdr>
            <w:top w:val="none" w:sz="0" w:space="0" w:color="auto"/>
            <w:left w:val="none" w:sz="0" w:space="0" w:color="auto"/>
            <w:bottom w:val="none" w:sz="0" w:space="0" w:color="auto"/>
            <w:right w:val="none" w:sz="0" w:space="0" w:color="auto"/>
          </w:divBdr>
          <w:divsChild>
            <w:div w:id="2140368810">
              <w:marLeft w:val="0"/>
              <w:marRight w:val="0"/>
              <w:marTop w:val="0"/>
              <w:marBottom w:val="0"/>
              <w:divBdr>
                <w:top w:val="none" w:sz="0" w:space="0" w:color="auto"/>
                <w:left w:val="none" w:sz="0" w:space="0" w:color="auto"/>
                <w:bottom w:val="none" w:sz="0" w:space="0" w:color="auto"/>
                <w:right w:val="none" w:sz="0" w:space="0" w:color="auto"/>
              </w:divBdr>
              <w:divsChild>
                <w:div w:id="22907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754551">
      <w:bodyDiv w:val="1"/>
      <w:marLeft w:val="0"/>
      <w:marRight w:val="0"/>
      <w:marTop w:val="0"/>
      <w:marBottom w:val="0"/>
      <w:divBdr>
        <w:top w:val="none" w:sz="0" w:space="0" w:color="auto"/>
        <w:left w:val="none" w:sz="0" w:space="0" w:color="auto"/>
        <w:bottom w:val="none" w:sz="0" w:space="0" w:color="auto"/>
        <w:right w:val="none" w:sz="0" w:space="0" w:color="auto"/>
      </w:divBdr>
      <w:divsChild>
        <w:div w:id="1660690898">
          <w:marLeft w:val="0"/>
          <w:marRight w:val="0"/>
          <w:marTop w:val="0"/>
          <w:marBottom w:val="0"/>
          <w:divBdr>
            <w:top w:val="none" w:sz="0" w:space="0" w:color="auto"/>
            <w:left w:val="none" w:sz="0" w:space="0" w:color="auto"/>
            <w:bottom w:val="none" w:sz="0" w:space="0" w:color="auto"/>
            <w:right w:val="none" w:sz="0" w:space="0" w:color="auto"/>
          </w:divBdr>
        </w:div>
      </w:divsChild>
    </w:div>
    <w:div w:id="297027667">
      <w:bodyDiv w:val="1"/>
      <w:marLeft w:val="0"/>
      <w:marRight w:val="0"/>
      <w:marTop w:val="0"/>
      <w:marBottom w:val="0"/>
      <w:divBdr>
        <w:top w:val="none" w:sz="0" w:space="0" w:color="auto"/>
        <w:left w:val="none" w:sz="0" w:space="0" w:color="auto"/>
        <w:bottom w:val="none" w:sz="0" w:space="0" w:color="auto"/>
        <w:right w:val="none" w:sz="0" w:space="0" w:color="auto"/>
      </w:divBdr>
    </w:div>
    <w:div w:id="298387686">
      <w:bodyDiv w:val="1"/>
      <w:marLeft w:val="0"/>
      <w:marRight w:val="0"/>
      <w:marTop w:val="0"/>
      <w:marBottom w:val="0"/>
      <w:divBdr>
        <w:top w:val="none" w:sz="0" w:space="0" w:color="auto"/>
        <w:left w:val="none" w:sz="0" w:space="0" w:color="auto"/>
        <w:bottom w:val="none" w:sz="0" w:space="0" w:color="auto"/>
        <w:right w:val="none" w:sz="0" w:space="0" w:color="auto"/>
      </w:divBdr>
    </w:div>
    <w:div w:id="304435309">
      <w:bodyDiv w:val="1"/>
      <w:marLeft w:val="0"/>
      <w:marRight w:val="0"/>
      <w:marTop w:val="0"/>
      <w:marBottom w:val="0"/>
      <w:divBdr>
        <w:top w:val="none" w:sz="0" w:space="0" w:color="auto"/>
        <w:left w:val="none" w:sz="0" w:space="0" w:color="auto"/>
        <w:bottom w:val="none" w:sz="0" w:space="0" w:color="auto"/>
        <w:right w:val="none" w:sz="0" w:space="0" w:color="auto"/>
      </w:divBdr>
    </w:div>
    <w:div w:id="305667258">
      <w:bodyDiv w:val="1"/>
      <w:marLeft w:val="0"/>
      <w:marRight w:val="0"/>
      <w:marTop w:val="0"/>
      <w:marBottom w:val="0"/>
      <w:divBdr>
        <w:top w:val="none" w:sz="0" w:space="0" w:color="auto"/>
        <w:left w:val="none" w:sz="0" w:space="0" w:color="auto"/>
        <w:bottom w:val="none" w:sz="0" w:space="0" w:color="auto"/>
        <w:right w:val="none" w:sz="0" w:space="0" w:color="auto"/>
      </w:divBdr>
    </w:div>
    <w:div w:id="307367007">
      <w:bodyDiv w:val="1"/>
      <w:marLeft w:val="0"/>
      <w:marRight w:val="0"/>
      <w:marTop w:val="0"/>
      <w:marBottom w:val="0"/>
      <w:divBdr>
        <w:top w:val="none" w:sz="0" w:space="0" w:color="auto"/>
        <w:left w:val="none" w:sz="0" w:space="0" w:color="auto"/>
        <w:bottom w:val="none" w:sz="0" w:space="0" w:color="auto"/>
        <w:right w:val="none" w:sz="0" w:space="0" w:color="auto"/>
      </w:divBdr>
    </w:div>
    <w:div w:id="308021102">
      <w:bodyDiv w:val="1"/>
      <w:marLeft w:val="0"/>
      <w:marRight w:val="0"/>
      <w:marTop w:val="0"/>
      <w:marBottom w:val="0"/>
      <w:divBdr>
        <w:top w:val="none" w:sz="0" w:space="0" w:color="auto"/>
        <w:left w:val="none" w:sz="0" w:space="0" w:color="auto"/>
        <w:bottom w:val="none" w:sz="0" w:space="0" w:color="auto"/>
        <w:right w:val="none" w:sz="0" w:space="0" w:color="auto"/>
      </w:divBdr>
    </w:div>
    <w:div w:id="311370911">
      <w:bodyDiv w:val="1"/>
      <w:marLeft w:val="0"/>
      <w:marRight w:val="0"/>
      <w:marTop w:val="0"/>
      <w:marBottom w:val="0"/>
      <w:divBdr>
        <w:top w:val="none" w:sz="0" w:space="0" w:color="auto"/>
        <w:left w:val="none" w:sz="0" w:space="0" w:color="auto"/>
        <w:bottom w:val="none" w:sz="0" w:space="0" w:color="auto"/>
        <w:right w:val="none" w:sz="0" w:space="0" w:color="auto"/>
      </w:divBdr>
    </w:div>
    <w:div w:id="313142992">
      <w:bodyDiv w:val="1"/>
      <w:marLeft w:val="0"/>
      <w:marRight w:val="0"/>
      <w:marTop w:val="0"/>
      <w:marBottom w:val="0"/>
      <w:divBdr>
        <w:top w:val="none" w:sz="0" w:space="0" w:color="auto"/>
        <w:left w:val="none" w:sz="0" w:space="0" w:color="auto"/>
        <w:bottom w:val="none" w:sz="0" w:space="0" w:color="auto"/>
        <w:right w:val="none" w:sz="0" w:space="0" w:color="auto"/>
      </w:divBdr>
    </w:div>
    <w:div w:id="314146592">
      <w:bodyDiv w:val="1"/>
      <w:marLeft w:val="0"/>
      <w:marRight w:val="0"/>
      <w:marTop w:val="0"/>
      <w:marBottom w:val="0"/>
      <w:divBdr>
        <w:top w:val="none" w:sz="0" w:space="0" w:color="auto"/>
        <w:left w:val="none" w:sz="0" w:space="0" w:color="auto"/>
        <w:bottom w:val="none" w:sz="0" w:space="0" w:color="auto"/>
        <w:right w:val="none" w:sz="0" w:space="0" w:color="auto"/>
      </w:divBdr>
    </w:div>
    <w:div w:id="314839537">
      <w:bodyDiv w:val="1"/>
      <w:marLeft w:val="0"/>
      <w:marRight w:val="0"/>
      <w:marTop w:val="0"/>
      <w:marBottom w:val="0"/>
      <w:divBdr>
        <w:top w:val="none" w:sz="0" w:space="0" w:color="auto"/>
        <w:left w:val="none" w:sz="0" w:space="0" w:color="auto"/>
        <w:bottom w:val="none" w:sz="0" w:space="0" w:color="auto"/>
        <w:right w:val="none" w:sz="0" w:space="0" w:color="auto"/>
      </w:divBdr>
    </w:div>
    <w:div w:id="315107679">
      <w:bodyDiv w:val="1"/>
      <w:marLeft w:val="0"/>
      <w:marRight w:val="0"/>
      <w:marTop w:val="0"/>
      <w:marBottom w:val="0"/>
      <w:divBdr>
        <w:top w:val="none" w:sz="0" w:space="0" w:color="auto"/>
        <w:left w:val="none" w:sz="0" w:space="0" w:color="auto"/>
        <w:bottom w:val="none" w:sz="0" w:space="0" w:color="auto"/>
        <w:right w:val="none" w:sz="0" w:space="0" w:color="auto"/>
      </w:divBdr>
    </w:div>
    <w:div w:id="317464358">
      <w:bodyDiv w:val="1"/>
      <w:marLeft w:val="0"/>
      <w:marRight w:val="0"/>
      <w:marTop w:val="0"/>
      <w:marBottom w:val="0"/>
      <w:divBdr>
        <w:top w:val="none" w:sz="0" w:space="0" w:color="auto"/>
        <w:left w:val="none" w:sz="0" w:space="0" w:color="auto"/>
        <w:bottom w:val="none" w:sz="0" w:space="0" w:color="auto"/>
        <w:right w:val="none" w:sz="0" w:space="0" w:color="auto"/>
      </w:divBdr>
    </w:div>
    <w:div w:id="319818080">
      <w:bodyDiv w:val="1"/>
      <w:marLeft w:val="0"/>
      <w:marRight w:val="0"/>
      <w:marTop w:val="0"/>
      <w:marBottom w:val="0"/>
      <w:divBdr>
        <w:top w:val="none" w:sz="0" w:space="0" w:color="auto"/>
        <w:left w:val="none" w:sz="0" w:space="0" w:color="auto"/>
        <w:bottom w:val="none" w:sz="0" w:space="0" w:color="auto"/>
        <w:right w:val="none" w:sz="0" w:space="0" w:color="auto"/>
      </w:divBdr>
    </w:div>
    <w:div w:id="319845794">
      <w:bodyDiv w:val="1"/>
      <w:marLeft w:val="0"/>
      <w:marRight w:val="0"/>
      <w:marTop w:val="0"/>
      <w:marBottom w:val="0"/>
      <w:divBdr>
        <w:top w:val="none" w:sz="0" w:space="0" w:color="auto"/>
        <w:left w:val="none" w:sz="0" w:space="0" w:color="auto"/>
        <w:bottom w:val="none" w:sz="0" w:space="0" w:color="auto"/>
        <w:right w:val="none" w:sz="0" w:space="0" w:color="auto"/>
      </w:divBdr>
    </w:div>
    <w:div w:id="321545706">
      <w:bodyDiv w:val="1"/>
      <w:marLeft w:val="0"/>
      <w:marRight w:val="0"/>
      <w:marTop w:val="0"/>
      <w:marBottom w:val="0"/>
      <w:divBdr>
        <w:top w:val="none" w:sz="0" w:space="0" w:color="auto"/>
        <w:left w:val="none" w:sz="0" w:space="0" w:color="auto"/>
        <w:bottom w:val="none" w:sz="0" w:space="0" w:color="auto"/>
        <w:right w:val="none" w:sz="0" w:space="0" w:color="auto"/>
      </w:divBdr>
    </w:div>
    <w:div w:id="324482857">
      <w:bodyDiv w:val="1"/>
      <w:marLeft w:val="0"/>
      <w:marRight w:val="0"/>
      <w:marTop w:val="0"/>
      <w:marBottom w:val="0"/>
      <w:divBdr>
        <w:top w:val="none" w:sz="0" w:space="0" w:color="auto"/>
        <w:left w:val="none" w:sz="0" w:space="0" w:color="auto"/>
        <w:bottom w:val="none" w:sz="0" w:space="0" w:color="auto"/>
        <w:right w:val="none" w:sz="0" w:space="0" w:color="auto"/>
      </w:divBdr>
    </w:div>
    <w:div w:id="328218394">
      <w:bodyDiv w:val="1"/>
      <w:marLeft w:val="0"/>
      <w:marRight w:val="0"/>
      <w:marTop w:val="0"/>
      <w:marBottom w:val="0"/>
      <w:divBdr>
        <w:top w:val="none" w:sz="0" w:space="0" w:color="auto"/>
        <w:left w:val="none" w:sz="0" w:space="0" w:color="auto"/>
        <w:bottom w:val="none" w:sz="0" w:space="0" w:color="auto"/>
        <w:right w:val="none" w:sz="0" w:space="0" w:color="auto"/>
      </w:divBdr>
    </w:div>
    <w:div w:id="330375759">
      <w:bodyDiv w:val="1"/>
      <w:marLeft w:val="0"/>
      <w:marRight w:val="0"/>
      <w:marTop w:val="0"/>
      <w:marBottom w:val="0"/>
      <w:divBdr>
        <w:top w:val="none" w:sz="0" w:space="0" w:color="auto"/>
        <w:left w:val="none" w:sz="0" w:space="0" w:color="auto"/>
        <w:bottom w:val="none" w:sz="0" w:space="0" w:color="auto"/>
        <w:right w:val="none" w:sz="0" w:space="0" w:color="auto"/>
      </w:divBdr>
    </w:div>
    <w:div w:id="332924186">
      <w:bodyDiv w:val="1"/>
      <w:marLeft w:val="0"/>
      <w:marRight w:val="0"/>
      <w:marTop w:val="0"/>
      <w:marBottom w:val="0"/>
      <w:divBdr>
        <w:top w:val="none" w:sz="0" w:space="0" w:color="auto"/>
        <w:left w:val="none" w:sz="0" w:space="0" w:color="auto"/>
        <w:bottom w:val="none" w:sz="0" w:space="0" w:color="auto"/>
        <w:right w:val="none" w:sz="0" w:space="0" w:color="auto"/>
      </w:divBdr>
    </w:div>
    <w:div w:id="335108927">
      <w:bodyDiv w:val="1"/>
      <w:marLeft w:val="0"/>
      <w:marRight w:val="0"/>
      <w:marTop w:val="0"/>
      <w:marBottom w:val="0"/>
      <w:divBdr>
        <w:top w:val="none" w:sz="0" w:space="0" w:color="auto"/>
        <w:left w:val="none" w:sz="0" w:space="0" w:color="auto"/>
        <w:bottom w:val="none" w:sz="0" w:space="0" w:color="auto"/>
        <w:right w:val="none" w:sz="0" w:space="0" w:color="auto"/>
      </w:divBdr>
    </w:div>
    <w:div w:id="337080708">
      <w:bodyDiv w:val="1"/>
      <w:marLeft w:val="0"/>
      <w:marRight w:val="0"/>
      <w:marTop w:val="0"/>
      <w:marBottom w:val="0"/>
      <w:divBdr>
        <w:top w:val="none" w:sz="0" w:space="0" w:color="auto"/>
        <w:left w:val="none" w:sz="0" w:space="0" w:color="auto"/>
        <w:bottom w:val="none" w:sz="0" w:space="0" w:color="auto"/>
        <w:right w:val="none" w:sz="0" w:space="0" w:color="auto"/>
      </w:divBdr>
    </w:div>
    <w:div w:id="337149874">
      <w:bodyDiv w:val="1"/>
      <w:marLeft w:val="0"/>
      <w:marRight w:val="0"/>
      <w:marTop w:val="0"/>
      <w:marBottom w:val="0"/>
      <w:divBdr>
        <w:top w:val="none" w:sz="0" w:space="0" w:color="auto"/>
        <w:left w:val="none" w:sz="0" w:space="0" w:color="auto"/>
        <w:bottom w:val="none" w:sz="0" w:space="0" w:color="auto"/>
        <w:right w:val="none" w:sz="0" w:space="0" w:color="auto"/>
      </w:divBdr>
    </w:div>
    <w:div w:id="340667333">
      <w:bodyDiv w:val="1"/>
      <w:marLeft w:val="0"/>
      <w:marRight w:val="0"/>
      <w:marTop w:val="0"/>
      <w:marBottom w:val="0"/>
      <w:divBdr>
        <w:top w:val="none" w:sz="0" w:space="0" w:color="auto"/>
        <w:left w:val="none" w:sz="0" w:space="0" w:color="auto"/>
        <w:bottom w:val="none" w:sz="0" w:space="0" w:color="auto"/>
        <w:right w:val="none" w:sz="0" w:space="0" w:color="auto"/>
      </w:divBdr>
      <w:divsChild>
        <w:div w:id="1327128897">
          <w:marLeft w:val="0"/>
          <w:marRight w:val="0"/>
          <w:marTop w:val="0"/>
          <w:marBottom w:val="0"/>
          <w:divBdr>
            <w:top w:val="none" w:sz="0" w:space="0" w:color="auto"/>
            <w:left w:val="none" w:sz="0" w:space="0" w:color="auto"/>
            <w:bottom w:val="none" w:sz="0" w:space="0" w:color="auto"/>
            <w:right w:val="none" w:sz="0" w:space="0" w:color="auto"/>
          </w:divBdr>
          <w:divsChild>
            <w:div w:id="1847743689">
              <w:marLeft w:val="0"/>
              <w:marRight w:val="0"/>
              <w:marTop w:val="0"/>
              <w:marBottom w:val="0"/>
              <w:divBdr>
                <w:top w:val="none" w:sz="0" w:space="0" w:color="auto"/>
                <w:left w:val="none" w:sz="0" w:space="0" w:color="auto"/>
                <w:bottom w:val="none" w:sz="0" w:space="0" w:color="auto"/>
                <w:right w:val="none" w:sz="0" w:space="0" w:color="auto"/>
              </w:divBdr>
              <w:divsChild>
                <w:div w:id="789977494">
                  <w:marLeft w:val="0"/>
                  <w:marRight w:val="0"/>
                  <w:marTop w:val="15"/>
                  <w:marBottom w:val="0"/>
                  <w:divBdr>
                    <w:top w:val="none" w:sz="0" w:space="0" w:color="auto"/>
                    <w:left w:val="none" w:sz="0" w:space="0" w:color="auto"/>
                    <w:bottom w:val="none" w:sz="0" w:space="0" w:color="auto"/>
                    <w:right w:val="none" w:sz="0" w:space="0" w:color="auto"/>
                  </w:divBdr>
                  <w:divsChild>
                    <w:div w:id="677730455">
                      <w:marLeft w:val="0"/>
                      <w:marRight w:val="0"/>
                      <w:marTop w:val="0"/>
                      <w:marBottom w:val="0"/>
                      <w:divBdr>
                        <w:top w:val="none" w:sz="0" w:space="0" w:color="auto"/>
                        <w:left w:val="none" w:sz="0" w:space="0" w:color="auto"/>
                        <w:bottom w:val="none" w:sz="0" w:space="0" w:color="auto"/>
                        <w:right w:val="none" w:sz="0" w:space="0" w:color="auto"/>
                      </w:divBdr>
                      <w:divsChild>
                        <w:div w:id="2435366">
                          <w:marLeft w:val="0"/>
                          <w:marRight w:val="0"/>
                          <w:marTop w:val="0"/>
                          <w:marBottom w:val="0"/>
                          <w:divBdr>
                            <w:top w:val="none" w:sz="0" w:space="0" w:color="auto"/>
                            <w:left w:val="none" w:sz="0" w:space="0" w:color="auto"/>
                            <w:bottom w:val="none" w:sz="0" w:space="0" w:color="auto"/>
                            <w:right w:val="none" w:sz="0" w:space="0" w:color="auto"/>
                          </w:divBdr>
                        </w:div>
                        <w:div w:id="105347691">
                          <w:marLeft w:val="0"/>
                          <w:marRight w:val="0"/>
                          <w:marTop w:val="0"/>
                          <w:marBottom w:val="0"/>
                          <w:divBdr>
                            <w:top w:val="none" w:sz="0" w:space="0" w:color="auto"/>
                            <w:left w:val="none" w:sz="0" w:space="0" w:color="auto"/>
                            <w:bottom w:val="none" w:sz="0" w:space="0" w:color="auto"/>
                            <w:right w:val="none" w:sz="0" w:space="0" w:color="auto"/>
                          </w:divBdr>
                        </w:div>
                        <w:div w:id="185950991">
                          <w:marLeft w:val="0"/>
                          <w:marRight w:val="0"/>
                          <w:marTop w:val="0"/>
                          <w:marBottom w:val="0"/>
                          <w:divBdr>
                            <w:top w:val="none" w:sz="0" w:space="0" w:color="auto"/>
                            <w:left w:val="none" w:sz="0" w:space="0" w:color="auto"/>
                            <w:bottom w:val="none" w:sz="0" w:space="0" w:color="auto"/>
                            <w:right w:val="none" w:sz="0" w:space="0" w:color="auto"/>
                          </w:divBdr>
                        </w:div>
                        <w:div w:id="196351939">
                          <w:marLeft w:val="0"/>
                          <w:marRight w:val="0"/>
                          <w:marTop w:val="0"/>
                          <w:marBottom w:val="0"/>
                          <w:divBdr>
                            <w:top w:val="none" w:sz="0" w:space="0" w:color="auto"/>
                            <w:left w:val="none" w:sz="0" w:space="0" w:color="auto"/>
                            <w:bottom w:val="none" w:sz="0" w:space="0" w:color="auto"/>
                            <w:right w:val="none" w:sz="0" w:space="0" w:color="auto"/>
                          </w:divBdr>
                        </w:div>
                        <w:div w:id="209922112">
                          <w:marLeft w:val="0"/>
                          <w:marRight w:val="0"/>
                          <w:marTop w:val="0"/>
                          <w:marBottom w:val="0"/>
                          <w:divBdr>
                            <w:top w:val="none" w:sz="0" w:space="0" w:color="auto"/>
                            <w:left w:val="none" w:sz="0" w:space="0" w:color="auto"/>
                            <w:bottom w:val="none" w:sz="0" w:space="0" w:color="auto"/>
                            <w:right w:val="none" w:sz="0" w:space="0" w:color="auto"/>
                          </w:divBdr>
                        </w:div>
                        <w:div w:id="247347765">
                          <w:marLeft w:val="0"/>
                          <w:marRight w:val="0"/>
                          <w:marTop w:val="0"/>
                          <w:marBottom w:val="0"/>
                          <w:divBdr>
                            <w:top w:val="none" w:sz="0" w:space="0" w:color="auto"/>
                            <w:left w:val="none" w:sz="0" w:space="0" w:color="auto"/>
                            <w:bottom w:val="none" w:sz="0" w:space="0" w:color="auto"/>
                            <w:right w:val="none" w:sz="0" w:space="0" w:color="auto"/>
                          </w:divBdr>
                        </w:div>
                        <w:div w:id="266281776">
                          <w:marLeft w:val="0"/>
                          <w:marRight w:val="0"/>
                          <w:marTop w:val="0"/>
                          <w:marBottom w:val="0"/>
                          <w:divBdr>
                            <w:top w:val="none" w:sz="0" w:space="0" w:color="auto"/>
                            <w:left w:val="none" w:sz="0" w:space="0" w:color="auto"/>
                            <w:bottom w:val="none" w:sz="0" w:space="0" w:color="auto"/>
                            <w:right w:val="none" w:sz="0" w:space="0" w:color="auto"/>
                          </w:divBdr>
                        </w:div>
                        <w:div w:id="274404334">
                          <w:marLeft w:val="0"/>
                          <w:marRight w:val="0"/>
                          <w:marTop w:val="0"/>
                          <w:marBottom w:val="0"/>
                          <w:divBdr>
                            <w:top w:val="none" w:sz="0" w:space="0" w:color="auto"/>
                            <w:left w:val="none" w:sz="0" w:space="0" w:color="auto"/>
                            <w:bottom w:val="none" w:sz="0" w:space="0" w:color="auto"/>
                            <w:right w:val="none" w:sz="0" w:space="0" w:color="auto"/>
                          </w:divBdr>
                        </w:div>
                        <w:div w:id="287703785">
                          <w:marLeft w:val="0"/>
                          <w:marRight w:val="0"/>
                          <w:marTop w:val="0"/>
                          <w:marBottom w:val="0"/>
                          <w:divBdr>
                            <w:top w:val="none" w:sz="0" w:space="0" w:color="auto"/>
                            <w:left w:val="none" w:sz="0" w:space="0" w:color="auto"/>
                            <w:bottom w:val="none" w:sz="0" w:space="0" w:color="auto"/>
                            <w:right w:val="none" w:sz="0" w:space="0" w:color="auto"/>
                          </w:divBdr>
                        </w:div>
                        <w:div w:id="319970994">
                          <w:marLeft w:val="0"/>
                          <w:marRight w:val="0"/>
                          <w:marTop w:val="0"/>
                          <w:marBottom w:val="0"/>
                          <w:divBdr>
                            <w:top w:val="none" w:sz="0" w:space="0" w:color="auto"/>
                            <w:left w:val="none" w:sz="0" w:space="0" w:color="auto"/>
                            <w:bottom w:val="none" w:sz="0" w:space="0" w:color="auto"/>
                            <w:right w:val="none" w:sz="0" w:space="0" w:color="auto"/>
                          </w:divBdr>
                        </w:div>
                        <w:div w:id="343635069">
                          <w:marLeft w:val="0"/>
                          <w:marRight w:val="0"/>
                          <w:marTop w:val="0"/>
                          <w:marBottom w:val="0"/>
                          <w:divBdr>
                            <w:top w:val="none" w:sz="0" w:space="0" w:color="auto"/>
                            <w:left w:val="none" w:sz="0" w:space="0" w:color="auto"/>
                            <w:bottom w:val="none" w:sz="0" w:space="0" w:color="auto"/>
                            <w:right w:val="none" w:sz="0" w:space="0" w:color="auto"/>
                          </w:divBdr>
                        </w:div>
                        <w:div w:id="375619183">
                          <w:marLeft w:val="0"/>
                          <w:marRight w:val="0"/>
                          <w:marTop w:val="0"/>
                          <w:marBottom w:val="0"/>
                          <w:divBdr>
                            <w:top w:val="none" w:sz="0" w:space="0" w:color="auto"/>
                            <w:left w:val="none" w:sz="0" w:space="0" w:color="auto"/>
                            <w:bottom w:val="none" w:sz="0" w:space="0" w:color="auto"/>
                            <w:right w:val="none" w:sz="0" w:space="0" w:color="auto"/>
                          </w:divBdr>
                        </w:div>
                        <w:div w:id="391580719">
                          <w:marLeft w:val="0"/>
                          <w:marRight w:val="0"/>
                          <w:marTop w:val="0"/>
                          <w:marBottom w:val="0"/>
                          <w:divBdr>
                            <w:top w:val="none" w:sz="0" w:space="0" w:color="auto"/>
                            <w:left w:val="none" w:sz="0" w:space="0" w:color="auto"/>
                            <w:bottom w:val="none" w:sz="0" w:space="0" w:color="auto"/>
                            <w:right w:val="none" w:sz="0" w:space="0" w:color="auto"/>
                          </w:divBdr>
                        </w:div>
                        <w:div w:id="423303602">
                          <w:marLeft w:val="0"/>
                          <w:marRight w:val="0"/>
                          <w:marTop w:val="0"/>
                          <w:marBottom w:val="0"/>
                          <w:divBdr>
                            <w:top w:val="none" w:sz="0" w:space="0" w:color="auto"/>
                            <w:left w:val="none" w:sz="0" w:space="0" w:color="auto"/>
                            <w:bottom w:val="none" w:sz="0" w:space="0" w:color="auto"/>
                            <w:right w:val="none" w:sz="0" w:space="0" w:color="auto"/>
                          </w:divBdr>
                        </w:div>
                        <w:div w:id="446697801">
                          <w:marLeft w:val="0"/>
                          <w:marRight w:val="0"/>
                          <w:marTop w:val="0"/>
                          <w:marBottom w:val="0"/>
                          <w:divBdr>
                            <w:top w:val="none" w:sz="0" w:space="0" w:color="auto"/>
                            <w:left w:val="none" w:sz="0" w:space="0" w:color="auto"/>
                            <w:bottom w:val="none" w:sz="0" w:space="0" w:color="auto"/>
                            <w:right w:val="none" w:sz="0" w:space="0" w:color="auto"/>
                          </w:divBdr>
                        </w:div>
                        <w:div w:id="459029928">
                          <w:marLeft w:val="0"/>
                          <w:marRight w:val="0"/>
                          <w:marTop w:val="0"/>
                          <w:marBottom w:val="0"/>
                          <w:divBdr>
                            <w:top w:val="none" w:sz="0" w:space="0" w:color="auto"/>
                            <w:left w:val="none" w:sz="0" w:space="0" w:color="auto"/>
                            <w:bottom w:val="none" w:sz="0" w:space="0" w:color="auto"/>
                            <w:right w:val="none" w:sz="0" w:space="0" w:color="auto"/>
                          </w:divBdr>
                        </w:div>
                        <w:div w:id="470753904">
                          <w:marLeft w:val="0"/>
                          <w:marRight w:val="0"/>
                          <w:marTop w:val="0"/>
                          <w:marBottom w:val="0"/>
                          <w:divBdr>
                            <w:top w:val="none" w:sz="0" w:space="0" w:color="auto"/>
                            <w:left w:val="none" w:sz="0" w:space="0" w:color="auto"/>
                            <w:bottom w:val="none" w:sz="0" w:space="0" w:color="auto"/>
                            <w:right w:val="none" w:sz="0" w:space="0" w:color="auto"/>
                          </w:divBdr>
                        </w:div>
                        <w:div w:id="478377538">
                          <w:marLeft w:val="0"/>
                          <w:marRight w:val="0"/>
                          <w:marTop w:val="0"/>
                          <w:marBottom w:val="0"/>
                          <w:divBdr>
                            <w:top w:val="none" w:sz="0" w:space="0" w:color="auto"/>
                            <w:left w:val="none" w:sz="0" w:space="0" w:color="auto"/>
                            <w:bottom w:val="none" w:sz="0" w:space="0" w:color="auto"/>
                            <w:right w:val="none" w:sz="0" w:space="0" w:color="auto"/>
                          </w:divBdr>
                        </w:div>
                        <w:div w:id="492063570">
                          <w:marLeft w:val="0"/>
                          <w:marRight w:val="0"/>
                          <w:marTop w:val="0"/>
                          <w:marBottom w:val="0"/>
                          <w:divBdr>
                            <w:top w:val="none" w:sz="0" w:space="0" w:color="auto"/>
                            <w:left w:val="none" w:sz="0" w:space="0" w:color="auto"/>
                            <w:bottom w:val="none" w:sz="0" w:space="0" w:color="auto"/>
                            <w:right w:val="none" w:sz="0" w:space="0" w:color="auto"/>
                          </w:divBdr>
                        </w:div>
                        <w:div w:id="587422974">
                          <w:marLeft w:val="0"/>
                          <w:marRight w:val="0"/>
                          <w:marTop w:val="0"/>
                          <w:marBottom w:val="0"/>
                          <w:divBdr>
                            <w:top w:val="none" w:sz="0" w:space="0" w:color="auto"/>
                            <w:left w:val="none" w:sz="0" w:space="0" w:color="auto"/>
                            <w:bottom w:val="none" w:sz="0" w:space="0" w:color="auto"/>
                            <w:right w:val="none" w:sz="0" w:space="0" w:color="auto"/>
                          </w:divBdr>
                        </w:div>
                        <w:div w:id="612447131">
                          <w:marLeft w:val="0"/>
                          <w:marRight w:val="0"/>
                          <w:marTop w:val="0"/>
                          <w:marBottom w:val="0"/>
                          <w:divBdr>
                            <w:top w:val="none" w:sz="0" w:space="0" w:color="auto"/>
                            <w:left w:val="none" w:sz="0" w:space="0" w:color="auto"/>
                            <w:bottom w:val="none" w:sz="0" w:space="0" w:color="auto"/>
                            <w:right w:val="none" w:sz="0" w:space="0" w:color="auto"/>
                          </w:divBdr>
                        </w:div>
                        <w:div w:id="645475772">
                          <w:marLeft w:val="0"/>
                          <w:marRight w:val="0"/>
                          <w:marTop w:val="0"/>
                          <w:marBottom w:val="0"/>
                          <w:divBdr>
                            <w:top w:val="none" w:sz="0" w:space="0" w:color="auto"/>
                            <w:left w:val="none" w:sz="0" w:space="0" w:color="auto"/>
                            <w:bottom w:val="none" w:sz="0" w:space="0" w:color="auto"/>
                            <w:right w:val="none" w:sz="0" w:space="0" w:color="auto"/>
                          </w:divBdr>
                        </w:div>
                        <w:div w:id="706561036">
                          <w:marLeft w:val="0"/>
                          <w:marRight w:val="0"/>
                          <w:marTop w:val="0"/>
                          <w:marBottom w:val="0"/>
                          <w:divBdr>
                            <w:top w:val="none" w:sz="0" w:space="0" w:color="auto"/>
                            <w:left w:val="none" w:sz="0" w:space="0" w:color="auto"/>
                            <w:bottom w:val="none" w:sz="0" w:space="0" w:color="auto"/>
                            <w:right w:val="none" w:sz="0" w:space="0" w:color="auto"/>
                          </w:divBdr>
                        </w:div>
                        <w:div w:id="744496552">
                          <w:marLeft w:val="0"/>
                          <w:marRight w:val="0"/>
                          <w:marTop w:val="0"/>
                          <w:marBottom w:val="0"/>
                          <w:divBdr>
                            <w:top w:val="none" w:sz="0" w:space="0" w:color="auto"/>
                            <w:left w:val="none" w:sz="0" w:space="0" w:color="auto"/>
                            <w:bottom w:val="none" w:sz="0" w:space="0" w:color="auto"/>
                            <w:right w:val="none" w:sz="0" w:space="0" w:color="auto"/>
                          </w:divBdr>
                        </w:div>
                        <w:div w:id="747577598">
                          <w:marLeft w:val="0"/>
                          <w:marRight w:val="0"/>
                          <w:marTop w:val="0"/>
                          <w:marBottom w:val="0"/>
                          <w:divBdr>
                            <w:top w:val="none" w:sz="0" w:space="0" w:color="auto"/>
                            <w:left w:val="none" w:sz="0" w:space="0" w:color="auto"/>
                            <w:bottom w:val="none" w:sz="0" w:space="0" w:color="auto"/>
                            <w:right w:val="none" w:sz="0" w:space="0" w:color="auto"/>
                          </w:divBdr>
                        </w:div>
                        <w:div w:id="790825123">
                          <w:marLeft w:val="0"/>
                          <w:marRight w:val="0"/>
                          <w:marTop w:val="0"/>
                          <w:marBottom w:val="0"/>
                          <w:divBdr>
                            <w:top w:val="none" w:sz="0" w:space="0" w:color="auto"/>
                            <w:left w:val="none" w:sz="0" w:space="0" w:color="auto"/>
                            <w:bottom w:val="none" w:sz="0" w:space="0" w:color="auto"/>
                            <w:right w:val="none" w:sz="0" w:space="0" w:color="auto"/>
                          </w:divBdr>
                        </w:div>
                        <w:div w:id="795299047">
                          <w:marLeft w:val="0"/>
                          <w:marRight w:val="0"/>
                          <w:marTop w:val="0"/>
                          <w:marBottom w:val="0"/>
                          <w:divBdr>
                            <w:top w:val="none" w:sz="0" w:space="0" w:color="auto"/>
                            <w:left w:val="none" w:sz="0" w:space="0" w:color="auto"/>
                            <w:bottom w:val="none" w:sz="0" w:space="0" w:color="auto"/>
                            <w:right w:val="none" w:sz="0" w:space="0" w:color="auto"/>
                          </w:divBdr>
                        </w:div>
                        <w:div w:id="796946775">
                          <w:marLeft w:val="0"/>
                          <w:marRight w:val="0"/>
                          <w:marTop w:val="0"/>
                          <w:marBottom w:val="0"/>
                          <w:divBdr>
                            <w:top w:val="none" w:sz="0" w:space="0" w:color="auto"/>
                            <w:left w:val="none" w:sz="0" w:space="0" w:color="auto"/>
                            <w:bottom w:val="none" w:sz="0" w:space="0" w:color="auto"/>
                            <w:right w:val="none" w:sz="0" w:space="0" w:color="auto"/>
                          </w:divBdr>
                        </w:div>
                        <w:div w:id="797407157">
                          <w:marLeft w:val="0"/>
                          <w:marRight w:val="0"/>
                          <w:marTop w:val="0"/>
                          <w:marBottom w:val="0"/>
                          <w:divBdr>
                            <w:top w:val="none" w:sz="0" w:space="0" w:color="auto"/>
                            <w:left w:val="none" w:sz="0" w:space="0" w:color="auto"/>
                            <w:bottom w:val="none" w:sz="0" w:space="0" w:color="auto"/>
                            <w:right w:val="none" w:sz="0" w:space="0" w:color="auto"/>
                          </w:divBdr>
                        </w:div>
                        <w:div w:id="822238447">
                          <w:marLeft w:val="0"/>
                          <w:marRight w:val="0"/>
                          <w:marTop w:val="0"/>
                          <w:marBottom w:val="0"/>
                          <w:divBdr>
                            <w:top w:val="none" w:sz="0" w:space="0" w:color="auto"/>
                            <w:left w:val="none" w:sz="0" w:space="0" w:color="auto"/>
                            <w:bottom w:val="none" w:sz="0" w:space="0" w:color="auto"/>
                            <w:right w:val="none" w:sz="0" w:space="0" w:color="auto"/>
                          </w:divBdr>
                        </w:div>
                        <w:div w:id="880942717">
                          <w:marLeft w:val="0"/>
                          <w:marRight w:val="0"/>
                          <w:marTop w:val="0"/>
                          <w:marBottom w:val="0"/>
                          <w:divBdr>
                            <w:top w:val="none" w:sz="0" w:space="0" w:color="auto"/>
                            <w:left w:val="none" w:sz="0" w:space="0" w:color="auto"/>
                            <w:bottom w:val="none" w:sz="0" w:space="0" w:color="auto"/>
                            <w:right w:val="none" w:sz="0" w:space="0" w:color="auto"/>
                          </w:divBdr>
                        </w:div>
                        <w:div w:id="886374571">
                          <w:marLeft w:val="0"/>
                          <w:marRight w:val="0"/>
                          <w:marTop w:val="0"/>
                          <w:marBottom w:val="0"/>
                          <w:divBdr>
                            <w:top w:val="none" w:sz="0" w:space="0" w:color="auto"/>
                            <w:left w:val="none" w:sz="0" w:space="0" w:color="auto"/>
                            <w:bottom w:val="none" w:sz="0" w:space="0" w:color="auto"/>
                            <w:right w:val="none" w:sz="0" w:space="0" w:color="auto"/>
                          </w:divBdr>
                        </w:div>
                        <w:div w:id="922105207">
                          <w:marLeft w:val="0"/>
                          <w:marRight w:val="0"/>
                          <w:marTop w:val="0"/>
                          <w:marBottom w:val="0"/>
                          <w:divBdr>
                            <w:top w:val="none" w:sz="0" w:space="0" w:color="auto"/>
                            <w:left w:val="none" w:sz="0" w:space="0" w:color="auto"/>
                            <w:bottom w:val="none" w:sz="0" w:space="0" w:color="auto"/>
                            <w:right w:val="none" w:sz="0" w:space="0" w:color="auto"/>
                          </w:divBdr>
                        </w:div>
                        <w:div w:id="923999382">
                          <w:marLeft w:val="0"/>
                          <w:marRight w:val="0"/>
                          <w:marTop w:val="0"/>
                          <w:marBottom w:val="0"/>
                          <w:divBdr>
                            <w:top w:val="none" w:sz="0" w:space="0" w:color="auto"/>
                            <w:left w:val="none" w:sz="0" w:space="0" w:color="auto"/>
                            <w:bottom w:val="none" w:sz="0" w:space="0" w:color="auto"/>
                            <w:right w:val="none" w:sz="0" w:space="0" w:color="auto"/>
                          </w:divBdr>
                        </w:div>
                        <w:div w:id="937061378">
                          <w:marLeft w:val="0"/>
                          <w:marRight w:val="0"/>
                          <w:marTop w:val="0"/>
                          <w:marBottom w:val="0"/>
                          <w:divBdr>
                            <w:top w:val="none" w:sz="0" w:space="0" w:color="auto"/>
                            <w:left w:val="none" w:sz="0" w:space="0" w:color="auto"/>
                            <w:bottom w:val="none" w:sz="0" w:space="0" w:color="auto"/>
                            <w:right w:val="none" w:sz="0" w:space="0" w:color="auto"/>
                          </w:divBdr>
                        </w:div>
                        <w:div w:id="1018233466">
                          <w:marLeft w:val="0"/>
                          <w:marRight w:val="0"/>
                          <w:marTop w:val="0"/>
                          <w:marBottom w:val="0"/>
                          <w:divBdr>
                            <w:top w:val="none" w:sz="0" w:space="0" w:color="auto"/>
                            <w:left w:val="none" w:sz="0" w:space="0" w:color="auto"/>
                            <w:bottom w:val="none" w:sz="0" w:space="0" w:color="auto"/>
                            <w:right w:val="none" w:sz="0" w:space="0" w:color="auto"/>
                          </w:divBdr>
                        </w:div>
                        <w:div w:id="1068071298">
                          <w:marLeft w:val="0"/>
                          <w:marRight w:val="0"/>
                          <w:marTop w:val="0"/>
                          <w:marBottom w:val="0"/>
                          <w:divBdr>
                            <w:top w:val="none" w:sz="0" w:space="0" w:color="auto"/>
                            <w:left w:val="none" w:sz="0" w:space="0" w:color="auto"/>
                            <w:bottom w:val="none" w:sz="0" w:space="0" w:color="auto"/>
                            <w:right w:val="none" w:sz="0" w:space="0" w:color="auto"/>
                          </w:divBdr>
                        </w:div>
                        <w:div w:id="1118375457">
                          <w:marLeft w:val="0"/>
                          <w:marRight w:val="0"/>
                          <w:marTop w:val="0"/>
                          <w:marBottom w:val="0"/>
                          <w:divBdr>
                            <w:top w:val="none" w:sz="0" w:space="0" w:color="auto"/>
                            <w:left w:val="none" w:sz="0" w:space="0" w:color="auto"/>
                            <w:bottom w:val="none" w:sz="0" w:space="0" w:color="auto"/>
                            <w:right w:val="none" w:sz="0" w:space="0" w:color="auto"/>
                          </w:divBdr>
                        </w:div>
                        <w:div w:id="1137651336">
                          <w:marLeft w:val="0"/>
                          <w:marRight w:val="0"/>
                          <w:marTop w:val="0"/>
                          <w:marBottom w:val="0"/>
                          <w:divBdr>
                            <w:top w:val="none" w:sz="0" w:space="0" w:color="auto"/>
                            <w:left w:val="none" w:sz="0" w:space="0" w:color="auto"/>
                            <w:bottom w:val="none" w:sz="0" w:space="0" w:color="auto"/>
                            <w:right w:val="none" w:sz="0" w:space="0" w:color="auto"/>
                          </w:divBdr>
                        </w:div>
                        <w:div w:id="1137993394">
                          <w:marLeft w:val="0"/>
                          <w:marRight w:val="0"/>
                          <w:marTop w:val="0"/>
                          <w:marBottom w:val="0"/>
                          <w:divBdr>
                            <w:top w:val="none" w:sz="0" w:space="0" w:color="auto"/>
                            <w:left w:val="none" w:sz="0" w:space="0" w:color="auto"/>
                            <w:bottom w:val="none" w:sz="0" w:space="0" w:color="auto"/>
                            <w:right w:val="none" w:sz="0" w:space="0" w:color="auto"/>
                          </w:divBdr>
                        </w:div>
                        <w:div w:id="1138645579">
                          <w:marLeft w:val="0"/>
                          <w:marRight w:val="0"/>
                          <w:marTop w:val="0"/>
                          <w:marBottom w:val="0"/>
                          <w:divBdr>
                            <w:top w:val="none" w:sz="0" w:space="0" w:color="auto"/>
                            <w:left w:val="none" w:sz="0" w:space="0" w:color="auto"/>
                            <w:bottom w:val="none" w:sz="0" w:space="0" w:color="auto"/>
                            <w:right w:val="none" w:sz="0" w:space="0" w:color="auto"/>
                          </w:divBdr>
                        </w:div>
                        <w:div w:id="1238713564">
                          <w:marLeft w:val="0"/>
                          <w:marRight w:val="0"/>
                          <w:marTop w:val="0"/>
                          <w:marBottom w:val="0"/>
                          <w:divBdr>
                            <w:top w:val="none" w:sz="0" w:space="0" w:color="auto"/>
                            <w:left w:val="none" w:sz="0" w:space="0" w:color="auto"/>
                            <w:bottom w:val="none" w:sz="0" w:space="0" w:color="auto"/>
                            <w:right w:val="none" w:sz="0" w:space="0" w:color="auto"/>
                          </w:divBdr>
                        </w:div>
                        <w:div w:id="1241018712">
                          <w:marLeft w:val="0"/>
                          <w:marRight w:val="0"/>
                          <w:marTop w:val="0"/>
                          <w:marBottom w:val="0"/>
                          <w:divBdr>
                            <w:top w:val="none" w:sz="0" w:space="0" w:color="auto"/>
                            <w:left w:val="none" w:sz="0" w:space="0" w:color="auto"/>
                            <w:bottom w:val="none" w:sz="0" w:space="0" w:color="auto"/>
                            <w:right w:val="none" w:sz="0" w:space="0" w:color="auto"/>
                          </w:divBdr>
                        </w:div>
                        <w:div w:id="1341855803">
                          <w:marLeft w:val="0"/>
                          <w:marRight w:val="0"/>
                          <w:marTop w:val="0"/>
                          <w:marBottom w:val="0"/>
                          <w:divBdr>
                            <w:top w:val="none" w:sz="0" w:space="0" w:color="auto"/>
                            <w:left w:val="none" w:sz="0" w:space="0" w:color="auto"/>
                            <w:bottom w:val="none" w:sz="0" w:space="0" w:color="auto"/>
                            <w:right w:val="none" w:sz="0" w:space="0" w:color="auto"/>
                          </w:divBdr>
                        </w:div>
                        <w:div w:id="1345398995">
                          <w:marLeft w:val="0"/>
                          <w:marRight w:val="0"/>
                          <w:marTop w:val="0"/>
                          <w:marBottom w:val="0"/>
                          <w:divBdr>
                            <w:top w:val="none" w:sz="0" w:space="0" w:color="auto"/>
                            <w:left w:val="none" w:sz="0" w:space="0" w:color="auto"/>
                            <w:bottom w:val="none" w:sz="0" w:space="0" w:color="auto"/>
                            <w:right w:val="none" w:sz="0" w:space="0" w:color="auto"/>
                          </w:divBdr>
                        </w:div>
                        <w:div w:id="1409618714">
                          <w:marLeft w:val="0"/>
                          <w:marRight w:val="0"/>
                          <w:marTop w:val="0"/>
                          <w:marBottom w:val="0"/>
                          <w:divBdr>
                            <w:top w:val="none" w:sz="0" w:space="0" w:color="auto"/>
                            <w:left w:val="none" w:sz="0" w:space="0" w:color="auto"/>
                            <w:bottom w:val="none" w:sz="0" w:space="0" w:color="auto"/>
                            <w:right w:val="none" w:sz="0" w:space="0" w:color="auto"/>
                          </w:divBdr>
                        </w:div>
                        <w:div w:id="1452280773">
                          <w:marLeft w:val="0"/>
                          <w:marRight w:val="0"/>
                          <w:marTop w:val="0"/>
                          <w:marBottom w:val="0"/>
                          <w:divBdr>
                            <w:top w:val="none" w:sz="0" w:space="0" w:color="auto"/>
                            <w:left w:val="none" w:sz="0" w:space="0" w:color="auto"/>
                            <w:bottom w:val="none" w:sz="0" w:space="0" w:color="auto"/>
                            <w:right w:val="none" w:sz="0" w:space="0" w:color="auto"/>
                          </w:divBdr>
                        </w:div>
                        <w:div w:id="1462533653">
                          <w:marLeft w:val="0"/>
                          <w:marRight w:val="0"/>
                          <w:marTop w:val="0"/>
                          <w:marBottom w:val="0"/>
                          <w:divBdr>
                            <w:top w:val="none" w:sz="0" w:space="0" w:color="auto"/>
                            <w:left w:val="none" w:sz="0" w:space="0" w:color="auto"/>
                            <w:bottom w:val="none" w:sz="0" w:space="0" w:color="auto"/>
                            <w:right w:val="none" w:sz="0" w:space="0" w:color="auto"/>
                          </w:divBdr>
                        </w:div>
                        <w:div w:id="1465005509">
                          <w:marLeft w:val="0"/>
                          <w:marRight w:val="0"/>
                          <w:marTop w:val="0"/>
                          <w:marBottom w:val="0"/>
                          <w:divBdr>
                            <w:top w:val="none" w:sz="0" w:space="0" w:color="auto"/>
                            <w:left w:val="none" w:sz="0" w:space="0" w:color="auto"/>
                            <w:bottom w:val="none" w:sz="0" w:space="0" w:color="auto"/>
                            <w:right w:val="none" w:sz="0" w:space="0" w:color="auto"/>
                          </w:divBdr>
                        </w:div>
                        <w:div w:id="1559972765">
                          <w:marLeft w:val="0"/>
                          <w:marRight w:val="0"/>
                          <w:marTop w:val="0"/>
                          <w:marBottom w:val="0"/>
                          <w:divBdr>
                            <w:top w:val="none" w:sz="0" w:space="0" w:color="auto"/>
                            <w:left w:val="none" w:sz="0" w:space="0" w:color="auto"/>
                            <w:bottom w:val="none" w:sz="0" w:space="0" w:color="auto"/>
                            <w:right w:val="none" w:sz="0" w:space="0" w:color="auto"/>
                          </w:divBdr>
                        </w:div>
                        <w:div w:id="1575165882">
                          <w:marLeft w:val="0"/>
                          <w:marRight w:val="0"/>
                          <w:marTop w:val="0"/>
                          <w:marBottom w:val="0"/>
                          <w:divBdr>
                            <w:top w:val="none" w:sz="0" w:space="0" w:color="auto"/>
                            <w:left w:val="none" w:sz="0" w:space="0" w:color="auto"/>
                            <w:bottom w:val="none" w:sz="0" w:space="0" w:color="auto"/>
                            <w:right w:val="none" w:sz="0" w:space="0" w:color="auto"/>
                          </w:divBdr>
                        </w:div>
                        <w:div w:id="1594512688">
                          <w:marLeft w:val="0"/>
                          <w:marRight w:val="0"/>
                          <w:marTop w:val="0"/>
                          <w:marBottom w:val="0"/>
                          <w:divBdr>
                            <w:top w:val="none" w:sz="0" w:space="0" w:color="auto"/>
                            <w:left w:val="none" w:sz="0" w:space="0" w:color="auto"/>
                            <w:bottom w:val="none" w:sz="0" w:space="0" w:color="auto"/>
                            <w:right w:val="none" w:sz="0" w:space="0" w:color="auto"/>
                          </w:divBdr>
                        </w:div>
                        <w:div w:id="1711766125">
                          <w:marLeft w:val="0"/>
                          <w:marRight w:val="0"/>
                          <w:marTop w:val="0"/>
                          <w:marBottom w:val="0"/>
                          <w:divBdr>
                            <w:top w:val="none" w:sz="0" w:space="0" w:color="auto"/>
                            <w:left w:val="none" w:sz="0" w:space="0" w:color="auto"/>
                            <w:bottom w:val="none" w:sz="0" w:space="0" w:color="auto"/>
                            <w:right w:val="none" w:sz="0" w:space="0" w:color="auto"/>
                          </w:divBdr>
                        </w:div>
                        <w:div w:id="1725760580">
                          <w:marLeft w:val="0"/>
                          <w:marRight w:val="0"/>
                          <w:marTop w:val="0"/>
                          <w:marBottom w:val="0"/>
                          <w:divBdr>
                            <w:top w:val="none" w:sz="0" w:space="0" w:color="auto"/>
                            <w:left w:val="none" w:sz="0" w:space="0" w:color="auto"/>
                            <w:bottom w:val="none" w:sz="0" w:space="0" w:color="auto"/>
                            <w:right w:val="none" w:sz="0" w:space="0" w:color="auto"/>
                          </w:divBdr>
                        </w:div>
                        <w:div w:id="1799839688">
                          <w:marLeft w:val="0"/>
                          <w:marRight w:val="0"/>
                          <w:marTop w:val="0"/>
                          <w:marBottom w:val="0"/>
                          <w:divBdr>
                            <w:top w:val="none" w:sz="0" w:space="0" w:color="auto"/>
                            <w:left w:val="none" w:sz="0" w:space="0" w:color="auto"/>
                            <w:bottom w:val="none" w:sz="0" w:space="0" w:color="auto"/>
                            <w:right w:val="none" w:sz="0" w:space="0" w:color="auto"/>
                          </w:divBdr>
                        </w:div>
                        <w:div w:id="1817407516">
                          <w:marLeft w:val="0"/>
                          <w:marRight w:val="0"/>
                          <w:marTop w:val="0"/>
                          <w:marBottom w:val="0"/>
                          <w:divBdr>
                            <w:top w:val="none" w:sz="0" w:space="0" w:color="auto"/>
                            <w:left w:val="none" w:sz="0" w:space="0" w:color="auto"/>
                            <w:bottom w:val="none" w:sz="0" w:space="0" w:color="auto"/>
                            <w:right w:val="none" w:sz="0" w:space="0" w:color="auto"/>
                          </w:divBdr>
                        </w:div>
                        <w:div w:id="1909147628">
                          <w:marLeft w:val="0"/>
                          <w:marRight w:val="0"/>
                          <w:marTop w:val="0"/>
                          <w:marBottom w:val="0"/>
                          <w:divBdr>
                            <w:top w:val="none" w:sz="0" w:space="0" w:color="auto"/>
                            <w:left w:val="none" w:sz="0" w:space="0" w:color="auto"/>
                            <w:bottom w:val="none" w:sz="0" w:space="0" w:color="auto"/>
                            <w:right w:val="none" w:sz="0" w:space="0" w:color="auto"/>
                          </w:divBdr>
                        </w:div>
                        <w:div w:id="1920095950">
                          <w:marLeft w:val="0"/>
                          <w:marRight w:val="0"/>
                          <w:marTop w:val="0"/>
                          <w:marBottom w:val="0"/>
                          <w:divBdr>
                            <w:top w:val="none" w:sz="0" w:space="0" w:color="auto"/>
                            <w:left w:val="none" w:sz="0" w:space="0" w:color="auto"/>
                            <w:bottom w:val="none" w:sz="0" w:space="0" w:color="auto"/>
                            <w:right w:val="none" w:sz="0" w:space="0" w:color="auto"/>
                          </w:divBdr>
                        </w:div>
                        <w:div w:id="1939018501">
                          <w:marLeft w:val="0"/>
                          <w:marRight w:val="0"/>
                          <w:marTop w:val="0"/>
                          <w:marBottom w:val="0"/>
                          <w:divBdr>
                            <w:top w:val="none" w:sz="0" w:space="0" w:color="auto"/>
                            <w:left w:val="none" w:sz="0" w:space="0" w:color="auto"/>
                            <w:bottom w:val="none" w:sz="0" w:space="0" w:color="auto"/>
                            <w:right w:val="none" w:sz="0" w:space="0" w:color="auto"/>
                          </w:divBdr>
                        </w:div>
                        <w:div w:id="1996179336">
                          <w:marLeft w:val="0"/>
                          <w:marRight w:val="0"/>
                          <w:marTop w:val="0"/>
                          <w:marBottom w:val="0"/>
                          <w:divBdr>
                            <w:top w:val="none" w:sz="0" w:space="0" w:color="auto"/>
                            <w:left w:val="none" w:sz="0" w:space="0" w:color="auto"/>
                            <w:bottom w:val="none" w:sz="0" w:space="0" w:color="auto"/>
                            <w:right w:val="none" w:sz="0" w:space="0" w:color="auto"/>
                          </w:divBdr>
                        </w:div>
                        <w:div w:id="2013216068">
                          <w:marLeft w:val="0"/>
                          <w:marRight w:val="0"/>
                          <w:marTop w:val="0"/>
                          <w:marBottom w:val="0"/>
                          <w:divBdr>
                            <w:top w:val="none" w:sz="0" w:space="0" w:color="auto"/>
                            <w:left w:val="none" w:sz="0" w:space="0" w:color="auto"/>
                            <w:bottom w:val="none" w:sz="0" w:space="0" w:color="auto"/>
                            <w:right w:val="none" w:sz="0" w:space="0" w:color="auto"/>
                          </w:divBdr>
                        </w:div>
                        <w:div w:id="2092852135">
                          <w:marLeft w:val="0"/>
                          <w:marRight w:val="0"/>
                          <w:marTop w:val="0"/>
                          <w:marBottom w:val="0"/>
                          <w:divBdr>
                            <w:top w:val="none" w:sz="0" w:space="0" w:color="auto"/>
                            <w:left w:val="none" w:sz="0" w:space="0" w:color="auto"/>
                            <w:bottom w:val="none" w:sz="0" w:space="0" w:color="auto"/>
                            <w:right w:val="none" w:sz="0" w:space="0" w:color="auto"/>
                          </w:divBdr>
                        </w:div>
                        <w:div w:id="213085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79667">
                  <w:marLeft w:val="0"/>
                  <w:marRight w:val="0"/>
                  <w:marTop w:val="15"/>
                  <w:marBottom w:val="0"/>
                  <w:divBdr>
                    <w:top w:val="none" w:sz="0" w:space="0" w:color="auto"/>
                    <w:left w:val="none" w:sz="0" w:space="0" w:color="auto"/>
                    <w:bottom w:val="none" w:sz="0" w:space="0" w:color="auto"/>
                    <w:right w:val="none" w:sz="0" w:space="0" w:color="auto"/>
                  </w:divBdr>
                  <w:divsChild>
                    <w:div w:id="2102408572">
                      <w:marLeft w:val="0"/>
                      <w:marRight w:val="0"/>
                      <w:marTop w:val="0"/>
                      <w:marBottom w:val="0"/>
                      <w:divBdr>
                        <w:top w:val="none" w:sz="0" w:space="0" w:color="auto"/>
                        <w:left w:val="none" w:sz="0" w:space="0" w:color="auto"/>
                        <w:bottom w:val="none" w:sz="0" w:space="0" w:color="auto"/>
                        <w:right w:val="none" w:sz="0" w:space="0" w:color="auto"/>
                      </w:divBdr>
                      <w:divsChild>
                        <w:div w:id="5333317">
                          <w:marLeft w:val="0"/>
                          <w:marRight w:val="0"/>
                          <w:marTop w:val="0"/>
                          <w:marBottom w:val="0"/>
                          <w:divBdr>
                            <w:top w:val="none" w:sz="0" w:space="0" w:color="auto"/>
                            <w:left w:val="none" w:sz="0" w:space="0" w:color="auto"/>
                            <w:bottom w:val="none" w:sz="0" w:space="0" w:color="auto"/>
                            <w:right w:val="none" w:sz="0" w:space="0" w:color="auto"/>
                          </w:divBdr>
                        </w:div>
                        <w:div w:id="32774401">
                          <w:marLeft w:val="0"/>
                          <w:marRight w:val="0"/>
                          <w:marTop w:val="0"/>
                          <w:marBottom w:val="0"/>
                          <w:divBdr>
                            <w:top w:val="none" w:sz="0" w:space="0" w:color="auto"/>
                            <w:left w:val="none" w:sz="0" w:space="0" w:color="auto"/>
                            <w:bottom w:val="none" w:sz="0" w:space="0" w:color="auto"/>
                            <w:right w:val="none" w:sz="0" w:space="0" w:color="auto"/>
                          </w:divBdr>
                        </w:div>
                        <w:div w:id="39524645">
                          <w:marLeft w:val="0"/>
                          <w:marRight w:val="0"/>
                          <w:marTop w:val="0"/>
                          <w:marBottom w:val="0"/>
                          <w:divBdr>
                            <w:top w:val="none" w:sz="0" w:space="0" w:color="auto"/>
                            <w:left w:val="none" w:sz="0" w:space="0" w:color="auto"/>
                            <w:bottom w:val="none" w:sz="0" w:space="0" w:color="auto"/>
                            <w:right w:val="none" w:sz="0" w:space="0" w:color="auto"/>
                          </w:divBdr>
                        </w:div>
                        <w:div w:id="55975043">
                          <w:marLeft w:val="0"/>
                          <w:marRight w:val="0"/>
                          <w:marTop w:val="0"/>
                          <w:marBottom w:val="0"/>
                          <w:divBdr>
                            <w:top w:val="none" w:sz="0" w:space="0" w:color="auto"/>
                            <w:left w:val="none" w:sz="0" w:space="0" w:color="auto"/>
                            <w:bottom w:val="none" w:sz="0" w:space="0" w:color="auto"/>
                            <w:right w:val="none" w:sz="0" w:space="0" w:color="auto"/>
                          </w:divBdr>
                        </w:div>
                        <w:div w:id="63458444">
                          <w:marLeft w:val="0"/>
                          <w:marRight w:val="0"/>
                          <w:marTop w:val="0"/>
                          <w:marBottom w:val="0"/>
                          <w:divBdr>
                            <w:top w:val="none" w:sz="0" w:space="0" w:color="auto"/>
                            <w:left w:val="none" w:sz="0" w:space="0" w:color="auto"/>
                            <w:bottom w:val="none" w:sz="0" w:space="0" w:color="auto"/>
                            <w:right w:val="none" w:sz="0" w:space="0" w:color="auto"/>
                          </w:divBdr>
                        </w:div>
                        <w:div w:id="76949140">
                          <w:marLeft w:val="0"/>
                          <w:marRight w:val="0"/>
                          <w:marTop w:val="0"/>
                          <w:marBottom w:val="0"/>
                          <w:divBdr>
                            <w:top w:val="none" w:sz="0" w:space="0" w:color="auto"/>
                            <w:left w:val="none" w:sz="0" w:space="0" w:color="auto"/>
                            <w:bottom w:val="none" w:sz="0" w:space="0" w:color="auto"/>
                            <w:right w:val="none" w:sz="0" w:space="0" w:color="auto"/>
                          </w:divBdr>
                        </w:div>
                        <w:div w:id="78184695">
                          <w:marLeft w:val="0"/>
                          <w:marRight w:val="0"/>
                          <w:marTop w:val="0"/>
                          <w:marBottom w:val="0"/>
                          <w:divBdr>
                            <w:top w:val="none" w:sz="0" w:space="0" w:color="auto"/>
                            <w:left w:val="none" w:sz="0" w:space="0" w:color="auto"/>
                            <w:bottom w:val="none" w:sz="0" w:space="0" w:color="auto"/>
                            <w:right w:val="none" w:sz="0" w:space="0" w:color="auto"/>
                          </w:divBdr>
                        </w:div>
                        <w:div w:id="98570733">
                          <w:marLeft w:val="0"/>
                          <w:marRight w:val="0"/>
                          <w:marTop w:val="0"/>
                          <w:marBottom w:val="0"/>
                          <w:divBdr>
                            <w:top w:val="none" w:sz="0" w:space="0" w:color="auto"/>
                            <w:left w:val="none" w:sz="0" w:space="0" w:color="auto"/>
                            <w:bottom w:val="none" w:sz="0" w:space="0" w:color="auto"/>
                            <w:right w:val="none" w:sz="0" w:space="0" w:color="auto"/>
                          </w:divBdr>
                        </w:div>
                        <w:div w:id="124544590">
                          <w:marLeft w:val="0"/>
                          <w:marRight w:val="0"/>
                          <w:marTop w:val="0"/>
                          <w:marBottom w:val="0"/>
                          <w:divBdr>
                            <w:top w:val="none" w:sz="0" w:space="0" w:color="auto"/>
                            <w:left w:val="none" w:sz="0" w:space="0" w:color="auto"/>
                            <w:bottom w:val="none" w:sz="0" w:space="0" w:color="auto"/>
                            <w:right w:val="none" w:sz="0" w:space="0" w:color="auto"/>
                          </w:divBdr>
                        </w:div>
                        <w:div w:id="135421176">
                          <w:marLeft w:val="0"/>
                          <w:marRight w:val="0"/>
                          <w:marTop w:val="0"/>
                          <w:marBottom w:val="0"/>
                          <w:divBdr>
                            <w:top w:val="none" w:sz="0" w:space="0" w:color="auto"/>
                            <w:left w:val="none" w:sz="0" w:space="0" w:color="auto"/>
                            <w:bottom w:val="none" w:sz="0" w:space="0" w:color="auto"/>
                            <w:right w:val="none" w:sz="0" w:space="0" w:color="auto"/>
                          </w:divBdr>
                        </w:div>
                        <w:div w:id="148644124">
                          <w:marLeft w:val="0"/>
                          <w:marRight w:val="0"/>
                          <w:marTop w:val="0"/>
                          <w:marBottom w:val="0"/>
                          <w:divBdr>
                            <w:top w:val="none" w:sz="0" w:space="0" w:color="auto"/>
                            <w:left w:val="none" w:sz="0" w:space="0" w:color="auto"/>
                            <w:bottom w:val="none" w:sz="0" w:space="0" w:color="auto"/>
                            <w:right w:val="none" w:sz="0" w:space="0" w:color="auto"/>
                          </w:divBdr>
                        </w:div>
                        <w:div w:id="159393550">
                          <w:marLeft w:val="0"/>
                          <w:marRight w:val="0"/>
                          <w:marTop w:val="0"/>
                          <w:marBottom w:val="0"/>
                          <w:divBdr>
                            <w:top w:val="none" w:sz="0" w:space="0" w:color="auto"/>
                            <w:left w:val="none" w:sz="0" w:space="0" w:color="auto"/>
                            <w:bottom w:val="none" w:sz="0" w:space="0" w:color="auto"/>
                            <w:right w:val="none" w:sz="0" w:space="0" w:color="auto"/>
                          </w:divBdr>
                        </w:div>
                        <w:div w:id="194200945">
                          <w:marLeft w:val="0"/>
                          <w:marRight w:val="0"/>
                          <w:marTop w:val="0"/>
                          <w:marBottom w:val="0"/>
                          <w:divBdr>
                            <w:top w:val="none" w:sz="0" w:space="0" w:color="auto"/>
                            <w:left w:val="none" w:sz="0" w:space="0" w:color="auto"/>
                            <w:bottom w:val="none" w:sz="0" w:space="0" w:color="auto"/>
                            <w:right w:val="none" w:sz="0" w:space="0" w:color="auto"/>
                          </w:divBdr>
                        </w:div>
                        <w:div w:id="235481713">
                          <w:marLeft w:val="0"/>
                          <w:marRight w:val="0"/>
                          <w:marTop w:val="0"/>
                          <w:marBottom w:val="0"/>
                          <w:divBdr>
                            <w:top w:val="none" w:sz="0" w:space="0" w:color="auto"/>
                            <w:left w:val="none" w:sz="0" w:space="0" w:color="auto"/>
                            <w:bottom w:val="none" w:sz="0" w:space="0" w:color="auto"/>
                            <w:right w:val="none" w:sz="0" w:space="0" w:color="auto"/>
                          </w:divBdr>
                        </w:div>
                        <w:div w:id="286739013">
                          <w:marLeft w:val="0"/>
                          <w:marRight w:val="0"/>
                          <w:marTop w:val="0"/>
                          <w:marBottom w:val="0"/>
                          <w:divBdr>
                            <w:top w:val="none" w:sz="0" w:space="0" w:color="auto"/>
                            <w:left w:val="none" w:sz="0" w:space="0" w:color="auto"/>
                            <w:bottom w:val="none" w:sz="0" w:space="0" w:color="auto"/>
                            <w:right w:val="none" w:sz="0" w:space="0" w:color="auto"/>
                          </w:divBdr>
                        </w:div>
                        <w:div w:id="290867463">
                          <w:marLeft w:val="0"/>
                          <w:marRight w:val="0"/>
                          <w:marTop w:val="0"/>
                          <w:marBottom w:val="0"/>
                          <w:divBdr>
                            <w:top w:val="none" w:sz="0" w:space="0" w:color="auto"/>
                            <w:left w:val="none" w:sz="0" w:space="0" w:color="auto"/>
                            <w:bottom w:val="none" w:sz="0" w:space="0" w:color="auto"/>
                            <w:right w:val="none" w:sz="0" w:space="0" w:color="auto"/>
                          </w:divBdr>
                        </w:div>
                        <w:div w:id="293147129">
                          <w:marLeft w:val="0"/>
                          <w:marRight w:val="0"/>
                          <w:marTop w:val="0"/>
                          <w:marBottom w:val="0"/>
                          <w:divBdr>
                            <w:top w:val="none" w:sz="0" w:space="0" w:color="auto"/>
                            <w:left w:val="none" w:sz="0" w:space="0" w:color="auto"/>
                            <w:bottom w:val="none" w:sz="0" w:space="0" w:color="auto"/>
                            <w:right w:val="none" w:sz="0" w:space="0" w:color="auto"/>
                          </w:divBdr>
                        </w:div>
                        <w:div w:id="317729565">
                          <w:marLeft w:val="0"/>
                          <w:marRight w:val="0"/>
                          <w:marTop w:val="0"/>
                          <w:marBottom w:val="0"/>
                          <w:divBdr>
                            <w:top w:val="none" w:sz="0" w:space="0" w:color="auto"/>
                            <w:left w:val="none" w:sz="0" w:space="0" w:color="auto"/>
                            <w:bottom w:val="none" w:sz="0" w:space="0" w:color="auto"/>
                            <w:right w:val="none" w:sz="0" w:space="0" w:color="auto"/>
                          </w:divBdr>
                        </w:div>
                        <w:div w:id="365060294">
                          <w:marLeft w:val="0"/>
                          <w:marRight w:val="0"/>
                          <w:marTop w:val="0"/>
                          <w:marBottom w:val="0"/>
                          <w:divBdr>
                            <w:top w:val="none" w:sz="0" w:space="0" w:color="auto"/>
                            <w:left w:val="none" w:sz="0" w:space="0" w:color="auto"/>
                            <w:bottom w:val="none" w:sz="0" w:space="0" w:color="auto"/>
                            <w:right w:val="none" w:sz="0" w:space="0" w:color="auto"/>
                          </w:divBdr>
                        </w:div>
                        <w:div w:id="408576678">
                          <w:marLeft w:val="0"/>
                          <w:marRight w:val="0"/>
                          <w:marTop w:val="0"/>
                          <w:marBottom w:val="0"/>
                          <w:divBdr>
                            <w:top w:val="none" w:sz="0" w:space="0" w:color="auto"/>
                            <w:left w:val="none" w:sz="0" w:space="0" w:color="auto"/>
                            <w:bottom w:val="none" w:sz="0" w:space="0" w:color="auto"/>
                            <w:right w:val="none" w:sz="0" w:space="0" w:color="auto"/>
                          </w:divBdr>
                        </w:div>
                        <w:div w:id="442505275">
                          <w:marLeft w:val="0"/>
                          <w:marRight w:val="0"/>
                          <w:marTop w:val="0"/>
                          <w:marBottom w:val="0"/>
                          <w:divBdr>
                            <w:top w:val="none" w:sz="0" w:space="0" w:color="auto"/>
                            <w:left w:val="none" w:sz="0" w:space="0" w:color="auto"/>
                            <w:bottom w:val="none" w:sz="0" w:space="0" w:color="auto"/>
                            <w:right w:val="none" w:sz="0" w:space="0" w:color="auto"/>
                          </w:divBdr>
                        </w:div>
                        <w:div w:id="464734396">
                          <w:marLeft w:val="0"/>
                          <w:marRight w:val="0"/>
                          <w:marTop w:val="0"/>
                          <w:marBottom w:val="0"/>
                          <w:divBdr>
                            <w:top w:val="none" w:sz="0" w:space="0" w:color="auto"/>
                            <w:left w:val="none" w:sz="0" w:space="0" w:color="auto"/>
                            <w:bottom w:val="none" w:sz="0" w:space="0" w:color="auto"/>
                            <w:right w:val="none" w:sz="0" w:space="0" w:color="auto"/>
                          </w:divBdr>
                        </w:div>
                        <w:div w:id="491607985">
                          <w:marLeft w:val="0"/>
                          <w:marRight w:val="0"/>
                          <w:marTop w:val="0"/>
                          <w:marBottom w:val="0"/>
                          <w:divBdr>
                            <w:top w:val="none" w:sz="0" w:space="0" w:color="auto"/>
                            <w:left w:val="none" w:sz="0" w:space="0" w:color="auto"/>
                            <w:bottom w:val="none" w:sz="0" w:space="0" w:color="auto"/>
                            <w:right w:val="none" w:sz="0" w:space="0" w:color="auto"/>
                          </w:divBdr>
                        </w:div>
                        <w:div w:id="493229622">
                          <w:marLeft w:val="0"/>
                          <w:marRight w:val="0"/>
                          <w:marTop w:val="0"/>
                          <w:marBottom w:val="0"/>
                          <w:divBdr>
                            <w:top w:val="none" w:sz="0" w:space="0" w:color="auto"/>
                            <w:left w:val="none" w:sz="0" w:space="0" w:color="auto"/>
                            <w:bottom w:val="none" w:sz="0" w:space="0" w:color="auto"/>
                            <w:right w:val="none" w:sz="0" w:space="0" w:color="auto"/>
                          </w:divBdr>
                        </w:div>
                        <w:div w:id="511259426">
                          <w:marLeft w:val="0"/>
                          <w:marRight w:val="0"/>
                          <w:marTop w:val="0"/>
                          <w:marBottom w:val="0"/>
                          <w:divBdr>
                            <w:top w:val="none" w:sz="0" w:space="0" w:color="auto"/>
                            <w:left w:val="none" w:sz="0" w:space="0" w:color="auto"/>
                            <w:bottom w:val="none" w:sz="0" w:space="0" w:color="auto"/>
                            <w:right w:val="none" w:sz="0" w:space="0" w:color="auto"/>
                          </w:divBdr>
                        </w:div>
                        <w:div w:id="533007424">
                          <w:marLeft w:val="0"/>
                          <w:marRight w:val="0"/>
                          <w:marTop w:val="0"/>
                          <w:marBottom w:val="0"/>
                          <w:divBdr>
                            <w:top w:val="none" w:sz="0" w:space="0" w:color="auto"/>
                            <w:left w:val="none" w:sz="0" w:space="0" w:color="auto"/>
                            <w:bottom w:val="none" w:sz="0" w:space="0" w:color="auto"/>
                            <w:right w:val="none" w:sz="0" w:space="0" w:color="auto"/>
                          </w:divBdr>
                        </w:div>
                        <w:div w:id="533159300">
                          <w:marLeft w:val="0"/>
                          <w:marRight w:val="0"/>
                          <w:marTop w:val="0"/>
                          <w:marBottom w:val="0"/>
                          <w:divBdr>
                            <w:top w:val="none" w:sz="0" w:space="0" w:color="auto"/>
                            <w:left w:val="none" w:sz="0" w:space="0" w:color="auto"/>
                            <w:bottom w:val="none" w:sz="0" w:space="0" w:color="auto"/>
                            <w:right w:val="none" w:sz="0" w:space="0" w:color="auto"/>
                          </w:divBdr>
                        </w:div>
                        <w:div w:id="580287115">
                          <w:marLeft w:val="0"/>
                          <w:marRight w:val="0"/>
                          <w:marTop w:val="0"/>
                          <w:marBottom w:val="0"/>
                          <w:divBdr>
                            <w:top w:val="none" w:sz="0" w:space="0" w:color="auto"/>
                            <w:left w:val="none" w:sz="0" w:space="0" w:color="auto"/>
                            <w:bottom w:val="none" w:sz="0" w:space="0" w:color="auto"/>
                            <w:right w:val="none" w:sz="0" w:space="0" w:color="auto"/>
                          </w:divBdr>
                        </w:div>
                        <w:div w:id="643243257">
                          <w:marLeft w:val="0"/>
                          <w:marRight w:val="0"/>
                          <w:marTop w:val="0"/>
                          <w:marBottom w:val="0"/>
                          <w:divBdr>
                            <w:top w:val="none" w:sz="0" w:space="0" w:color="auto"/>
                            <w:left w:val="none" w:sz="0" w:space="0" w:color="auto"/>
                            <w:bottom w:val="none" w:sz="0" w:space="0" w:color="auto"/>
                            <w:right w:val="none" w:sz="0" w:space="0" w:color="auto"/>
                          </w:divBdr>
                        </w:div>
                        <w:div w:id="651181105">
                          <w:marLeft w:val="0"/>
                          <w:marRight w:val="0"/>
                          <w:marTop w:val="0"/>
                          <w:marBottom w:val="0"/>
                          <w:divBdr>
                            <w:top w:val="none" w:sz="0" w:space="0" w:color="auto"/>
                            <w:left w:val="none" w:sz="0" w:space="0" w:color="auto"/>
                            <w:bottom w:val="none" w:sz="0" w:space="0" w:color="auto"/>
                            <w:right w:val="none" w:sz="0" w:space="0" w:color="auto"/>
                          </w:divBdr>
                        </w:div>
                        <w:div w:id="657811695">
                          <w:marLeft w:val="0"/>
                          <w:marRight w:val="0"/>
                          <w:marTop w:val="0"/>
                          <w:marBottom w:val="0"/>
                          <w:divBdr>
                            <w:top w:val="none" w:sz="0" w:space="0" w:color="auto"/>
                            <w:left w:val="none" w:sz="0" w:space="0" w:color="auto"/>
                            <w:bottom w:val="none" w:sz="0" w:space="0" w:color="auto"/>
                            <w:right w:val="none" w:sz="0" w:space="0" w:color="auto"/>
                          </w:divBdr>
                        </w:div>
                        <w:div w:id="665091339">
                          <w:marLeft w:val="0"/>
                          <w:marRight w:val="0"/>
                          <w:marTop w:val="0"/>
                          <w:marBottom w:val="0"/>
                          <w:divBdr>
                            <w:top w:val="none" w:sz="0" w:space="0" w:color="auto"/>
                            <w:left w:val="none" w:sz="0" w:space="0" w:color="auto"/>
                            <w:bottom w:val="none" w:sz="0" w:space="0" w:color="auto"/>
                            <w:right w:val="none" w:sz="0" w:space="0" w:color="auto"/>
                          </w:divBdr>
                        </w:div>
                        <w:div w:id="684595082">
                          <w:marLeft w:val="0"/>
                          <w:marRight w:val="0"/>
                          <w:marTop w:val="0"/>
                          <w:marBottom w:val="0"/>
                          <w:divBdr>
                            <w:top w:val="none" w:sz="0" w:space="0" w:color="auto"/>
                            <w:left w:val="none" w:sz="0" w:space="0" w:color="auto"/>
                            <w:bottom w:val="none" w:sz="0" w:space="0" w:color="auto"/>
                            <w:right w:val="none" w:sz="0" w:space="0" w:color="auto"/>
                          </w:divBdr>
                        </w:div>
                        <w:div w:id="715736232">
                          <w:marLeft w:val="0"/>
                          <w:marRight w:val="0"/>
                          <w:marTop w:val="0"/>
                          <w:marBottom w:val="0"/>
                          <w:divBdr>
                            <w:top w:val="none" w:sz="0" w:space="0" w:color="auto"/>
                            <w:left w:val="none" w:sz="0" w:space="0" w:color="auto"/>
                            <w:bottom w:val="none" w:sz="0" w:space="0" w:color="auto"/>
                            <w:right w:val="none" w:sz="0" w:space="0" w:color="auto"/>
                          </w:divBdr>
                        </w:div>
                        <w:div w:id="740717930">
                          <w:marLeft w:val="0"/>
                          <w:marRight w:val="0"/>
                          <w:marTop w:val="0"/>
                          <w:marBottom w:val="0"/>
                          <w:divBdr>
                            <w:top w:val="none" w:sz="0" w:space="0" w:color="auto"/>
                            <w:left w:val="none" w:sz="0" w:space="0" w:color="auto"/>
                            <w:bottom w:val="none" w:sz="0" w:space="0" w:color="auto"/>
                            <w:right w:val="none" w:sz="0" w:space="0" w:color="auto"/>
                          </w:divBdr>
                        </w:div>
                        <w:div w:id="759446638">
                          <w:marLeft w:val="0"/>
                          <w:marRight w:val="0"/>
                          <w:marTop w:val="0"/>
                          <w:marBottom w:val="0"/>
                          <w:divBdr>
                            <w:top w:val="none" w:sz="0" w:space="0" w:color="auto"/>
                            <w:left w:val="none" w:sz="0" w:space="0" w:color="auto"/>
                            <w:bottom w:val="none" w:sz="0" w:space="0" w:color="auto"/>
                            <w:right w:val="none" w:sz="0" w:space="0" w:color="auto"/>
                          </w:divBdr>
                        </w:div>
                        <w:div w:id="766390496">
                          <w:marLeft w:val="0"/>
                          <w:marRight w:val="0"/>
                          <w:marTop w:val="0"/>
                          <w:marBottom w:val="0"/>
                          <w:divBdr>
                            <w:top w:val="none" w:sz="0" w:space="0" w:color="auto"/>
                            <w:left w:val="none" w:sz="0" w:space="0" w:color="auto"/>
                            <w:bottom w:val="none" w:sz="0" w:space="0" w:color="auto"/>
                            <w:right w:val="none" w:sz="0" w:space="0" w:color="auto"/>
                          </w:divBdr>
                        </w:div>
                        <w:div w:id="799230709">
                          <w:marLeft w:val="0"/>
                          <w:marRight w:val="0"/>
                          <w:marTop w:val="0"/>
                          <w:marBottom w:val="0"/>
                          <w:divBdr>
                            <w:top w:val="none" w:sz="0" w:space="0" w:color="auto"/>
                            <w:left w:val="none" w:sz="0" w:space="0" w:color="auto"/>
                            <w:bottom w:val="none" w:sz="0" w:space="0" w:color="auto"/>
                            <w:right w:val="none" w:sz="0" w:space="0" w:color="auto"/>
                          </w:divBdr>
                        </w:div>
                        <w:div w:id="807431955">
                          <w:marLeft w:val="0"/>
                          <w:marRight w:val="0"/>
                          <w:marTop w:val="0"/>
                          <w:marBottom w:val="0"/>
                          <w:divBdr>
                            <w:top w:val="none" w:sz="0" w:space="0" w:color="auto"/>
                            <w:left w:val="none" w:sz="0" w:space="0" w:color="auto"/>
                            <w:bottom w:val="none" w:sz="0" w:space="0" w:color="auto"/>
                            <w:right w:val="none" w:sz="0" w:space="0" w:color="auto"/>
                          </w:divBdr>
                        </w:div>
                        <w:div w:id="845822401">
                          <w:marLeft w:val="0"/>
                          <w:marRight w:val="0"/>
                          <w:marTop w:val="0"/>
                          <w:marBottom w:val="0"/>
                          <w:divBdr>
                            <w:top w:val="none" w:sz="0" w:space="0" w:color="auto"/>
                            <w:left w:val="none" w:sz="0" w:space="0" w:color="auto"/>
                            <w:bottom w:val="none" w:sz="0" w:space="0" w:color="auto"/>
                            <w:right w:val="none" w:sz="0" w:space="0" w:color="auto"/>
                          </w:divBdr>
                        </w:div>
                        <w:div w:id="900404336">
                          <w:marLeft w:val="0"/>
                          <w:marRight w:val="0"/>
                          <w:marTop w:val="0"/>
                          <w:marBottom w:val="0"/>
                          <w:divBdr>
                            <w:top w:val="none" w:sz="0" w:space="0" w:color="auto"/>
                            <w:left w:val="none" w:sz="0" w:space="0" w:color="auto"/>
                            <w:bottom w:val="none" w:sz="0" w:space="0" w:color="auto"/>
                            <w:right w:val="none" w:sz="0" w:space="0" w:color="auto"/>
                          </w:divBdr>
                        </w:div>
                        <w:div w:id="906184383">
                          <w:marLeft w:val="0"/>
                          <w:marRight w:val="0"/>
                          <w:marTop w:val="0"/>
                          <w:marBottom w:val="0"/>
                          <w:divBdr>
                            <w:top w:val="none" w:sz="0" w:space="0" w:color="auto"/>
                            <w:left w:val="none" w:sz="0" w:space="0" w:color="auto"/>
                            <w:bottom w:val="none" w:sz="0" w:space="0" w:color="auto"/>
                            <w:right w:val="none" w:sz="0" w:space="0" w:color="auto"/>
                          </w:divBdr>
                        </w:div>
                        <w:div w:id="922449498">
                          <w:marLeft w:val="0"/>
                          <w:marRight w:val="0"/>
                          <w:marTop w:val="0"/>
                          <w:marBottom w:val="0"/>
                          <w:divBdr>
                            <w:top w:val="none" w:sz="0" w:space="0" w:color="auto"/>
                            <w:left w:val="none" w:sz="0" w:space="0" w:color="auto"/>
                            <w:bottom w:val="none" w:sz="0" w:space="0" w:color="auto"/>
                            <w:right w:val="none" w:sz="0" w:space="0" w:color="auto"/>
                          </w:divBdr>
                        </w:div>
                        <w:div w:id="963996457">
                          <w:marLeft w:val="0"/>
                          <w:marRight w:val="0"/>
                          <w:marTop w:val="0"/>
                          <w:marBottom w:val="0"/>
                          <w:divBdr>
                            <w:top w:val="none" w:sz="0" w:space="0" w:color="auto"/>
                            <w:left w:val="none" w:sz="0" w:space="0" w:color="auto"/>
                            <w:bottom w:val="none" w:sz="0" w:space="0" w:color="auto"/>
                            <w:right w:val="none" w:sz="0" w:space="0" w:color="auto"/>
                          </w:divBdr>
                        </w:div>
                        <w:div w:id="964895578">
                          <w:marLeft w:val="0"/>
                          <w:marRight w:val="0"/>
                          <w:marTop w:val="0"/>
                          <w:marBottom w:val="0"/>
                          <w:divBdr>
                            <w:top w:val="none" w:sz="0" w:space="0" w:color="auto"/>
                            <w:left w:val="none" w:sz="0" w:space="0" w:color="auto"/>
                            <w:bottom w:val="none" w:sz="0" w:space="0" w:color="auto"/>
                            <w:right w:val="none" w:sz="0" w:space="0" w:color="auto"/>
                          </w:divBdr>
                        </w:div>
                        <w:div w:id="977107402">
                          <w:marLeft w:val="0"/>
                          <w:marRight w:val="0"/>
                          <w:marTop w:val="0"/>
                          <w:marBottom w:val="0"/>
                          <w:divBdr>
                            <w:top w:val="none" w:sz="0" w:space="0" w:color="auto"/>
                            <w:left w:val="none" w:sz="0" w:space="0" w:color="auto"/>
                            <w:bottom w:val="none" w:sz="0" w:space="0" w:color="auto"/>
                            <w:right w:val="none" w:sz="0" w:space="0" w:color="auto"/>
                          </w:divBdr>
                        </w:div>
                        <w:div w:id="1006051716">
                          <w:marLeft w:val="0"/>
                          <w:marRight w:val="0"/>
                          <w:marTop w:val="0"/>
                          <w:marBottom w:val="0"/>
                          <w:divBdr>
                            <w:top w:val="none" w:sz="0" w:space="0" w:color="auto"/>
                            <w:left w:val="none" w:sz="0" w:space="0" w:color="auto"/>
                            <w:bottom w:val="none" w:sz="0" w:space="0" w:color="auto"/>
                            <w:right w:val="none" w:sz="0" w:space="0" w:color="auto"/>
                          </w:divBdr>
                        </w:div>
                        <w:div w:id="1007098252">
                          <w:marLeft w:val="0"/>
                          <w:marRight w:val="0"/>
                          <w:marTop w:val="0"/>
                          <w:marBottom w:val="0"/>
                          <w:divBdr>
                            <w:top w:val="none" w:sz="0" w:space="0" w:color="auto"/>
                            <w:left w:val="none" w:sz="0" w:space="0" w:color="auto"/>
                            <w:bottom w:val="none" w:sz="0" w:space="0" w:color="auto"/>
                            <w:right w:val="none" w:sz="0" w:space="0" w:color="auto"/>
                          </w:divBdr>
                        </w:div>
                        <w:div w:id="1011105747">
                          <w:marLeft w:val="0"/>
                          <w:marRight w:val="0"/>
                          <w:marTop w:val="0"/>
                          <w:marBottom w:val="0"/>
                          <w:divBdr>
                            <w:top w:val="none" w:sz="0" w:space="0" w:color="auto"/>
                            <w:left w:val="none" w:sz="0" w:space="0" w:color="auto"/>
                            <w:bottom w:val="none" w:sz="0" w:space="0" w:color="auto"/>
                            <w:right w:val="none" w:sz="0" w:space="0" w:color="auto"/>
                          </w:divBdr>
                        </w:div>
                        <w:div w:id="1024667941">
                          <w:marLeft w:val="0"/>
                          <w:marRight w:val="0"/>
                          <w:marTop w:val="0"/>
                          <w:marBottom w:val="0"/>
                          <w:divBdr>
                            <w:top w:val="none" w:sz="0" w:space="0" w:color="auto"/>
                            <w:left w:val="none" w:sz="0" w:space="0" w:color="auto"/>
                            <w:bottom w:val="none" w:sz="0" w:space="0" w:color="auto"/>
                            <w:right w:val="none" w:sz="0" w:space="0" w:color="auto"/>
                          </w:divBdr>
                        </w:div>
                        <w:div w:id="1052272976">
                          <w:marLeft w:val="0"/>
                          <w:marRight w:val="0"/>
                          <w:marTop w:val="0"/>
                          <w:marBottom w:val="0"/>
                          <w:divBdr>
                            <w:top w:val="none" w:sz="0" w:space="0" w:color="auto"/>
                            <w:left w:val="none" w:sz="0" w:space="0" w:color="auto"/>
                            <w:bottom w:val="none" w:sz="0" w:space="0" w:color="auto"/>
                            <w:right w:val="none" w:sz="0" w:space="0" w:color="auto"/>
                          </w:divBdr>
                        </w:div>
                        <w:div w:id="1106773537">
                          <w:marLeft w:val="0"/>
                          <w:marRight w:val="0"/>
                          <w:marTop w:val="0"/>
                          <w:marBottom w:val="0"/>
                          <w:divBdr>
                            <w:top w:val="none" w:sz="0" w:space="0" w:color="auto"/>
                            <w:left w:val="none" w:sz="0" w:space="0" w:color="auto"/>
                            <w:bottom w:val="none" w:sz="0" w:space="0" w:color="auto"/>
                            <w:right w:val="none" w:sz="0" w:space="0" w:color="auto"/>
                          </w:divBdr>
                        </w:div>
                        <w:div w:id="1149326352">
                          <w:marLeft w:val="0"/>
                          <w:marRight w:val="0"/>
                          <w:marTop w:val="0"/>
                          <w:marBottom w:val="0"/>
                          <w:divBdr>
                            <w:top w:val="none" w:sz="0" w:space="0" w:color="auto"/>
                            <w:left w:val="none" w:sz="0" w:space="0" w:color="auto"/>
                            <w:bottom w:val="none" w:sz="0" w:space="0" w:color="auto"/>
                            <w:right w:val="none" w:sz="0" w:space="0" w:color="auto"/>
                          </w:divBdr>
                        </w:div>
                        <w:div w:id="1150827592">
                          <w:marLeft w:val="0"/>
                          <w:marRight w:val="0"/>
                          <w:marTop w:val="0"/>
                          <w:marBottom w:val="0"/>
                          <w:divBdr>
                            <w:top w:val="none" w:sz="0" w:space="0" w:color="auto"/>
                            <w:left w:val="none" w:sz="0" w:space="0" w:color="auto"/>
                            <w:bottom w:val="none" w:sz="0" w:space="0" w:color="auto"/>
                            <w:right w:val="none" w:sz="0" w:space="0" w:color="auto"/>
                          </w:divBdr>
                        </w:div>
                        <w:div w:id="1153333513">
                          <w:marLeft w:val="0"/>
                          <w:marRight w:val="0"/>
                          <w:marTop w:val="0"/>
                          <w:marBottom w:val="0"/>
                          <w:divBdr>
                            <w:top w:val="none" w:sz="0" w:space="0" w:color="auto"/>
                            <w:left w:val="none" w:sz="0" w:space="0" w:color="auto"/>
                            <w:bottom w:val="none" w:sz="0" w:space="0" w:color="auto"/>
                            <w:right w:val="none" w:sz="0" w:space="0" w:color="auto"/>
                          </w:divBdr>
                        </w:div>
                        <w:div w:id="1162966562">
                          <w:marLeft w:val="0"/>
                          <w:marRight w:val="0"/>
                          <w:marTop w:val="0"/>
                          <w:marBottom w:val="0"/>
                          <w:divBdr>
                            <w:top w:val="none" w:sz="0" w:space="0" w:color="auto"/>
                            <w:left w:val="none" w:sz="0" w:space="0" w:color="auto"/>
                            <w:bottom w:val="none" w:sz="0" w:space="0" w:color="auto"/>
                            <w:right w:val="none" w:sz="0" w:space="0" w:color="auto"/>
                          </w:divBdr>
                        </w:div>
                        <w:div w:id="1174422515">
                          <w:marLeft w:val="0"/>
                          <w:marRight w:val="0"/>
                          <w:marTop w:val="0"/>
                          <w:marBottom w:val="0"/>
                          <w:divBdr>
                            <w:top w:val="none" w:sz="0" w:space="0" w:color="auto"/>
                            <w:left w:val="none" w:sz="0" w:space="0" w:color="auto"/>
                            <w:bottom w:val="none" w:sz="0" w:space="0" w:color="auto"/>
                            <w:right w:val="none" w:sz="0" w:space="0" w:color="auto"/>
                          </w:divBdr>
                        </w:div>
                        <w:div w:id="1183282227">
                          <w:marLeft w:val="0"/>
                          <w:marRight w:val="0"/>
                          <w:marTop w:val="0"/>
                          <w:marBottom w:val="0"/>
                          <w:divBdr>
                            <w:top w:val="none" w:sz="0" w:space="0" w:color="auto"/>
                            <w:left w:val="none" w:sz="0" w:space="0" w:color="auto"/>
                            <w:bottom w:val="none" w:sz="0" w:space="0" w:color="auto"/>
                            <w:right w:val="none" w:sz="0" w:space="0" w:color="auto"/>
                          </w:divBdr>
                        </w:div>
                        <w:div w:id="1256014659">
                          <w:marLeft w:val="0"/>
                          <w:marRight w:val="0"/>
                          <w:marTop w:val="0"/>
                          <w:marBottom w:val="0"/>
                          <w:divBdr>
                            <w:top w:val="none" w:sz="0" w:space="0" w:color="auto"/>
                            <w:left w:val="none" w:sz="0" w:space="0" w:color="auto"/>
                            <w:bottom w:val="none" w:sz="0" w:space="0" w:color="auto"/>
                            <w:right w:val="none" w:sz="0" w:space="0" w:color="auto"/>
                          </w:divBdr>
                        </w:div>
                        <w:div w:id="1275020329">
                          <w:marLeft w:val="0"/>
                          <w:marRight w:val="0"/>
                          <w:marTop w:val="0"/>
                          <w:marBottom w:val="0"/>
                          <w:divBdr>
                            <w:top w:val="none" w:sz="0" w:space="0" w:color="auto"/>
                            <w:left w:val="none" w:sz="0" w:space="0" w:color="auto"/>
                            <w:bottom w:val="none" w:sz="0" w:space="0" w:color="auto"/>
                            <w:right w:val="none" w:sz="0" w:space="0" w:color="auto"/>
                          </w:divBdr>
                        </w:div>
                        <w:div w:id="1291672600">
                          <w:marLeft w:val="0"/>
                          <w:marRight w:val="0"/>
                          <w:marTop w:val="0"/>
                          <w:marBottom w:val="0"/>
                          <w:divBdr>
                            <w:top w:val="none" w:sz="0" w:space="0" w:color="auto"/>
                            <w:left w:val="none" w:sz="0" w:space="0" w:color="auto"/>
                            <w:bottom w:val="none" w:sz="0" w:space="0" w:color="auto"/>
                            <w:right w:val="none" w:sz="0" w:space="0" w:color="auto"/>
                          </w:divBdr>
                        </w:div>
                        <w:div w:id="1299611549">
                          <w:marLeft w:val="0"/>
                          <w:marRight w:val="0"/>
                          <w:marTop w:val="0"/>
                          <w:marBottom w:val="0"/>
                          <w:divBdr>
                            <w:top w:val="none" w:sz="0" w:space="0" w:color="auto"/>
                            <w:left w:val="none" w:sz="0" w:space="0" w:color="auto"/>
                            <w:bottom w:val="none" w:sz="0" w:space="0" w:color="auto"/>
                            <w:right w:val="none" w:sz="0" w:space="0" w:color="auto"/>
                          </w:divBdr>
                        </w:div>
                        <w:div w:id="1311397076">
                          <w:marLeft w:val="0"/>
                          <w:marRight w:val="0"/>
                          <w:marTop w:val="0"/>
                          <w:marBottom w:val="0"/>
                          <w:divBdr>
                            <w:top w:val="none" w:sz="0" w:space="0" w:color="auto"/>
                            <w:left w:val="none" w:sz="0" w:space="0" w:color="auto"/>
                            <w:bottom w:val="none" w:sz="0" w:space="0" w:color="auto"/>
                            <w:right w:val="none" w:sz="0" w:space="0" w:color="auto"/>
                          </w:divBdr>
                        </w:div>
                        <w:div w:id="1318221746">
                          <w:marLeft w:val="0"/>
                          <w:marRight w:val="0"/>
                          <w:marTop w:val="0"/>
                          <w:marBottom w:val="0"/>
                          <w:divBdr>
                            <w:top w:val="none" w:sz="0" w:space="0" w:color="auto"/>
                            <w:left w:val="none" w:sz="0" w:space="0" w:color="auto"/>
                            <w:bottom w:val="none" w:sz="0" w:space="0" w:color="auto"/>
                            <w:right w:val="none" w:sz="0" w:space="0" w:color="auto"/>
                          </w:divBdr>
                        </w:div>
                        <w:div w:id="1332369528">
                          <w:marLeft w:val="0"/>
                          <w:marRight w:val="0"/>
                          <w:marTop w:val="0"/>
                          <w:marBottom w:val="0"/>
                          <w:divBdr>
                            <w:top w:val="none" w:sz="0" w:space="0" w:color="auto"/>
                            <w:left w:val="none" w:sz="0" w:space="0" w:color="auto"/>
                            <w:bottom w:val="none" w:sz="0" w:space="0" w:color="auto"/>
                            <w:right w:val="none" w:sz="0" w:space="0" w:color="auto"/>
                          </w:divBdr>
                        </w:div>
                        <w:div w:id="1395010739">
                          <w:marLeft w:val="0"/>
                          <w:marRight w:val="0"/>
                          <w:marTop w:val="0"/>
                          <w:marBottom w:val="0"/>
                          <w:divBdr>
                            <w:top w:val="none" w:sz="0" w:space="0" w:color="auto"/>
                            <w:left w:val="none" w:sz="0" w:space="0" w:color="auto"/>
                            <w:bottom w:val="none" w:sz="0" w:space="0" w:color="auto"/>
                            <w:right w:val="none" w:sz="0" w:space="0" w:color="auto"/>
                          </w:divBdr>
                        </w:div>
                        <w:div w:id="1451168013">
                          <w:marLeft w:val="0"/>
                          <w:marRight w:val="0"/>
                          <w:marTop w:val="0"/>
                          <w:marBottom w:val="0"/>
                          <w:divBdr>
                            <w:top w:val="none" w:sz="0" w:space="0" w:color="auto"/>
                            <w:left w:val="none" w:sz="0" w:space="0" w:color="auto"/>
                            <w:bottom w:val="none" w:sz="0" w:space="0" w:color="auto"/>
                            <w:right w:val="none" w:sz="0" w:space="0" w:color="auto"/>
                          </w:divBdr>
                        </w:div>
                        <w:div w:id="1466436234">
                          <w:marLeft w:val="0"/>
                          <w:marRight w:val="0"/>
                          <w:marTop w:val="0"/>
                          <w:marBottom w:val="0"/>
                          <w:divBdr>
                            <w:top w:val="none" w:sz="0" w:space="0" w:color="auto"/>
                            <w:left w:val="none" w:sz="0" w:space="0" w:color="auto"/>
                            <w:bottom w:val="none" w:sz="0" w:space="0" w:color="auto"/>
                            <w:right w:val="none" w:sz="0" w:space="0" w:color="auto"/>
                          </w:divBdr>
                        </w:div>
                        <w:div w:id="1469591170">
                          <w:marLeft w:val="0"/>
                          <w:marRight w:val="0"/>
                          <w:marTop w:val="0"/>
                          <w:marBottom w:val="0"/>
                          <w:divBdr>
                            <w:top w:val="none" w:sz="0" w:space="0" w:color="auto"/>
                            <w:left w:val="none" w:sz="0" w:space="0" w:color="auto"/>
                            <w:bottom w:val="none" w:sz="0" w:space="0" w:color="auto"/>
                            <w:right w:val="none" w:sz="0" w:space="0" w:color="auto"/>
                          </w:divBdr>
                        </w:div>
                        <w:div w:id="1501508083">
                          <w:marLeft w:val="0"/>
                          <w:marRight w:val="0"/>
                          <w:marTop w:val="0"/>
                          <w:marBottom w:val="0"/>
                          <w:divBdr>
                            <w:top w:val="none" w:sz="0" w:space="0" w:color="auto"/>
                            <w:left w:val="none" w:sz="0" w:space="0" w:color="auto"/>
                            <w:bottom w:val="none" w:sz="0" w:space="0" w:color="auto"/>
                            <w:right w:val="none" w:sz="0" w:space="0" w:color="auto"/>
                          </w:divBdr>
                        </w:div>
                        <w:div w:id="1629121534">
                          <w:marLeft w:val="0"/>
                          <w:marRight w:val="0"/>
                          <w:marTop w:val="0"/>
                          <w:marBottom w:val="0"/>
                          <w:divBdr>
                            <w:top w:val="none" w:sz="0" w:space="0" w:color="auto"/>
                            <w:left w:val="none" w:sz="0" w:space="0" w:color="auto"/>
                            <w:bottom w:val="none" w:sz="0" w:space="0" w:color="auto"/>
                            <w:right w:val="none" w:sz="0" w:space="0" w:color="auto"/>
                          </w:divBdr>
                        </w:div>
                        <w:div w:id="1670449496">
                          <w:marLeft w:val="0"/>
                          <w:marRight w:val="0"/>
                          <w:marTop w:val="0"/>
                          <w:marBottom w:val="0"/>
                          <w:divBdr>
                            <w:top w:val="none" w:sz="0" w:space="0" w:color="auto"/>
                            <w:left w:val="none" w:sz="0" w:space="0" w:color="auto"/>
                            <w:bottom w:val="none" w:sz="0" w:space="0" w:color="auto"/>
                            <w:right w:val="none" w:sz="0" w:space="0" w:color="auto"/>
                          </w:divBdr>
                        </w:div>
                        <w:div w:id="1679850435">
                          <w:marLeft w:val="0"/>
                          <w:marRight w:val="0"/>
                          <w:marTop w:val="0"/>
                          <w:marBottom w:val="0"/>
                          <w:divBdr>
                            <w:top w:val="none" w:sz="0" w:space="0" w:color="auto"/>
                            <w:left w:val="none" w:sz="0" w:space="0" w:color="auto"/>
                            <w:bottom w:val="none" w:sz="0" w:space="0" w:color="auto"/>
                            <w:right w:val="none" w:sz="0" w:space="0" w:color="auto"/>
                          </w:divBdr>
                        </w:div>
                        <w:div w:id="1713770227">
                          <w:marLeft w:val="0"/>
                          <w:marRight w:val="0"/>
                          <w:marTop w:val="0"/>
                          <w:marBottom w:val="0"/>
                          <w:divBdr>
                            <w:top w:val="none" w:sz="0" w:space="0" w:color="auto"/>
                            <w:left w:val="none" w:sz="0" w:space="0" w:color="auto"/>
                            <w:bottom w:val="none" w:sz="0" w:space="0" w:color="auto"/>
                            <w:right w:val="none" w:sz="0" w:space="0" w:color="auto"/>
                          </w:divBdr>
                        </w:div>
                        <w:div w:id="1757362472">
                          <w:marLeft w:val="0"/>
                          <w:marRight w:val="0"/>
                          <w:marTop w:val="0"/>
                          <w:marBottom w:val="0"/>
                          <w:divBdr>
                            <w:top w:val="none" w:sz="0" w:space="0" w:color="auto"/>
                            <w:left w:val="none" w:sz="0" w:space="0" w:color="auto"/>
                            <w:bottom w:val="none" w:sz="0" w:space="0" w:color="auto"/>
                            <w:right w:val="none" w:sz="0" w:space="0" w:color="auto"/>
                          </w:divBdr>
                        </w:div>
                        <w:div w:id="1787888119">
                          <w:marLeft w:val="0"/>
                          <w:marRight w:val="0"/>
                          <w:marTop w:val="0"/>
                          <w:marBottom w:val="0"/>
                          <w:divBdr>
                            <w:top w:val="none" w:sz="0" w:space="0" w:color="auto"/>
                            <w:left w:val="none" w:sz="0" w:space="0" w:color="auto"/>
                            <w:bottom w:val="none" w:sz="0" w:space="0" w:color="auto"/>
                            <w:right w:val="none" w:sz="0" w:space="0" w:color="auto"/>
                          </w:divBdr>
                        </w:div>
                        <w:div w:id="1875772354">
                          <w:marLeft w:val="0"/>
                          <w:marRight w:val="0"/>
                          <w:marTop w:val="0"/>
                          <w:marBottom w:val="0"/>
                          <w:divBdr>
                            <w:top w:val="none" w:sz="0" w:space="0" w:color="auto"/>
                            <w:left w:val="none" w:sz="0" w:space="0" w:color="auto"/>
                            <w:bottom w:val="none" w:sz="0" w:space="0" w:color="auto"/>
                            <w:right w:val="none" w:sz="0" w:space="0" w:color="auto"/>
                          </w:divBdr>
                        </w:div>
                        <w:div w:id="1879662474">
                          <w:marLeft w:val="0"/>
                          <w:marRight w:val="0"/>
                          <w:marTop w:val="0"/>
                          <w:marBottom w:val="0"/>
                          <w:divBdr>
                            <w:top w:val="none" w:sz="0" w:space="0" w:color="auto"/>
                            <w:left w:val="none" w:sz="0" w:space="0" w:color="auto"/>
                            <w:bottom w:val="none" w:sz="0" w:space="0" w:color="auto"/>
                            <w:right w:val="none" w:sz="0" w:space="0" w:color="auto"/>
                          </w:divBdr>
                        </w:div>
                        <w:div w:id="1883906779">
                          <w:marLeft w:val="0"/>
                          <w:marRight w:val="0"/>
                          <w:marTop w:val="0"/>
                          <w:marBottom w:val="0"/>
                          <w:divBdr>
                            <w:top w:val="none" w:sz="0" w:space="0" w:color="auto"/>
                            <w:left w:val="none" w:sz="0" w:space="0" w:color="auto"/>
                            <w:bottom w:val="none" w:sz="0" w:space="0" w:color="auto"/>
                            <w:right w:val="none" w:sz="0" w:space="0" w:color="auto"/>
                          </w:divBdr>
                        </w:div>
                        <w:div w:id="1897008679">
                          <w:marLeft w:val="0"/>
                          <w:marRight w:val="0"/>
                          <w:marTop w:val="0"/>
                          <w:marBottom w:val="0"/>
                          <w:divBdr>
                            <w:top w:val="none" w:sz="0" w:space="0" w:color="auto"/>
                            <w:left w:val="none" w:sz="0" w:space="0" w:color="auto"/>
                            <w:bottom w:val="none" w:sz="0" w:space="0" w:color="auto"/>
                            <w:right w:val="none" w:sz="0" w:space="0" w:color="auto"/>
                          </w:divBdr>
                        </w:div>
                        <w:div w:id="1936861380">
                          <w:marLeft w:val="0"/>
                          <w:marRight w:val="0"/>
                          <w:marTop w:val="0"/>
                          <w:marBottom w:val="0"/>
                          <w:divBdr>
                            <w:top w:val="none" w:sz="0" w:space="0" w:color="auto"/>
                            <w:left w:val="none" w:sz="0" w:space="0" w:color="auto"/>
                            <w:bottom w:val="none" w:sz="0" w:space="0" w:color="auto"/>
                            <w:right w:val="none" w:sz="0" w:space="0" w:color="auto"/>
                          </w:divBdr>
                        </w:div>
                        <w:div w:id="1976060397">
                          <w:marLeft w:val="0"/>
                          <w:marRight w:val="0"/>
                          <w:marTop w:val="0"/>
                          <w:marBottom w:val="0"/>
                          <w:divBdr>
                            <w:top w:val="none" w:sz="0" w:space="0" w:color="auto"/>
                            <w:left w:val="none" w:sz="0" w:space="0" w:color="auto"/>
                            <w:bottom w:val="none" w:sz="0" w:space="0" w:color="auto"/>
                            <w:right w:val="none" w:sz="0" w:space="0" w:color="auto"/>
                          </w:divBdr>
                        </w:div>
                        <w:div w:id="2043163006">
                          <w:marLeft w:val="0"/>
                          <w:marRight w:val="0"/>
                          <w:marTop w:val="0"/>
                          <w:marBottom w:val="0"/>
                          <w:divBdr>
                            <w:top w:val="none" w:sz="0" w:space="0" w:color="auto"/>
                            <w:left w:val="none" w:sz="0" w:space="0" w:color="auto"/>
                            <w:bottom w:val="none" w:sz="0" w:space="0" w:color="auto"/>
                            <w:right w:val="none" w:sz="0" w:space="0" w:color="auto"/>
                          </w:divBdr>
                        </w:div>
                        <w:div w:id="2062433386">
                          <w:marLeft w:val="0"/>
                          <w:marRight w:val="0"/>
                          <w:marTop w:val="0"/>
                          <w:marBottom w:val="0"/>
                          <w:divBdr>
                            <w:top w:val="none" w:sz="0" w:space="0" w:color="auto"/>
                            <w:left w:val="none" w:sz="0" w:space="0" w:color="auto"/>
                            <w:bottom w:val="none" w:sz="0" w:space="0" w:color="auto"/>
                            <w:right w:val="none" w:sz="0" w:space="0" w:color="auto"/>
                          </w:divBdr>
                        </w:div>
                        <w:div w:id="2077580785">
                          <w:marLeft w:val="0"/>
                          <w:marRight w:val="0"/>
                          <w:marTop w:val="0"/>
                          <w:marBottom w:val="0"/>
                          <w:divBdr>
                            <w:top w:val="none" w:sz="0" w:space="0" w:color="auto"/>
                            <w:left w:val="none" w:sz="0" w:space="0" w:color="auto"/>
                            <w:bottom w:val="none" w:sz="0" w:space="0" w:color="auto"/>
                            <w:right w:val="none" w:sz="0" w:space="0" w:color="auto"/>
                          </w:divBdr>
                        </w:div>
                        <w:div w:id="210472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357222">
          <w:marLeft w:val="0"/>
          <w:marRight w:val="0"/>
          <w:marTop w:val="0"/>
          <w:marBottom w:val="0"/>
          <w:divBdr>
            <w:top w:val="none" w:sz="0" w:space="0" w:color="auto"/>
            <w:left w:val="none" w:sz="0" w:space="0" w:color="auto"/>
            <w:bottom w:val="none" w:sz="0" w:space="0" w:color="auto"/>
            <w:right w:val="none" w:sz="0" w:space="0" w:color="auto"/>
          </w:divBdr>
          <w:divsChild>
            <w:div w:id="801192617">
              <w:marLeft w:val="0"/>
              <w:marRight w:val="0"/>
              <w:marTop w:val="0"/>
              <w:marBottom w:val="0"/>
              <w:divBdr>
                <w:top w:val="none" w:sz="0" w:space="0" w:color="auto"/>
                <w:left w:val="none" w:sz="0" w:space="0" w:color="auto"/>
                <w:bottom w:val="none" w:sz="0" w:space="0" w:color="auto"/>
                <w:right w:val="none" w:sz="0" w:space="0" w:color="auto"/>
              </w:divBdr>
              <w:divsChild>
                <w:div w:id="1067848533">
                  <w:marLeft w:val="0"/>
                  <w:marRight w:val="0"/>
                  <w:marTop w:val="0"/>
                  <w:marBottom w:val="0"/>
                  <w:divBdr>
                    <w:top w:val="none" w:sz="0" w:space="0" w:color="auto"/>
                    <w:left w:val="none" w:sz="0" w:space="0" w:color="auto"/>
                    <w:bottom w:val="none" w:sz="0" w:space="0" w:color="auto"/>
                    <w:right w:val="none" w:sz="0" w:space="0" w:color="auto"/>
                  </w:divBdr>
                  <w:divsChild>
                    <w:div w:id="588588077">
                      <w:marLeft w:val="-15"/>
                      <w:marRight w:val="0"/>
                      <w:marTop w:val="0"/>
                      <w:marBottom w:val="0"/>
                      <w:divBdr>
                        <w:top w:val="none" w:sz="0" w:space="0" w:color="auto"/>
                        <w:left w:val="none" w:sz="0" w:space="0" w:color="auto"/>
                        <w:bottom w:val="none" w:sz="0" w:space="0" w:color="auto"/>
                        <w:right w:val="none" w:sz="0" w:space="0" w:color="auto"/>
                      </w:divBdr>
                      <w:divsChild>
                        <w:div w:id="1374306690">
                          <w:marLeft w:val="0"/>
                          <w:marRight w:val="30"/>
                          <w:marTop w:val="45"/>
                          <w:marBottom w:val="60"/>
                          <w:divBdr>
                            <w:top w:val="none" w:sz="0" w:space="0" w:color="auto"/>
                            <w:left w:val="none" w:sz="0" w:space="0" w:color="auto"/>
                            <w:bottom w:val="none" w:sz="0" w:space="0" w:color="auto"/>
                            <w:right w:val="none" w:sz="0" w:space="0" w:color="auto"/>
                          </w:divBdr>
                        </w:div>
                      </w:divsChild>
                    </w:div>
                    <w:div w:id="948045099">
                      <w:marLeft w:val="0"/>
                      <w:marRight w:val="0"/>
                      <w:marTop w:val="0"/>
                      <w:marBottom w:val="0"/>
                      <w:divBdr>
                        <w:top w:val="none" w:sz="0" w:space="0" w:color="auto"/>
                        <w:left w:val="none" w:sz="0" w:space="0" w:color="auto"/>
                        <w:bottom w:val="none" w:sz="0" w:space="0" w:color="auto"/>
                        <w:right w:val="none" w:sz="0" w:space="0" w:color="auto"/>
                      </w:divBdr>
                      <w:divsChild>
                        <w:div w:id="16503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987816">
      <w:bodyDiv w:val="1"/>
      <w:marLeft w:val="0"/>
      <w:marRight w:val="0"/>
      <w:marTop w:val="0"/>
      <w:marBottom w:val="0"/>
      <w:divBdr>
        <w:top w:val="none" w:sz="0" w:space="0" w:color="auto"/>
        <w:left w:val="none" w:sz="0" w:space="0" w:color="auto"/>
        <w:bottom w:val="none" w:sz="0" w:space="0" w:color="auto"/>
        <w:right w:val="none" w:sz="0" w:space="0" w:color="auto"/>
      </w:divBdr>
    </w:div>
    <w:div w:id="346058761">
      <w:bodyDiv w:val="1"/>
      <w:marLeft w:val="0"/>
      <w:marRight w:val="0"/>
      <w:marTop w:val="0"/>
      <w:marBottom w:val="0"/>
      <w:divBdr>
        <w:top w:val="none" w:sz="0" w:space="0" w:color="auto"/>
        <w:left w:val="none" w:sz="0" w:space="0" w:color="auto"/>
        <w:bottom w:val="none" w:sz="0" w:space="0" w:color="auto"/>
        <w:right w:val="none" w:sz="0" w:space="0" w:color="auto"/>
      </w:divBdr>
    </w:div>
    <w:div w:id="346103668">
      <w:bodyDiv w:val="1"/>
      <w:marLeft w:val="0"/>
      <w:marRight w:val="0"/>
      <w:marTop w:val="0"/>
      <w:marBottom w:val="0"/>
      <w:divBdr>
        <w:top w:val="none" w:sz="0" w:space="0" w:color="auto"/>
        <w:left w:val="none" w:sz="0" w:space="0" w:color="auto"/>
        <w:bottom w:val="none" w:sz="0" w:space="0" w:color="auto"/>
        <w:right w:val="none" w:sz="0" w:space="0" w:color="auto"/>
      </w:divBdr>
    </w:div>
    <w:div w:id="348871273">
      <w:bodyDiv w:val="1"/>
      <w:marLeft w:val="0"/>
      <w:marRight w:val="0"/>
      <w:marTop w:val="0"/>
      <w:marBottom w:val="0"/>
      <w:divBdr>
        <w:top w:val="none" w:sz="0" w:space="0" w:color="auto"/>
        <w:left w:val="none" w:sz="0" w:space="0" w:color="auto"/>
        <w:bottom w:val="none" w:sz="0" w:space="0" w:color="auto"/>
        <w:right w:val="none" w:sz="0" w:space="0" w:color="auto"/>
      </w:divBdr>
    </w:div>
    <w:div w:id="349183778">
      <w:bodyDiv w:val="1"/>
      <w:marLeft w:val="0"/>
      <w:marRight w:val="0"/>
      <w:marTop w:val="0"/>
      <w:marBottom w:val="0"/>
      <w:divBdr>
        <w:top w:val="none" w:sz="0" w:space="0" w:color="auto"/>
        <w:left w:val="none" w:sz="0" w:space="0" w:color="auto"/>
        <w:bottom w:val="none" w:sz="0" w:space="0" w:color="auto"/>
        <w:right w:val="none" w:sz="0" w:space="0" w:color="auto"/>
      </w:divBdr>
    </w:div>
    <w:div w:id="349963144">
      <w:bodyDiv w:val="1"/>
      <w:marLeft w:val="0"/>
      <w:marRight w:val="0"/>
      <w:marTop w:val="0"/>
      <w:marBottom w:val="0"/>
      <w:divBdr>
        <w:top w:val="none" w:sz="0" w:space="0" w:color="auto"/>
        <w:left w:val="none" w:sz="0" w:space="0" w:color="auto"/>
        <w:bottom w:val="none" w:sz="0" w:space="0" w:color="auto"/>
        <w:right w:val="none" w:sz="0" w:space="0" w:color="auto"/>
      </w:divBdr>
    </w:div>
    <w:div w:id="352074282">
      <w:bodyDiv w:val="1"/>
      <w:marLeft w:val="0"/>
      <w:marRight w:val="0"/>
      <w:marTop w:val="0"/>
      <w:marBottom w:val="0"/>
      <w:divBdr>
        <w:top w:val="none" w:sz="0" w:space="0" w:color="auto"/>
        <w:left w:val="none" w:sz="0" w:space="0" w:color="auto"/>
        <w:bottom w:val="none" w:sz="0" w:space="0" w:color="auto"/>
        <w:right w:val="none" w:sz="0" w:space="0" w:color="auto"/>
      </w:divBdr>
    </w:div>
    <w:div w:id="356732490">
      <w:bodyDiv w:val="1"/>
      <w:marLeft w:val="0"/>
      <w:marRight w:val="0"/>
      <w:marTop w:val="0"/>
      <w:marBottom w:val="0"/>
      <w:divBdr>
        <w:top w:val="none" w:sz="0" w:space="0" w:color="auto"/>
        <w:left w:val="none" w:sz="0" w:space="0" w:color="auto"/>
        <w:bottom w:val="none" w:sz="0" w:space="0" w:color="auto"/>
        <w:right w:val="none" w:sz="0" w:space="0" w:color="auto"/>
      </w:divBdr>
    </w:div>
    <w:div w:id="357851715">
      <w:bodyDiv w:val="1"/>
      <w:marLeft w:val="0"/>
      <w:marRight w:val="0"/>
      <w:marTop w:val="0"/>
      <w:marBottom w:val="0"/>
      <w:divBdr>
        <w:top w:val="none" w:sz="0" w:space="0" w:color="auto"/>
        <w:left w:val="none" w:sz="0" w:space="0" w:color="auto"/>
        <w:bottom w:val="none" w:sz="0" w:space="0" w:color="auto"/>
        <w:right w:val="none" w:sz="0" w:space="0" w:color="auto"/>
      </w:divBdr>
    </w:div>
    <w:div w:id="359940020">
      <w:bodyDiv w:val="1"/>
      <w:marLeft w:val="0"/>
      <w:marRight w:val="0"/>
      <w:marTop w:val="0"/>
      <w:marBottom w:val="0"/>
      <w:divBdr>
        <w:top w:val="none" w:sz="0" w:space="0" w:color="auto"/>
        <w:left w:val="none" w:sz="0" w:space="0" w:color="auto"/>
        <w:bottom w:val="none" w:sz="0" w:space="0" w:color="auto"/>
        <w:right w:val="none" w:sz="0" w:space="0" w:color="auto"/>
      </w:divBdr>
    </w:div>
    <w:div w:id="361519165">
      <w:bodyDiv w:val="1"/>
      <w:marLeft w:val="0"/>
      <w:marRight w:val="0"/>
      <w:marTop w:val="0"/>
      <w:marBottom w:val="0"/>
      <w:divBdr>
        <w:top w:val="none" w:sz="0" w:space="0" w:color="auto"/>
        <w:left w:val="none" w:sz="0" w:space="0" w:color="auto"/>
        <w:bottom w:val="none" w:sz="0" w:space="0" w:color="auto"/>
        <w:right w:val="none" w:sz="0" w:space="0" w:color="auto"/>
      </w:divBdr>
    </w:div>
    <w:div w:id="365983031">
      <w:bodyDiv w:val="1"/>
      <w:marLeft w:val="0"/>
      <w:marRight w:val="0"/>
      <w:marTop w:val="0"/>
      <w:marBottom w:val="0"/>
      <w:divBdr>
        <w:top w:val="none" w:sz="0" w:space="0" w:color="auto"/>
        <w:left w:val="none" w:sz="0" w:space="0" w:color="auto"/>
        <w:bottom w:val="none" w:sz="0" w:space="0" w:color="auto"/>
        <w:right w:val="none" w:sz="0" w:space="0" w:color="auto"/>
      </w:divBdr>
    </w:div>
    <w:div w:id="371535298">
      <w:bodyDiv w:val="1"/>
      <w:marLeft w:val="0"/>
      <w:marRight w:val="0"/>
      <w:marTop w:val="0"/>
      <w:marBottom w:val="0"/>
      <w:divBdr>
        <w:top w:val="none" w:sz="0" w:space="0" w:color="auto"/>
        <w:left w:val="none" w:sz="0" w:space="0" w:color="auto"/>
        <w:bottom w:val="none" w:sz="0" w:space="0" w:color="auto"/>
        <w:right w:val="none" w:sz="0" w:space="0" w:color="auto"/>
      </w:divBdr>
    </w:div>
    <w:div w:id="371613619">
      <w:bodyDiv w:val="1"/>
      <w:marLeft w:val="0"/>
      <w:marRight w:val="0"/>
      <w:marTop w:val="0"/>
      <w:marBottom w:val="0"/>
      <w:divBdr>
        <w:top w:val="none" w:sz="0" w:space="0" w:color="auto"/>
        <w:left w:val="none" w:sz="0" w:space="0" w:color="auto"/>
        <w:bottom w:val="none" w:sz="0" w:space="0" w:color="auto"/>
        <w:right w:val="none" w:sz="0" w:space="0" w:color="auto"/>
      </w:divBdr>
    </w:div>
    <w:div w:id="379329269">
      <w:bodyDiv w:val="1"/>
      <w:marLeft w:val="0"/>
      <w:marRight w:val="0"/>
      <w:marTop w:val="0"/>
      <w:marBottom w:val="0"/>
      <w:divBdr>
        <w:top w:val="none" w:sz="0" w:space="0" w:color="auto"/>
        <w:left w:val="none" w:sz="0" w:space="0" w:color="auto"/>
        <w:bottom w:val="none" w:sz="0" w:space="0" w:color="auto"/>
        <w:right w:val="none" w:sz="0" w:space="0" w:color="auto"/>
      </w:divBdr>
    </w:div>
    <w:div w:id="382339937">
      <w:bodyDiv w:val="1"/>
      <w:marLeft w:val="0"/>
      <w:marRight w:val="0"/>
      <w:marTop w:val="0"/>
      <w:marBottom w:val="0"/>
      <w:divBdr>
        <w:top w:val="none" w:sz="0" w:space="0" w:color="auto"/>
        <w:left w:val="none" w:sz="0" w:space="0" w:color="auto"/>
        <w:bottom w:val="none" w:sz="0" w:space="0" w:color="auto"/>
        <w:right w:val="none" w:sz="0" w:space="0" w:color="auto"/>
      </w:divBdr>
    </w:div>
    <w:div w:id="382481579">
      <w:bodyDiv w:val="1"/>
      <w:marLeft w:val="0"/>
      <w:marRight w:val="0"/>
      <w:marTop w:val="0"/>
      <w:marBottom w:val="0"/>
      <w:divBdr>
        <w:top w:val="none" w:sz="0" w:space="0" w:color="auto"/>
        <w:left w:val="none" w:sz="0" w:space="0" w:color="auto"/>
        <w:bottom w:val="none" w:sz="0" w:space="0" w:color="auto"/>
        <w:right w:val="none" w:sz="0" w:space="0" w:color="auto"/>
      </w:divBdr>
    </w:div>
    <w:div w:id="389042653">
      <w:bodyDiv w:val="1"/>
      <w:marLeft w:val="0"/>
      <w:marRight w:val="0"/>
      <w:marTop w:val="0"/>
      <w:marBottom w:val="0"/>
      <w:divBdr>
        <w:top w:val="none" w:sz="0" w:space="0" w:color="auto"/>
        <w:left w:val="none" w:sz="0" w:space="0" w:color="auto"/>
        <w:bottom w:val="none" w:sz="0" w:space="0" w:color="auto"/>
        <w:right w:val="none" w:sz="0" w:space="0" w:color="auto"/>
      </w:divBdr>
    </w:div>
    <w:div w:id="390691376">
      <w:bodyDiv w:val="1"/>
      <w:marLeft w:val="0"/>
      <w:marRight w:val="0"/>
      <w:marTop w:val="0"/>
      <w:marBottom w:val="0"/>
      <w:divBdr>
        <w:top w:val="none" w:sz="0" w:space="0" w:color="auto"/>
        <w:left w:val="none" w:sz="0" w:space="0" w:color="auto"/>
        <w:bottom w:val="none" w:sz="0" w:space="0" w:color="auto"/>
        <w:right w:val="none" w:sz="0" w:space="0" w:color="auto"/>
      </w:divBdr>
    </w:div>
    <w:div w:id="391388796">
      <w:bodyDiv w:val="1"/>
      <w:marLeft w:val="0"/>
      <w:marRight w:val="0"/>
      <w:marTop w:val="0"/>
      <w:marBottom w:val="0"/>
      <w:divBdr>
        <w:top w:val="none" w:sz="0" w:space="0" w:color="auto"/>
        <w:left w:val="none" w:sz="0" w:space="0" w:color="auto"/>
        <w:bottom w:val="none" w:sz="0" w:space="0" w:color="auto"/>
        <w:right w:val="none" w:sz="0" w:space="0" w:color="auto"/>
      </w:divBdr>
    </w:div>
    <w:div w:id="394165024">
      <w:bodyDiv w:val="1"/>
      <w:marLeft w:val="0"/>
      <w:marRight w:val="0"/>
      <w:marTop w:val="0"/>
      <w:marBottom w:val="0"/>
      <w:divBdr>
        <w:top w:val="none" w:sz="0" w:space="0" w:color="auto"/>
        <w:left w:val="none" w:sz="0" w:space="0" w:color="auto"/>
        <w:bottom w:val="none" w:sz="0" w:space="0" w:color="auto"/>
        <w:right w:val="none" w:sz="0" w:space="0" w:color="auto"/>
      </w:divBdr>
    </w:div>
    <w:div w:id="401566903">
      <w:bodyDiv w:val="1"/>
      <w:marLeft w:val="0"/>
      <w:marRight w:val="0"/>
      <w:marTop w:val="0"/>
      <w:marBottom w:val="0"/>
      <w:divBdr>
        <w:top w:val="none" w:sz="0" w:space="0" w:color="auto"/>
        <w:left w:val="none" w:sz="0" w:space="0" w:color="auto"/>
        <w:bottom w:val="none" w:sz="0" w:space="0" w:color="auto"/>
        <w:right w:val="none" w:sz="0" w:space="0" w:color="auto"/>
      </w:divBdr>
    </w:div>
    <w:div w:id="409546945">
      <w:bodyDiv w:val="1"/>
      <w:marLeft w:val="0"/>
      <w:marRight w:val="0"/>
      <w:marTop w:val="0"/>
      <w:marBottom w:val="0"/>
      <w:divBdr>
        <w:top w:val="none" w:sz="0" w:space="0" w:color="auto"/>
        <w:left w:val="none" w:sz="0" w:space="0" w:color="auto"/>
        <w:bottom w:val="none" w:sz="0" w:space="0" w:color="auto"/>
        <w:right w:val="none" w:sz="0" w:space="0" w:color="auto"/>
      </w:divBdr>
    </w:div>
    <w:div w:id="412122430">
      <w:bodyDiv w:val="1"/>
      <w:marLeft w:val="0"/>
      <w:marRight w:val="0"/>
      <w:marTop w:val="0"/>
      <w:marBottom w:val="0"/>
      <w:divBdr>
        <w:top w:val="none" w:sz="0" w:space="0" w:color="auto"/>
        <w:left w:val="none" w:sz="0" w:space="0" w:color="auto"/>
        <w:bottom w:val="none" w:sz="0" w:space="0" w:color="auto"/>
        <w:right w:val="none" w:sz="0" w:space="0" w:color="auto"/>
      </w:divBdr>
    </w:div>
    <w:div w:id="413821478">
      <w:bodyDiv w:val="1"/>
      <w:marLeft w:val="0"/>
      <w:marRight w:val="0"/>
      <w:marTop w:val="0"/>
      <w:marBottom w:val="0"/>
      <w:divBdr>
        <w:top w:val="none" w:sz="0" w:space="0" w:color="auto"/>
        <w:left w:val="none" w:sz="0" w:space="0" w:color="auto"/>
        <w:bottom w:val="none" w:sz="0" w:space="0" w:color="auto"/>
        <w:right w:val="none" w:sz="0" w:space="0" w:color="auto"/>
      </w:divBdr>
    </w:div>
    <w:div w:id="414280503">
      <w:bodyDiv w:val="1"/>
      <w:marLeft w:val="0"/>
      <w:marRight w:val="0"/>
      <w:marTop w:val="0"/>
      <w:marBottom w:val="0"/>
      <w:divBdr>
        <w:top w:val="none" w:sz="0" w:space="0" w:color="auto"/>
        <w:left w:val="none" w:sz="0" w:space="0" w:color="auto"/>
        <w:bottom w:val="none" w:sz="0" w:space="0" w:color="auto"/>
        <w:right w:val="none" w:sz="0" w:space="0" w:color="auto"/>
      </w:divBdr>
    </w:div>
    <w:div w:id="416441346">
      <w:bodyDiv w:val="1"/>
      <w:marLeft w:val="0"/>
      <w:marRight w:val="0"/>
      <w:marTop w:val="0"/>
      <w:marBottom w:val="0"/>
      <w:divBdr>
        <w:top w:val="none" w:sz="0" w:space="0" w:color="auto"/>
        <w:left w:val="none" w:sz="0" w:space="0" w:color="auto"/>
        <w:bottom w:val="none" w:sz="0" w:space="0" w:color="auto"/>
        <w:right w:val="none" w:sz="0" w:space="0" w:color="auto"/>
      </w:divBdr>
    </w:div>
    <w:div w:id="420764167">
      <w:bodyDiv w:val="1"/>
      <w:marLeft w:val="0"/>
      <w:marRight w:val="0"/>
      <w:marTop w:val="0"/>
      <w:marBottom w:val="0"/>
      <w:divBdr>
        <w:top w:val="none" w:sz="0" w:space="0" w:color="auto"/>
        <w:left w:val="none" w:sz="0" w:space="0" w:color="auto"/>
        <w:bottom w:val="none" w:sz="0" w:space="0" w:color="auto"/>
        <w:right w:val="none" w:sz="0" w:space="0" w:color="auto"/>
      </w:divBdr>
    </w:div>
    <w:div w:id="421146781">
      <w:bodyDiv w:val="1"/>
      <w:marLeft w:val="0"/>
      <w:marRight w:val="0"/>
      <w:marTop w:val="0"/>
      <w:marBottom w:val="0"/>
      <w:divBdr>
        <w:top w:val="none" w:sz="0" w:space="0" w:color="auto"/>
        <w:left w:val="none" w:sz="0" w:space="0" w:color="auto"/>
        <w:bottom w:val="none" w:sz="0" w:space="0" w:color="auto"/>
        <w:right w:val="none" w:sz="0" w:space="0" w:color="auto"/>
      </w:divBdr>
    </w:div>
    <w:div w:id="423919602">
      <w:bodyDiv w:val="1"/>
      <w:marLeft w:val="0"/>
      <w:marRight w:val="0"/>
      <w:marTop w:val="0"/>
      <w:marBottom w:val="0"/>
      <w:divBdr>
        <w:top w:val="none" w:sz="0" w:space="0" w:color="auto"/>
        <w:left w:val="none" w:sz="0" w:space="0" w:color="auto"/>
        <w:bottom w:val="none" w:sz="0" w:space="0" w:color="auto"/>
        <w:right w:val="none" w:sz="0" w:space="0" w:color="auto"/>
      </w:divBdr>
    </w:div>
    <w:div w:id="427652352">
      <w:bodyDiv w:val="1"/>
      <w:marLeft w:val="0"/>
      <w:marRight w:val="0"/>
      <w:marTop w:val="0"/>
      <w:marBottom w:val="0"/>
      <w:divBdr>
        <w:top w:val="none" w:sz="0" w:space="0" w:color="auto"/>
        <w:left w:val="none" w:sz="0" w:space="0" w:color="auto"/>
        <w:bottom w:val="none" w:sz="0" w:space="0" w:color="auto"/>
        <w:right w:val="none" w:sz="0" w:space="0" w:color="auto"/>
      </w:divBdr>
    </w:div>
    <w:div w:id="430200856">
      <w:bodyDiv w:val="1"/>
      <w:marLeft w:val="0"/>
      <w:marRight w:val="0"/>
      <w:marTop w:val="0"/>
      <w:marBottom w:val="0"/>
      <w:divBdr>
        <w:top w:val="none" w:sz="0" w:space="0" w:color="auto"/>
        <w:left w:val="none" w:sz="0" w:space="0" w:color="auto"/>
        <w:bottom w:val="none" w:sz="0" w:space="0" w:color="auto"/>
        <w:right w:val="none" w:sz="0" w:space="0" w:color="auto"/>
      </w:divBdr>
    </w:div>
    <w:div w:id="434207598">
      <w:bodyDiv w:val="1"/>
      <w:marLeft w:val="0"/>
      <w:marRight w:val="0"/>
      <w:marTop w:val="0"/>
      <w:marBottom w:val="0"/>
      <w:divBdr>
        <w:top w:val="none" w:sz="0" w:space="0" w:color="auto"/>
        <w:left w:val="none" w:sz="0" w:space="0" w:color="auto"/>
        <w:bottom w:val="none" w:sz="0" w:space="0" w:color="auto"/>
        <w:right w:val="none" w:sz="0" w:space="0" w:color="auto"/>
      </w:divBdr>
    </w:div>
    <w:div w:id="434635428">
      <w:bodyDiv w:val="1"/>
      <w:marLeft w:val="0"/>
      <w:marRight w:val="0"/>
      <w:marTop w:val="0"/>
      <w:marBottom w:val="0"/>
      <w:divBdr>
        <w:top w:val="none" w:sz="0" w:space="0" w:color="auto"/>
        <w:left w:val="none" w:sz="0" w:space="0" w:color="auto"/>
        <w:bottom w:val="none" w:sz="0" w:space="0" w:color="auto"/>
        <w:right w:val="none" w:sz="0" w:space="0" w:color="auto"/>
      </w:divBdr>
    </w:div>
    <w:div w:id="443115930">
      <w:bodyDiv w:val="1"/>
      <w:marLeft w:val="0"/>
      <w:marRight w:val="0"/>
      <w:marTop w:val="0"/>
      <w:marBottom w:val="0"/>
      <w:divBdr>
        <w:top w:val="none" w:sz="0" w:space="0" w:color="auto"/>
        <w:left w:val="none" w:sz="0" w:space="0" w:color="auto"/>
        <w:bottom w:val="none" w:sz="0" w:space="0" w:color="auto"/>
        <w:right w:val="none" w:sz="0" w:space="0" w:color="auto"/>
      </w:divBdr>
    </w:div>
    <w:div w:id="446000098">
      <w:bodyDiv w:val="1"/>
      <w:marLeft w:val="0"/>
      <w:marRight w:val="0"/>
      <w:marTop w:val="0"/>
      <w:marBottom w:val="0"/>
      <w:divBdr>
        <w:top w:val="none" w:sz="0" w:space="0" w:color="auto"/>
        <w:left w:val="none" w:sz="0" w:space="0" w:color="auto"/>
        <w:bottom w:val="none" w:sz="0" w:space="0" w:color="auto"/>
        <w:right w:val="none" w:sz="0" w:space="0" w:color="auto"/>
      </w:divBdr>
    </w:div>
    <w:div w:id="450129010">
      <w:bodyDiv w:val="1"/>
      <w:marLeft w:val="0"/>
      <w:marRight w:val="0"/>
      <w:marTop w:val="0"/>
      <w:marBottom w:val="0"/>
      <w:divBdr>
        <w:top w:val="none" w:sz="0" w:space="0" w:color="auto"/>
        <w:left w:val="none" w:sz="0" w:space="0" w:color="auto"/>
        <w:bottom w:val="none" w:sz="0" w:space="0" w:color="auto"/>
        <w:right w:val="none" w:sz="0" w:space="0" w:color="auto"/>
      </w:divBdr>
    </w:div>
    <w:div w:id="451706336">
      <w:bodyDiv w:val="1"/>
      <w:marLeft w:val="0"/>
      <w:marRight w:val="0"/>
      <w:marTop w:val="0"/>
      <w:marBottom w:val="0"/>
      <w:divBdr>
        <w:top w:val="none" w:sz="0" w:space="0" w:color="auto"/>
        <w:left w:val="none" w:sz="0" w:space="0" w:color="auto"/>
        <w:bottom w:val="none" w:sz="0" w:space="0" w:color="auto"/>
        <w:right w:val="none" w:sz="0" w:space="0" w:color="auto"/>
      </w:divBdr>
    </w:div>
    <w:div w:id="452864454">
      <w:bodyDiv w:val="1"/>
      <w:marLeft w:val="0"/>
      <w:marRight w:val="0"/>
      <w:marTop w:val="0"/>
      <w:marBottom w:val="0"/>
      <w:divBdr>
        <w:top w:val="none" w:sz="0" w:space="0" w:color="auto"/>
        <w:left w:val="none" w:sz="0" w:space="0" w:color="auto"/>
        <w:bottom w:val="none" w:sz="0" w:space="0" w:color="auto"/>
        <w:right w:val="none" w:sz="0" w:space="0" w:color="auto"/>
      </w:divBdr>
    </w:div>
    <w:div w:id="457377558">
      <w:bodyDiv w:val="1"/>
      <w:marLeft w:val="0"/>
      <w:marRight w:val="0"/>
      <w:marTop w:val="0"/>
      <w:marBottom w:val="0"/>
      <w:divBdr>
        <w:top w:val="none" w:sz="0" w:space="0" w:color="auto"/>
        <w:left w:val="none" w:sz="0" w:space="0" w:color="auto"/>
        <w:bottom w:val="none" w:sz="0" w:space="0" w:color="auto"/>
        <w:right w:val="none" w:sz="0" w:space="0" w:color="auto"/>
      </w:divBdr>
    </w:div>
    <w:div w:id="458378475">
      <w:bodyDiv w:val="1"/>
      <w:marLeft w:val="0"/>
      <w:marRight w:val="0"/>
      <w:marTop w:val="0"/>
      <w:marBottom w:val="0"/>
      <w:divBdr>
        <w:top w:val="none" w:sz="0" w:space="0" w:color="auto"/>
        <w:left w:val="none" w:sz="0" w:space="0" w:color="auto"/>
        <w:bottom w:val="none" w:sz="0" w:space="0" w:color="auto"/>
        <w:right w:val="none" w:sz="0" w:space="0" w:color="auto"/>
      </w:divBdr>
    </w:div>
    <w:div w:id="458576537">
      <w:bodyDiv w:val="1"/>
      <w:marLeft w:val="0"/>
      <w:marRight w:val="0"/>
      <w:marTop w:val="0"/>
      <w:marBottom w:val="0"/>
      <w:divBdr>
        <w:top w:val="none" w:sz="0" w:space="0" w:color="auto"/>
        <w:left w:val="none" w:sz="0" w:space="0" w:color="auto"/>
        <w:bottom w:val="none" w:sz="0" w:space="0" w:color="auto"/>
        <w:right w:val="none" w:sz="0" w:space="0" w:color="auto"/>
      </w:divBdr>
    </w:div>
    <w:div w:id="461582973">
      <w:bodyDiv w:val="1"/>
      <w:marLeft w:val="0"/>
      <w:marRight w:val="0"/>
      <w:marTop w:val="0"/>
      <w:marBottom w:val="0"/>
      <w:divBdr>
        <w:top w:val="none" w:sz="0" w:space="0" w:color="auto"/>
        <w:left w:val="none" w:sz="0" w:space="0" w:color="auto"/>
        <w:bottom w:val="none" w:sz="0" w:space="0" w:color="auto"/>
        <w:right w:val="none" w:sz="0" w:space="0" w:color="auto"/>
      </w:divBdr>
    </w:div>
    <w:div w:id="467625232">
      <w:bodyDiv w:val="1"/>
      <w:marLeft w:val="0"/>
      <w:marRight w:val="0"/>
      <w:marTop w:val="0"/>
      <w:marBottom w:val="0"/>
      <w:divBdr>
        <w:top w:val="none" w:sz="0" w:space="0" w:color="auto"/>
        <w:left w:val="none" w:sz="0" w:space="0" w:color="auto"/>
        <w:bottom w:val="none" w:sz="0" w:space="0" w:color="auto"/>
        <w:right w:val="none" w:sz="0" w:space="0" w:color="auto"/>
      </w:divBdr>
      <w:divsChild>
        <w:div w:id="2114010480">
          <w:marLeft w:val="0"/>
          <w:marRight w:val="0"/>
          <w:marTop w:val="0"/>
          <w:marBottom w:val="0"/>
          <w:divBdr>
            <w:top w:val="none" w:sz="0" w:space="0" w:color="auto"/>
            <w:left w:val="none" w:sz="0" w:space="0" w:color="auto"/>
            <w:bottom w:val="none" w:sz="0" w:space="0" w:color="auto"/>
            <w:right w:val="none" w:sz="0" w:space="0" w:color="auto"/>
          </w:divBdr>
        </w:div>
      </w:divsChild>
    </w:div>
    <w:div w:id="471412497">
      <w:bodyDiv w:val="1"/>
      <w:marLeft w:val="0"/>
      <w:marRight w:val="0"/>
      <w:marTop w:val="0"/>
      <w:marBottom w:val="0"/>
      <w:divBdr>
        <w:top w:val="none" w:sz="0" w:space="0" w:color="auto"/>
        <w:left w:val="none" w:sz="0" w:space="0" w:color="auto"/>
        <w:bottom w:val="none" w:sz="0" w:space="0" w:color="auto"/>
        <w:right w:val="none" w:sz="0" w:space="0" w:color="auto"/>
      </w:divBdr>
    </w:div>
    <w:div w:id="472719549">
      <w:bodyDiv w:val="1"/>
      <w:marLeft w:val="0"/>
      <w:marRight w:val="0"/>
      <w:marTop w:val="0"/>
      <w:marBottom w:val="0"/>
      <w:divBdr>
        <w:top w:val="none" w:sz="0" w:space="0" w:color="auto"/>
        <w:left w:val="none" w:sz="0" w:space="0" w:color="auto"/>
        <w:bottom w:val="none" w:sz="0" w:space="0" w:color="auto"/>
        <w:right w:val="none" w:sz="0" w:space="0" w:color="auto"/>
      </w:divBdr>
    </w:div>
    <w:div w:id="475336921">
      <w:bodyDiv w:val="1"/>
      <w:marLeft w:val="0"/>
      <w:marRight w:val="0"/>
      <w:marTop w:val="0"/>
      <w:marBottom w:val="0"/>
      <w:divBdr>
        <w:top w:val="none" w:sz="0" w:space="0" w:color="auto"/>
        <w:left w:val="none" w:sz="0" w:space="0" w:color="auto"/>
        <w:bottom w:val="none" w:sz="0" w:space="0" w:color="auto"/>
        <w:right w:val="none" w:sz="0" w:space="0" w:color="auto"/>
      </w:divBdr>
    </w:div>
    <w:div w:id="477846913">
      <w:bodyDiv w:val="1"/>
      <w:marLeft w:val="0"/>
      <w:marRight w:val="0"/>
      <w:marTop w:val="0"/>
      <w:marBottom w:val="0"/>
      <w:divBdr>
        <w:top w:val="none" w:sz="0" w:space="0" w:color="auto"/>
        <w:left w:val="none" w:sz="0" w:space="0" w:color="auto"/>
        <w:bottom w:val="none" w:sz="0" w:space="0" w:color="auto"/>
        <w:right w:val="none" w:sz="0" w:space="0" w:color="auto"/>
      </w:divBdr>
    </w:div>
    <w:div w:id="478039842">
      <w:bodyDiv w:val="1"/>
      <w:marLeft w:val="0"/>
      <w:marRight w:val="0"/>
      <w:marTop w:val="0"/>
      <w:marBottom w:val="0"/>
      <w:divBdr>
        <w:top w:val="none" w:sz="0" w:space="0" w:color="auto"/>
        <w:left w:val="none" w:sz="0" w:space="0" w:color="auto"/>
        <w:bottom w:val="none" w:sz="0" w:space="0" w:color="auto"/>
        <w:right w:val="none" w:sz="0" w:space="0" w:color="auto"/>
      </w:divBdr>
    </w:div>
    <w:div w:id="484199877">
      <w:bodyDiv w:val="1"/>
      <w:marLeft w:val="0"/>
      <w:marRight w:val="0"/>
      <w:marTop w:val="0"/>
      <w:marBottom w:val="0"/>
      <w:divBdr>
        <w:top w:val="none" w:sz="0" w:space="0" w:color="auto"/>
        <w:left w:val="none" w:sz="0" w:space="0" w:color="auto"/>
        <w:bottom w:val="none" w:sz="0" w:space="0" w:color="auto"/>
        <w:right w:val="none" w:sz="0" w:space="0" w:color="auto"/>
      </w:divBdr>
    </w:div>
    <w:div w:id="487406415">
      <w:bodyDiv w:val="1"/>
      <w:marLeft w:val="0"/>
      <w:marRight w:val="0"/>
      <w:marTop w:val="0"/>
      <w:marBottom w:val="0"/>
      <w:divBdr>
        <w:top w:val="none" w:sz="0" w:space="0" w:color="auto"/>
        <w:left w:val="none" w:sz="0" w:space="0" w:color="auto"/>
        <w:bottom w:val="none" w:sz="0" w:space="0" w:color="auto"/>
        <w:right w:val="none" w:sz="0" w:space="0" w:color="auto"/>
      </w:divBdr>
    </w:div>
    <w:div w:id="489832310">
      <w:bodyDiv w:val="1"/>
      <w:marLeft w:val="0"/>
      <w:marRight w:val="0"/>
      <w:marTop w:val="0"/>
      <w:marBottom w:val="0"/>
      <w:divBdr>
        <w:top w:val="none" w:sz="0" w:space="0" w:color="auto"/>
        <w:left w:val="none" w:sz="0" w:space="0" w:color="auto"/>
        <w:bottom w:val="none" w:sz="0" w:space="0" w:color="auto"/>
        <w:right w:val="none" w:sz="0" w:space="0" w:color="auto"/>
      </w:divBdr>
    </w:div>
    <w:div w:id="491877150">
      <w:bodyDiv w:val="1"/>
      <w:marLeft w:val="0"/>
      <w:marRight w:val="0"/>
      <w:marTop w:val="0"/>
      <w:marBottom w:val="0"/>
      <w:divBdr>
        <w:top w:val="none" w:sz="0" w:space="0" w:color="auto"/>
        <w:left w:val="none" w:sz="0" w:space="0" w:color="auto"/>
        <w:bottom w:val="none" w:sz="0" w:space="0" w:color="auto"/>
        <w:right w:val="none" w:sz="0" w:space="0" w:color="auto"/>
      </w:divBdr>
    </w:div>
    <w:div w:id="492724474">
      <w:bodyDiv w:val="1"/>
      <w:marLeft w:val="0"/>
      <w:marRight w:val="0"/>
      <w:marTop w:val="0"/>
      <w:marBottom w:val="0"/>
      <w:divBdr>
        <w:top w:val="none" w:sz="0" w:space="0" w:color="auto"/>
        <w:left w:val="none" w:sz="0" w:space="0" w:color="auto"/>
        <w:bottom w:val="none" w:sz="0" w:space="0" w:color="auto"/>
        <w:right w:val="none" w:sz="0" w:space="0" w:color="auto"/>
      </w:divBdr>
    </w:div>
    <w:div w:id="493762798">
      <w:bodyDiv w:val="1"/>
      <w:marLeft w:val="0"/>
      <w:marRight w:val="0"/>
      <w:marTop w:val="0"/>
      <w:marBottom w:val="0"/>
      <w:divBdr>
        <w:top w:val="none" w:sz="0" w:space="0" w:color="auto"/>
        <w:left w:val="none" w:sz="0" w:space="0" w:color="auto"/>
        <w:bottom w:val="none" w:sz="0" w:space="0" w:color="auto"/>
        <w:right w:val="none" w:sz="0" w:space="0" w:color="auto"/>
      </w:divBdr>
      <w:divsChild>
        <w:div w:id="157311528">
          <w:marLeft w:val="0"/>
          <w:marRight w:val="0"/>
          <w:marTop w:val="0"/>
          <w:marBottom w:val="0"/>
          <w:divBdr>
            <w:top w:val="none" w:sz="0" w:space="0" w:color="auto"/>
            <w:left w:val="none" w:sz="0" w:space="0" w:color="auto"/>
            <w:bottom w:val="none" w:sz="0" w:space="0" w:color="auto"/>
            <w:right w:val="none" w:sz="0" w:space="0" w:color="auto"/>
          </w:divBdr>
        </w:div>
        <w:div w:id="228344989">
          <w:marLeft w:val="0"/>
          <w:marRight w:val="0"/>
          <w:marTop w:val="0"/>
          <w:marBottom w:val="0"/>
          <w:divBdr>
            <w:top w:val="none" w:sz="0" w:space="0" w:color="auto"/>
            <w:left w:val="none" w:sz="0" w:space="0" w:color="auto"/>
            <w:bottom w:val="none" w:sz="0" w:space="0" w:color="auto"/>
            <w:right w:val="none" w:sz="0" w:space="0" w:color="auto"/>
          </w:divBdr>
        </w:div>
        <w:div w:id="283080766">
          <w:marLeft w:val="0"/>
          <w:marRight w:val="0"/>
          <w:marTop w:val="0"/>
          <w:marBottom w:val="0"/>
          <w:divBdr>
            <w:top w:val="none" w:sz="0" w:space="0" w:color="auto"/>
            <w:left w:val="none" w:sz="0" w:space="0" w:color="auto"/>
            <w:bottom w:val="none" w:sz="0" w:space="0" w:color="auto"/>
            <w:right w:val="none" w:sz="0" w:space="0" w:color="auto"/>
          </w:divBdr>
        </w:div>
        <w:div w:id="391318626">
          <w:marLeft w:val="0"/>
          <w:marRight w:val="0"/>
          <w:marTop w:val="0"/>
          <w:marBottom w:val="0"/>
          <w:divBdr>
            <w:top w:val="none" w:sz="0" w:space="0" w:color="auto"/>
            <w:left w:val="none" w:sz="0" w:space="0" w:color="auto"/>
            <w:bottom w:val="none" w:sz="0" w:space="0" w:color="auto"/>
            <w:right w:val="none" w:sz="0" w:space="0" w:color="auto"/>
          </w:divBdr>
        </w:div>
        <w:div w:id="449399322">
          <w:marLeft w:val="0"/>
          <w:marRight w:val="0"/>
          <w:marTop w:val="0"/>
          <w:marBottom w:val="0"/>
          <w:divBdr>
            <w:top w:val="none" w:sz="0" w:space="0" w:color="auto"/>
            <w:left w:val="none" w:sz="0" w:space="0" w:color="auto"/>
            <w:bottom w:val="none" w:sz="0" w:space="0" w:color="auto"/>
            <w:right w:val="none" w:sz="0" w:space="0" w:color="auto"/>
          </w:divBdr>
        </w:div>
        <w:div w:id="645476002">
          <w:marLeft w:val="0"/>
          <w:marRight w:val="0"/>
          <w:marTop w:val="0"/>
          <w:marBottom w:val="0"/>
          <w:divBdr>
            <w:top w:val="none" w:sz="0" w:space="0" w:color="auto"/>
            <w:left w:val="none" w:sz="0" w:space="0" w:color="auto"/>
            <w:bottom w:val="none" w:sz="0" w:space="0" w:color="auto"/>
            <w:right w:val="none" w:sz="0" w:space="0" w:color="auto"/>
          </w:divBdr>
        </w:div>
        <w:div w:id="778061005">
          <w:marLeft w:val="0"/>
          <w:marRight w:val="0"/>
          <w:marTop w:val="0"/>
          <w:marBottom w:val="0"/>
          <w:divBdr>
            <w:top w:val="none" w:sz="0" w:space="0" w:color="auto"/>
            <w:left w:val="none" w:sz="0" w:space="0" w:color="auto"/>
            <w:bottom w:val="none" w:sz="0" w:space="0" w:color="auto"/>
            <w:right w:val="none" w:sz="0" w:space="0" w:color="auto"/>
          </w:divBdr>
        </w:div>
        <w:div w:id="823159641">
          <w:marLeft w:val="0"/>
          <w:marRight w:val="0"/>
          <w:marTop w:val="0"/>
          <w:marBottom w:val="0"/>
          <w:divBdr>
            <w:top w:val="none" w:sz="0" w:space="0" w:color="auto"/>
            <w:left w:val="none" w:sz="0" w:space="0" w:color="auto"/>
            <w:bottom w:val="none" w:sz="0" w:space="0" w:color="auto"/>
            <w:right w:val="none" w:sz="0" w:space="0" w:color="auto"/>
          </w:divBdr>
        </w:div>
        <w:div w:id="1236625037">
          <w:marLeft w:val="0"/>
          <w:marRight w:val="0"/>
          <w:marTop w:val="0"/>
          <w:marBottom w:val="0"/>
          <w:divBdr>
            <w:top w:val="none" w:sz="0" w:space="0" w:color="auto"/>
            <w:left w:val="none" w:sz="0" w:space="0" w:color="auto"/>
            <w:bottom w:val="none" w:sz="0" w:space="0" w:color="auto"/>
            <w:right w:val="none" w:sz="0" w:space="0" w:color="auto"/>
          </w:divBdr>
        </w:div>
        <w:div w:id="1382898333">
          <w:marLeft w:val="0"/>
          <w:marRight w:val="0"/>
          <w:marTop w:val="0"/>
          <w:marBottom w:val="0"/>
          <w:divBdr>
            <w:top w:val="none" w:sz="0" w:space="0" w:color="auto"/>
            <w:left w:val="none" w:sz="0" w:space="0" w:color="auto"/>
            <w:bottom w:val="none" w:sz="0" w:space="0" w:color="auto"/>
            <w:right w:val="none" w:sz="0" w:space="0" w:color="auto"/>
          </w:divBdr>
        </w:div>
        <w:div w:id="1383872336">
          <w:marLeft w:val="0"/>
          <w:marRight w:val="0"/>
          <w:marTop w:val="0"/>
          <w:marBottom w:val="0"/>
          <w:divBdr>
            <w:top w:val="none" w:sz="0" w:space="0" w:color="auto"/>
            <w:left w:val="none" w:sz="0" w:space="0" w:color="auto"/>
            <w:bottom w:val="none" w:sz="0" w:space="0" w:color="auto"/>
            <w:right w:val="none" w:sz="0" w:space="0" w:color="auto"/>
          </w:divBdr>
        </w:div>
        <w:div w:id="1406099961">
          <w:marLeft w:val="0"/>
          <w:marRight w:val="0"/>
          <w:marTop w:val="0"/>
          <w:marBottom w:val="0"/>
          <w:divBdr>
            <w:top w:val="none" w:sz="0" w:space="0" w:color="auto"/>
            <w:left w:val="none" w:sz="0" w:space="0" w:color="auto"/>
            <w:bottom w:val="none" w:sz="0" w:space="0" w:color="auto"/>
            <w:right w:val="none" w:sz="0" w:space="0" w:color="auto"/>
          </w:divBdr>
        </w:div>
        <w:div w:id="1635520180">
          <w:marLeft w:val="0"/>
          <w:marRight w:val="0"/>
          <w:marTop w:val="0"/>
          <w:marBottom w:val="0"/>
          <w:divBdr>
            <w:top w:val="none" w:sz="0" w:space="0" w:color="auto"/>
            <w:left w:val="none" w:sz="0" w:space="0" w:color="auto"/>
            <w:bottom w:val="none" w:sz="0" w:space="0" w:color="auto"/>
            <w:right w:val="none" w:sz="0" w:space="0" w:color="auto"/>
          </w:divBdr>
        </w:div>
      </w:divsChild>
    </w:div>
    <w:div w:id="495465533">
      <w:bodyDiv w:val="1"/>
      <w:marLeft w:val="0"/>
      <w:marRight w:val="0"/>
      <w:marTop w:val="0"/>
      <w:marBottom w:val="0"/>
      <w:divBdr>
        <w:top w:val="none" w:sz="0" w:space="0" w:color="auto"/>
        <w:left w:val="none" w:sz="0" w:space="0" w:color="auto"/>
        <w:bottom w:val="none" w:sz="0" w:space="0" w:color="auto"/>
        <w:right w:val="none" w:sz="0" w:space="0" w:color="auto"/>
      </w:divBdr>
    </w:div>
    <w:div w:id="497966213">
      <w:bodyDiv w:val="1"/>
      <w:marLeft w:val="0"/>
      <w:marRight w:val="0"/>
      <w:marTop w:val="0"/>
      <w:marBottom w:val="0"/>
      <w:divBdr>
        <w:top w:val="none" w:sz="0" w:space="0" w:color="auto"/>
        <w:left w:val="none" w:sz="0" w:space="0" w:color="auto"/>
        <w:bottom w:val="none" w:sz="0" w:space="0" w:color="auto"/>
        <w:right w:val="none" w:sz="0" w:space="0" w:color="auto"/>
      </w:divBdr>
    </w:div>
    <w:div w:id="498544067">
      <w:bodyDiv w:val="1"/>
      <w:marLeft w:val="0"/>
      <w:marRight w:val="0"/>
      <w:marTop w:val="0"/>
      <w:marBottom w:val="0"/>
      <w:divBdr>
        <w:top w:val="none" w:sz="0" w:space="0" w:color="auto"/>
        <w:left w:val="none" w:sz="0" w:space="0" w:color="auto"/>
        <w:bottom w:val="none" w:sz="0" w:space="0" w:color="auto"/>
        <w:right w:val="none" w:sz="0" w:space="0" w:color="auto"/>
      </w:divBdr>
    </w:div>
    <w:div w:id="498618934">
      <w:bodyDiv w:val="1"/>
      <w:marLeft w:val="0"/>
      <w:marRight w:val="0"/>
      <w:marTop w:val="0"/>
      <w:marBottom w:val="0"/>
      <w:divBdr>
        <w:top w:val="none" w:sz="0" w:space="0" w:color="auto"/>
        <w:left w:val="none" w:sz="0" w:space="0" w:color="auto"/>
        <w:bottom w:val="none" w:sz="0" w:space="0" w:color="auto"/>
        <w:right w:val="none" w:sz="0" w:space="0" w:color="auto"/>
      </w:divBdr>
    </w:div>
    <w:div w:id="503738575">
      <w:bodyDiv w:val="1"/>
      <w:marLeft w:val="0"/>
      <w:marRight w:val="0"/>
      <w:marTop w:val="0"/>
      <w:marBottom w:val="0"/>
      <w:divBdr>
        <w:top w:val="none" w:sz="0" w:space="0" w:color="auto"/>
        <w:left w:val="none" w:sz="0" w:space="0" w:color="auto"/>
        <w:bottom w:val="none" w:sz="0" w:space="0" w:color="auto"/>
        <w:right w:val="none" w:sz="0" w:space="0" w:color="auto"/>
      </w:divBdr>
    </w:div>
    <w:div w:id="504059359">
      <w:bodyDiv w:val="1"/>
      <w:marLeft w:val="0"/>
      <w:marRight w:val="0"/>
      <w:marTop w:val="0"/>
      <w:marBottom w:val="0"/>
      <w:divBdr>
        <w:top w:val="none" w:sz="0" w:space="0" w:color="auto"/>
        <w:left w:val="none" w:sz="0" w:space="0" w:color="auto"/>
        <w:bottom w:val="none" w:sz="0" w:space="0" w:color="auto"/>
        <w:right w:val="none" w:sz="0" w:space="0" w:color="auto"/>
      </w:divBdr>
    </w:div>
    <w:div w:id="504367444">
      <w:bodyDiv w:val="1"/>
      <w:marLeft w:val="0"/>
      <w:marRight w:val="0"/>
      <w:marTop w:val="0"/>
      <w:marBottom w:val="0"/>
      <w:divBdr>
        <w:top w:val="none" w:sz="0" w:space="0" w:color="auto"/>
        <w:left w:val="none" w:sz="0" w:space="0" w:color="auto"/>
        <w:bottom w:val="none" w:sz="0" w:space="0" w:color="auto"/>
        <w:right w:val="none" w:sz="0" w:space="0" w:color="auto"/>
      </w:divBdr>
    </w:div>
    <w:div w:id="509488653">
      <w:bodyDiv w:val="1"/>
      <w:marLeft w:val="0"/>
      <w:marRight w:val="0"/>
      <w:marTop w:val="0"/>
      <w:marBottom w:val="0"/>
      <w:divBdr>
        <w:top w:val="none" w:sz="0" w:space="0" w:color="auto"/>
        <w:left w:val="none" w:sz="0" w:space="0" w:color="auto"/>
        <w:bottom w:val="none" w:sz="0" w:space="0" w:color="auto"/>
        <w:right w:val="none" w:sz="0" w:space="0" w:color="auto"/>
      </w:divBdr>
    </w:div>
    <w:div w:id="514809623">
      <w:bodyDiv w:val="1"/>
      <w:marLeft w:val="0"/>
      <w:marRight w:val="0"/>
      <w:marTop w:val="0"/>
      <w:marBottom w:val="0"/>
      <w:divBdr>
        <w:top w:val="none" w:sz="0" w:space="0" w:color="auto"/>
        <w:left w:val="none" w:sz="0" w:space="0" w:color="auto"/>
        <w:bottom w:val="none" w:sz="0" w:space="0" w:color="auto"/>
        <w:right w:val="none" w:sz="0" w:space="0" w:color="auto"/>
      </w:divBdr>
    </w:div>
    <w:div w:id="516044650">
      <w:bodyDiv w:val="1"/>
      <w:marLeft w:val="0"/>
      <w:marRight w:val="0"/>
      <w:marTop w:val="0"/>
      <w:marBottom w:val="0"/>
      <w:divBdr>
        <w:top w:val="none" w:sz="0" w:space="0" w:color="auto"/>
        <w:left w:val="none" w:sz="0" w:space="0" w:color="auto"/>
        <w:bottom w:val="none" w:sz="0" w:space="0" w:color="auto"/>
        <w:right w:val="none" w:sz="0" w:space="0" w:color="auto"/>
      </w:divBdr>
    </w:div>
    <w:div w:id="516887666">
      <w:bodyDiv w:val="1"/>
      <w:marLeft w:val="0"/>
      <w:marRight w:val="0"/>
      <w:marTop w:val="0"/>
      <w:marBottom w:val="0"/>
      <w:divBdr>
        <w:top w:val="none" w:sz="0" w:space="0" w:color="auto"/>
        <w:left w:val="none" w:sz="0" w:space="0" w:color="auto"/>
        <w:bottom w:val="none" w:sz="0" w:space="0" w:color="auto"/>
        <w:right w:val="none" w:sz="0" w:space="0" w:color="auto"/>
      </w:divBdr>
    </w:div>
    <w:div w:id="521936552">
      <w:bodyDiv w:val="1"/>
      <w:marLeft w:val="0"/>
      <w:marRight w:val="0"/>
      <w:marTop w:val="0"/>
      <w:marBottom w:val="0"/>
      <w:divBdr>
        <w:top w:val="none" w:sz="0" w:space="0" w:color="auto"/>
        <w:left w:val="none" w:sz="0" w:space="0" w:color="auto"/>
        <w:bottom w:val="none" w:sz="0" w:space="0" w:color="auto"/>
        <w:right w:val="none" w:sz="0" w:space="0" w:color="auto"/>
      </w:divBdr>
    </w:div>
    <w:div w:id="524442856">
      <w:bodyDiv w:val="1"/>
      <w:marLeft w:val="0"/>
      <w:marRight w:val="0"/>
      <w:marTop w:val="0"/>
      <w:marBottom w:val="0"/>
      <w:divBdr>
        <w:top w:val="none" w:sz="0" w:space="0" w:color="auto"/>
        <w:left w:val="none" w:sz="0" w:space="0" w:color="auto"/>
        <w:bottom w:val="none" w:sz="0" w:space="0" w:color="auto"/>
        <w:right w:val="none" w:sz="0" w:space="0" w:color="auto"/>
      </w:divBdr>
    </w:div>
    <w:div w:id="524830089">
      <w:bodyDiv w:val="1"/>
      <w:marLeft w:val="0"/>
      <w:marRight w:val="0"/>
      <w:marTop w:val="0"/>
      <w:marBottom w:val="0"/>
      <w:divBdr>
        <w:top w:val="none" w:sz="0" w:space="0" w:color="auto"/>
        <w:left w:val="none" w:sz="0" w:space="0" w:color="auto"/>
        <w:bottom w:val="none" w:sz="0" w:space="0" w:color="auto"/>
        <w:right w:val="none" w:sz="0" w:space="0" w:color="auto"/>
      </w:divBdr>
    </w:div>
    <w:div w:id="524901685">
      <w:bodyDiv w:val="1"/>
      <w:marLeft w:val="0"/>
      <w:marRight w:val="0"/>
      <w:marTop w:val="0"/>
      <w:marBottom w:val="0"/>
      <w:divBdr>
        <w:top w:val="none" w:sz="0" w:space="0" w:color="auto"/>
        <w:left w:val="none" w:sz="0" w:space="0" w:color="auto"/>
        <w:bottom w:val="none" w:sz="0" w:space="0" w:color="auto"/>
        <w:right w:val="none" w:sz="0" w:space="0" w:color="auto"/>
      </w:divBdr>
    </w:div>
    <w:div w:id="524902899">
      <w:bodyDiv w:val="1"/>
      <w:marLeft w:val="0"/>
      <w:marRight w:val="0"/>
      <w:marTop w:val="0"/>
      <w:marBottom w:val="0"/>
      <w:divBdr>
        <w:top w:val="none" w:sz="0" w:space="0" w:color="auto"/>
        <w:left w:val="none" w:sz="0" w:space="0" w:color="auto"/>
        <w:bottom w:val="none" w:sz="0" w:space="0" w:color="auto"/>
        <w:right w:val="none" w:sz="0" w:space="0" w:color="auto"/>
      </w:divBdr>
    </w:div>
    <w:div w:id="527958898">
      <w:bodyDiv w:val="1"/>
      <w:marLeft w:val="0"/>
      <w:marRight w:val="0"/>
      <w:marTop w:val="0"/>
      <w:marBottom w:val="0"/>
      <w:divBdr>
        <w:top w:val="none" w:sz="0" w:space="0" w:color="auto"/>
        <w:left w:val="none" w:sz="0" w:space="0" w:color="auto"/>
        <w:bottom w:val="none" w:sz="0" w:space="0" w:color="auto"/>
        <w:right w:val="none" w:sz="0" w:space="0" w:color="auto"/>
      </w:divBdr>
    </w:div>
    <w:div w:id="529143298">
      <w:bodyDiv w:val="1"/>
      <w:marLeft w:val="0"/>
      <w:marRight w:val="0"/>
      <w:marTop w:val="0"/>
      <w:marBottom w:val="0"/>
      <w:divBdr>
        <w:top w:val="none" w:sz="0" w:space="0" w:color="auto"/>
        <w:left w:val="none" w:sz="0" w:space="0" w:color="auto"/>
        <w:bottom w:val="none" w:sz="0" w:space="0" w:color="auto"/>
        <w:right w:val="none" w:sz="0" w:space="0" w:color="auto"/>
      </w:divBdr>
    </w:div>
    <w:div w:id="529682313">
      <w:bodyDiv w:val="1"/>
      <w:marLeft w:val="0"/>
      <w:marRight w:val="0"/>
      <w:marTop w:val="0"/>
      <w:marBottom w:val="0"/>
      <w:divBdr>
        <w:top w:val="none" w:sz="0" w:space="0" w:color="auto"/>
        <w:left w:val="none" w:sz="0" w:space="0" w:color="auto"/>
        <w:bottom w:val="none" w:sz="0" w:space="0" w:color="auto"/>
        <w:right w:val="none" w:sz="0" w:space="0" w:color="auto"/>
      </w:divBdr>
    </w:div>
    <w:div w:id="534192366">
      <w:bodyDiv w:val="1"/>
      <w:marLeft w:val="0"/>
      <w:marRight w:val="0"/>
      <w:marTop w:val="0"/>
      <w:marBottom w:val="0"/>
      <w:divBdr>
        <w:top w:val="none" w:sz="0" w:space="0" w:color="auto"/>
        <w:left w:val="none" w:sz="0" w:space="0" w:color="auto"/>
        <w:bottom w:val="none" w:sz="0" w:space="0" w:color="auto"/>
        <w:right w:val="none" w:sz="0" w:space="0" w:color="auto"/>
      </w:divBdr>
    </w:div>
    <w:div w:id="537208386">
      <w:bodyDiv w:val="1"/>
      <w:marLeft w:val="0"/>
      <w:marRight w:val="0"/>
      <w:marTop w:val="0"/>
      <w:marBottom w:val="0"/>
      <w:divBdr>
        <w:top w:val="none" w:sz="0" w:space="0" w:color="auto"/>
        <w:left w:val="none" w:sz="0" w:space="0" w:color="auto"/>
        <w:bottom w:val="none" w:sz="0" w:space="0" w:color="auto"/>
        <w:right w:val="none" w:sz="0" w:space="0" w:color="auto"/>
      </w:divBdr>
    </w:div>
    <w:div w:id="537350457">
      <w:bodyDiv w:val="1"/>
      <w:marLeft w:val="0"/>
      <w:marRight w:val="0"/>
      <w:marTop w:val="0"/>
      <w:marBottom w:val="0"/>
      <w:divBdr>
        <w:top w:val="none" w:sz="0" w:space="0" w:color="auto"/>
        <w:left w:val="none" w:sz="0" w:space="0" w:color="auto"/>
        <w:bottom w:val="none" w:sz="0" w:space="0" w:color="auto"/>
        <w:right w:val="none" w:sz="0" w:space="0" w:color="auto"/>
      </w:divBdr>
    </w:div>
    <w:div w:id="541022832">
      <w:bodyDiv w:val="1"/>
      <w:marLeft w:val="0"/>
      <w:marRight w:val="0"/>
      <w:marTop w:val="0"/>
      <w:marBottom w:val="0"/>
      <w:divBdr>
        <w:top w:val="none" w:sz="0" w:space="0" w:color="auto"/>
        <w:left w:val="none" w:sz="0" w:space="0" w:color="auto"/>
        <w:bottom w:val="none" w:sz="0" w:space="0" w:color="auto"/>
        <w:right w:val="none" w:sz="0" w:space="0" w:color="auto"/>
      </w:divBdr>
    </w:div>
    <w:div w:id="544022338">
      <w:bodyDiv w:val="1"/>
      <w:marLeft w:val="0"/>
      <w:marRight w:val="0"/>
      <w:marTop w:val="0"/>
      <w:marBottom w:val="0"/>
      <w:divBdr>
        <w:top w:val="none" w:sz="0" w:space="0" w:color="auto"/>
        <w:left w:val="none" w:sz="0" w:space="0" w:color="auto"/>
        <w:bottom w:val="none" w:sz="0" w:space="0" w:color="auto"/>
        <w:right w:val="none" w:sz="0" w:space="0" w:color="auto"/>
      </w:divBdr>
    </w:div>
    <w:div w:id="544685918">
      <w:bodyDiv w:val="1"/>
      <w:marLeft w:val="0"/>
      <w:marRight w:val="0"/>
      <w:marTop w:val="0"/>
      <w:marBottom w:val="0"/>
      <w:divBdr>
        <w:top w:val="none" w:sz="0" w:space="0" w:color="auto"/>
        <w:left w:val="none" w:sz="0" w:space="0" w:color="auto"/>
        <w:bottom w:val="none" w:sz="0" w:space="0" w:color="auto"/>
        <w:right w:val="none" w:sz="0" w:space="0" w:color="auto"/>
      </w:divBdr>
    </w:div>
    <w:div w:id="546842089">
      <w:bodyDiv w:val="1"/>
      <w:marLeft w:val="0"/>
      <w:marRight w:val="0"/>
      <w:marTop w:val="0"/>
      <w:marBottom w:val="0"/>
      <w:divBdr>
        <w:top w:val="none" w:sz="0" w:space="0" w:color="auto"/>
        <w:left w:val="none" w:sz="0" w:space="0" w:color="auto"/>
        <w:bottom w:val="none" w:sz="0" w:space="0" w:color="auto"/>
        <w:right w:val="none" w:sz="0" w:space="0" w:color="auto"/>
      </w:divBdr>
      <w:divsChild>
        <w:div w:id="385182808">
          <w:marLeft w:val="0"/>
          <w:marRight w:val="0"/>
          <w:marTop w:val="0"/>
          <w:marBottom w:val="0"/>
          <w:divBdr>
            <w:top w:val="none" w:sz="0" w:space="0" w:color="auto"/>
            <w:left w:val="none" w:sz="0" w:space="0" w:color="auto"/>
            <w:bottom w:val="none" w:sz="0" w:space="0" w:color="auto"/>
            <w:right w:val="none" w:sz="0" w:space="0" w:color="auto"/>
          </w:divBdr>
          <w:divsChild>
            <w:div w:id="440808192">
              <w:marLeft w:val="0"/>
              <w:marRight w:val="0"/>
              <w:marTop w:val="0"/>
              <w:marBottom w:val="0"/>
              <w:divBdr>
                <w:top w:val="none" w:sz="0" w:space="0" w:color="auto"/>
                <w:left w:val="none" w:sz="0" w:space="0" w:color="auto"/>
                <w:bottom w:val="none" w:sz="0" w:space="0" w:color="auto"/>
                <w:right w:val="none" w:sz="0" w:space="0" w:color="auto"/>
              </w:divBdr>
              <w:divsChild>
                <w:div w:id="269095528">
                  <w:marLeft w:val="0"/>
                  <w:marRight w:val="0"/>
                  <w:marTop w:val="0"/>
                  <w:marBottom w:val="0"/>
                  <w:divBdr>
                    <w:top w:val="none" w:sz="0" w:space="0" w:color="auto"/>
                    <w:left w:val="none" w:sz="0" w:space="0" w:color="auto"/>
                    <w:bottom w:val="none" w:sz="0" w:space="0" w:color="auto"/>
                    <w:right w:val="none" w:sz="0" w:space="0" w:color="auto"/>
                  </w:divBdr>
                </w:div>
                <w:div w:id="270548660">
                  <w:marLeft w:val="0"/>
                  <w:marRight w:val="0"/>
                  <w:marTop w:val="0"/>
                  <w:marBottom w:val="0"/>
                  <w:divBdr>
                    <w:top w:val="none" w:sz="0" w:space="0" w:color="auto"/>
                    <w:left w:val="none" w:sz="0" w:space="0" w:color="auto"/>
                    <w:bottom w:val="none" w:sz="0" w:space="0" w:color="auto"/>
                    <w:right w:val="none" w:sz="0" w:space="0" w:color="auto"/>
                  </w:divBdr>
                  <w:divsChild>
                    <w:div w:id="384456507">
                      <w:marLeft w:val="0"/>
                      <w:marRight w:val="0"/>
                      <w:marTop w:val="0"/>
                      <w:marBottom w:val="0"/>
                      <w:divBdr>
                        <w:top w:val="none" w:sz="0" w:space="0" w:color="auto"/>
                        <w:left w:val="none" w:sz="0" w:space="0" w:color="auto"/>
                        <w:bottom w:val="none" w:sz="0" w:space="0" w:color="auto"/>
                        <w:right w:val="none" w:sz="0" w:space="0" w:color="auto"/>
                      </w:divBdr>
                    </w:div>
                    <w:div w:id="102891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63553">
          <w:marLeft w:val="0"/>
          <w:marRight w:val="83"/>
          <w:marTop w:val="0"/>
          <w:marBottom w:val="0"/>
          <w:divBdr>
            <w:top w:val="none" w:sz="0" w:space="0" w:color="auto"/>
            <w:left w:val="none" w:sz="0" w:space="0" w:color="auto"/>
            <w:bottom w:val="none" w:sz="0" w:space="0" w:color="auto"/>
            <w:right w:val="none" w:sz="0" w:space="0" w:color="auto"/>
          </w:divBdr>
        </w:div>
      </w:divsChild>
    </w:div>
    <w:div w:id="548734638">
      <w:bodyDiv w:val="1"/>
      <w:marLeft w:val="0"/>
      <w:marRight w:val="0"/>
      <w:marTop w:val="0"/>
      <w:marBottom w:val="0"/>
      <w:divBdr>
        <w:top w:val="none" w:sz="0" w:space="0" w:color="auto"/>
        <w:left w:val="none" w:sz="0" w:space="0" w:color="auto"/>
        <w:bottom w:val="none" w:sz="0" w:space="0" w:color="auto"/>
        <w:right w:val="none" w:sz="0" w:space="0" w:color="auto"/>
      </w:divBdr>
    </w:div>
    <w:div w:id="549923105">
      <w:bodyDiv w:val="1"/>
      <w:marLeft w:val="0"/>
      <w:marRight w:val="0"/>
      <w:marTop w:val="0"/>
      <w:marBottom w:val="0"/>
      <w:divBdr>
        <w:top w:val="none" w:sz="0" w:space="0" w:color="auto"/>
        <w:left w:val="none" w:sz="0" w:space="0" w:color="auto"/>
        <w:bottom w:val="none" w:sz="0" w:space="0" w:color="auto"/>
        <w:right w:val="none" w:sz="0" w:space="0" w:color="auto"/>
      </w:divBdr>
    </w:div>
    <w:div w:id="553125478">
      <w:bodyDiv w:val="1"/>
      <w:marLeft w:val="0"/>
      <w:marRight w:val="0"/>
      <w:marTop w:val="0"/>
      <w:marBottom w:val="0"/>
      <w:divBdr>
        <w:top w:val="none" w:sz="0" w:space="0" w:color="auto"/>
        <w:left w:val="none" w:sz="0" w:space="0" w:color="auto"/>
        <w:bottom w:val="none" w:sz="0" w:space="0" w:color="auto"/>
        <w:right w:val="none" w:sz="0" w:space="0" w:color="auto"/>
      </w:divBdr>
    </w:div>
    <w:div w:id="553933637">
      <w:bodyDiv w:val="1"/>
      <w:marLeft w:val="0"/>
      <w:marRight w:val="0"/>
      <w:marTop w:val="0"/>
      <w:marBottom w:val="0"/>
      <w:divBdr>
        <w:top w:val="none" w:sz="0" w:space="0" w:color="auto"/>
        <w:left w:val="none" w:sz="0" w:space="0" w:color="auto"/>
        <w:bottom w:val="none" w:sz="0" w:space="0" w:color="auto"/>
        <w:right w:val="none" w:sz="0" w:space="0" w:color="auto"/>
      </w:divBdr>
      <w:divsChild>
        <w:div w:id="617419825">
          <w:marLeft w:val="0"/>
          <w:marRight w:val="0"/>
          <w:marTop w:val="0"/>
          <w:marBottom w:val="0"/>
          <w:divBdr>
            <w:top w:val="none" w:sz="0" w:space="0" w:color="auto"/>
            <w:left w:val="none" w:sz="0" w:space="0" w:color="auto"/>
            <w:bottom w:val="none" w:sz="0" w:space="0" w:color="auto"/>
            <w:right w:val="none" w:sz="0" w:space="0" w:color="auto"/>
          </w:divBdr>
        </w:div>
      </w:divsChild>
    </w:div>
    <w:div w:id="554586611">
      <w:bodyDiv w:val="1"/>
      <w:marLeft w:val="0"/>
      <w:marRight w:val="0"/>
      <w:marTop w:val="0"/>
      <w:marBottom w:val="0"/>
      <w:divBdr>
        <w:top w:val="none" w:sz="0" w:space="0" w:color="auto"/>
        <w:left w:val="none" w:sz="0" w:space="0" w:color="auto"/>
        <w:bottom w:val="none" w:sz="0" w:space="0" w:color="auto"/>
        <w:right w:val="none" w:sz="0" w:space="0" w:color="auto"/>
      </w:divBdr>
    </w:div>
    <w:div w:id="555316833">
      <w:bodyDiv w:val="1"/>
      <w:marLeft w:val="0"/>
      <w:marRight w:val="0"/>
      <w:marTop w:val="0"/>
      <w:marBottom w:val="0"/>
      <w:divBdr>
        <w:top w:val="none" w:sz="0" w:space="0" w:color="auto"/>
        <w:left w:val="none" w:sz="0" w:space="0" w:color="auto"/>
        <w:bottom w:val="none" w:sz="0" w:space="0" w:color="auto"/>
        <w:right w:val="none" w:sz="0" w:space="0" w:color="auto"/>
      </w:divBdr>
    </w:div>
    <w:div w:id="555899269">
      <w:bodyDiv w:val="1"/>
      <w:marLeft w:val="0"/>
      <w:marRight w:val="0"/>
      <w:marTop w:val="0"/>
      <w:marBottom w:val="0"/>
      <w:divBdr>
        <w:top w:val="none" w:sz="0" w:space="0" w:color="auto"/>
        <w:left w:val="none" w:sz="0" w:space="0" w:color="auto"/>
        <w:bottom w:val="none" w:sz="0" w:space="0" w:color="auto"/>
        <w:right w:val="none" w:sz="0" w:space="0" w:color="auto"/>
      </w:divBdr>
    </w:div>
    <w:div w:id="556354752">
      <w:bodyDiv w:val="1"/>
      <w:marLeft w:val="0"/>
      <w:marRight w:val="0"/>
      <w:marTop w:val="0"/>
      <w:marBottom w:val="0"/>
      <w:divBdr>
        <w:top w:val="none" w:sz="0" w:space="0" w:color="auto"/>
        <w:left w:val="none" w:sz="0" w:space="0" w:color="auto"/>
        <w:bottom w:val="none" w:sz="0" w:space="0" w:color="auto"/>
        <w:right w:val="none" w:sz="0" w:space="0" w:color="auto"/>
      </w:divBdr>
    </w:div>
    <w:div w:id="558172836">
      <w:bodyDiv w:val="1"/>
      <w:marLeft w:val="0"/>
      <w:marRight w:val="0"/>
      <w:marTop w:val="0"/>
      <w:marBottom w:val="0"/>
      <w:divBdr>
        <w:top w:val="none" w:sz="0" w:space="0" w:color="auto"/>
        <w:left w:val="none" w:sz="0" w:space="0" w:color="auto"/>
        <w:bottom w:val="none" w:sz="0" w:space="0" w:color="auto"/>
        <w:right w:val="none" w:sz="0" w:space="0" w:color="auto"/>
      </w:divBdr>
    </w:div>
    <w:div w:id="560098143">
      <w:bodyDiv w:val="1"/>
      <w:marLeft w:val="0"/>
      <w:marRight w:val="0"/>
      <w:marTop w:val="0"/>
      <w:marBottom w:val="0"/>
      <w:divBdr>
        <w:top w:val="none" w:sz="0" w:space="0" w:color="auto"/>
        <w:left w:val="none" w:sz="0" w:space="0" w:color="auto"/>
        <w:bottom w:val="none" w:sz="0" w:space="0" w:color="auto"/>
        <w:right w:val="none" w:sz="0" w:space="0" w:color="auto"/>
      </w:divBdr>
    </w:div>
    <w:div w:id="561020734">
      <w:bodyDiv w:val="1"/>
      <w:marLeft w:val="0"/>
      <w:marRight w:val="0"/>
      <w:marTop w:val="0"/>
      <w:marBottom w:val="0"/>
      <w:divBdr>
        <w:top w:val="none" w:sz="0" w:space="0" w:color="auto"/>
        <w:left w:val="none" w:sz="0" w:space="0" w:color="auto"/>
        <w:bottom w:val="none" w:sz="0" w:space="0" w:color="auto"/>
        <w:right w:val="none" w:sz="0" w:space="0" w:color="auto"/>
      </w:divBdr>
    </w:div>
    <w:div w:id="564293561">
      <w:bodyDiv w:val="1"/>
      <w:marLeft w:val="0"/>
      <w:marRight w:val="0"/>
      <w:marTop w:val="0"/>
      <w:marBottom w:val="0"/>
      <w:divBdr>
        <w:top w:val="none" w:sz="0" w:space="0" w:color="auto"/>
        <w:left w:val="none" w:sz="0" w:space="0" w:color="auto"/>
        <w:bottom w:val="none" w:sz="0" w:space="0" w:color="auto"/>
        <w:right w:val="none" w:sz="0" w:space="0" w:color="auto"/>
      </w:divBdr>
    </w:div>
    <w:div w:id="565334885">
      <w:bodyDiv w:val="1"/>
      <w:marLeft w:val="0"/>
      <w:marRight w:val="0"/>
      <w:marTop w:val="0"/>
      <w:marBottom w:val="0"/>
      <w:divBdr>
        <w:top w:val="none" w:sz="0" w:space="0" w:color="auto"/>
        <w:left w:val="none" w:sz="0" w:space="0" w:color="auto"/>
        <w:bottom w:val="none" w:sz="0" w:space="0" w:color="auto"/>
        <w:right w:val="none" w:sz="0" w:space="0" w:color="auto"/>
      </w:divBdr>
    </w:div>
    <w:div w:id="565452585">
      <w:bodyDiv w:val="1"/>
      <w:marLeft w:val="0"/>
      <w:marRight w:val="0"/>
      <w:marTop w:val="0"/>
      <w:marBottom w:val="0"/>
      <w:divBdr>
        <w:top w:val="none" w:sz="0" w:space="0" w:color="auto"/>
        <w:left w:val="none" w:sz="0" w:space="0" w:color="auto"/>
        <w:bottom w:val="none" w:sz="0" w:space="0" w:color="auto"/>
        <w:right w:val="none" w:sz="0" w:space="0" w:color="auto"/>
      </w:divBdr>
    </w:div>
    <w:div w:id="566260426">
      <w:bodyDiv w:val="1"/>
      <w:marLeft w:val="0"/>
      <w:marRight w:val="0"/>
      <w:marTop w:val="0"/>
      <w:marBottom w:val="0"/>
      <w:divBdr>
        <w:top w:val="none" w:sz="0" w:space="0" w:color="auto"/>
        <w:left w:val="none" w:sz="0" w:space="0" w:color="auto"/>
        <w:bottom w:val="none" w:sz="0" w:space="0" w:color="auto"/>
        <w:right w:val="none" w:sz="0" w:space="0" w:color="auto"/>
      </w:divBdr>
    </w:div>
    <w:div w:id="568662156">
      <w:bodyDiv w:val="1"/>
      <w:marLeft w:val="0"/>
      <w:marRight w:val="0"/>
      <w:marTop w:val="0"/>
      <w:marBottom w:val="0"/>
      <w:divBdr>
        <w:top w:val="none" w:sz="0" w:space="0" w:color="auto"/>
        <w:left w:val="none" w:sz="0" w:space="0" w:color="auto"/>
        <w:bottom w:val="none" w:sz="0" w:space="0" w:color="auto"/>
        <w:right w:val="none" w:sz="0" w:space="0" w:color="auto"/>
      </w:divBdr>
      <w:divsChild>
        <w:div w:id="2100329158">
          <w:marLeft w:val="0"/>
          <w:marRight w:val="0"/>
          <w:marTop w:val="0"/>
          <w:marBottom w:val="0"/>
          <w:divBdr>
            <w:top w:val="none" w:sz="0" w:space="0" w:color="auto"/>
            <w:left w:val="none" w:sz="0" w:space="0" w:color="auto"/>
            <w:bottom w:val="none" w:sz="0" w:space="0" w:color="auto"/>
            <w:right w:val="none" w:sz="0" w:space="0" w:color="auto"/>
          </w:divBdr>
        </w:div>
      </w:divsChild>
    </w:div>
    <w:div w:id="569537223">
      <w:bodyDiv w:val="1"/>
      <w:marLeft w:val="0"/>
      <w:marRight w:val="0"/>
      <w:marTop w:val="0"/>
      <w:marBottom w:val="0"/>
      <w:divBdr>
        <w:top w:val="none" w:sz="0" w:space="0" w:color="auto"/>
        <w:left w:val="none" w:sz="0" w:space="0" w:color="auto"/>
        <w:bottom w:val="none" w:sz="0" w:space="0" w:color="auto"/>
        <w:right w:val="none" w:sz="0" w:space="0" w:color="auto"/>
      </w:divBdr>
    </w:div>
    <w:div w:id="570702625">
      <w:bodyDiv w:val="1"/>
      <w:marLeft w:val="0"/>
      <w:marRight w:val="0"/>
      <w:marTop w:val="0"/>
      <w:marBottom w:val="0"/>
      <w:divBdr>
        <w:top w:val="none" w:sz="0" w:space="0" w:color="auto"/>
        <w:left w:val="none" w:sz="0" w:space="0" w:color="auto"/>
        <w:bottom w:val="none" w:sz="0" w:space="0" w:color="auto"/>
        <w:right w:val="none" w:sz="0" w:space="0" w:color="auto"/>
      </w:divBdr>
    </w:div>
    <w:div w:id="573008402">
      <w:bodyDiv w:val="1"/>
      <w:marLeft w:val="0"/>
      <w:marRight w:val="0"/>
      <w:marTop w:val="0"/>
      <w:marBottom w:val="0"/>
      <w:divBdr>
        <w:top w:val="none" w:sz="0" w:space="0" w:color="auto"/>
        <w:left w:val="none" w:sz="0" w:space="0" w:color="auto"/>
        <w:bottom w:val="none" w:sz="0" w:space="0" w:color="auto"/>
        <w:right w:val="none" w:sz="0" w:space="0" w:color="auto"/>
      </w:divBdr>
    </w:div>
    <w:div w:id="573011536">
      <w:bodyDiv w:val="1"/>
      <w:marLeft w:val="0"/>
      <w:marRight w:val="0"/>
      <w:marTop w:val="0"/>
      <w:marBottom w:val="0"/>
      <w:divBdr>
        <w:top w:val="none" w:sz="0" w:space="0" w:color="auto"/>
        <w:left w:val="none" w:sz="0" w:space="0" w:color="auto"/>
        <w:bottom w:val="none" w:sz="0" w:space="0" w:color="auto"/>
        <w:right w:val="none" w:sz="0" w:space="0" w:color="auto"/>
      </w:divBdr>
    </w:div>
    <w:div w:id="576475356">
      <w:bodyDiv w:val="1"/>
      <w:marLeft w:val="0"/>
      <w:marRight w:val="0"/>
      <w:marTop w:val="0"/>
      <w:marBottom w:val="0"/>
      <w:divBdr>
        <w:top w:val="none" w:sz="0" w:space="0" w:color="auto"/>
        <w:left w:val="none" w:sz="0" w:space="0" w:color="auto"/>
        <w:bottom w:val="none" w:sz="0" w:space="0" w:color="auto"/>
        <w:right w:val="none" w:sz="0" w:space="0" w:color="auto"/>
      </w:divBdr>
    </w:div>
    <w:div w:id="578249620">
      <w:bodyDiv w:val="1"/>
      <w:marLeft w:val="0"/>
      <w:marRight w:val="0"/>
      <w:marTop w:val="0"/>
      <w:marBottom w:val="0"/>
      <w:divBdr>
        <w:top w:val="none" w:sz="0" w:space="0" w:color="auto"/>
        <w:left w:val="none" w:sz="0" w:space="0" w:color="auto"/>
        <w:bottom w:val="none" w:sz="0" w:space="0" w:color="auto"/>
        <w:right w:val="none" w:sz="0" w:space="0" w:color="auto"/>
      </w:divBdr>
    </w:div>
    <w:div w:id="583606427">
      <w:bodyDiv w:val="1"/>
      <w:marLeft w:val="0"/>
      <w:marRight w:val="0"/>
      <w:marTop w:val="0"/>
      <w:marBottom w:val="0"/>
      <w:divBdr>
        <w:top w:val="none" w:sz="0" w:space="0" w:color="auto"/>
        <w:left w:val="none" w:sz="0" w:space="0" w:color="auto"/>
        <w:bottom w:val="none" w:sz="0" w:space="0" w:color="auto"/>
        <w:right w:val="none" w:sz="0" w:space="0" w:color="auto"/>
      </w:divBdr>
    </w:div>
    <w:div w:id="583687153">
      <w:bodyDiv w:val="1"/>
      <w:marLeft w:val="0"/>
      <w:marRight w:val="0"/>
      <w:marTop w:val="0"/>
      <w:marBottom w:val="0"/>
      <w:divBdr>
        <w:top w:val="none" w:sz="0" w:space="0" w:color="auto"/>
        <w:left w:val="none" w:sz="0" w:space="0" w:color="auto"/>
        <w:bottom w:val="none" w:sz="0" w:space="0" w:color="auto"/>
        <w:right w:val="none" w:sz="0" w:space="0" w:color="auto"/>
      </w:divBdr>
    </w:div>
    <w:div w:id="584194809">
      <w:bodyDiv w:val="1"/>
      <w:marLeft w:val="0"/>
      <w:marRight w:val="0"/>
      <w:marTop w:val="0"/>
      <w:marBottom w:val="0"/>
      <w:divBdr>
        <w:top w:val="none" w:sz="0" w:space="0" w:color="auto"/>
        <w:left w:val="none" w:sz="0" w:space="0" w:color="auto"/>
        <w:bottom w:val="none" w:sz="0" w:space="0" w:color="auto"/>
        <w:right w:val="none" w:sz="0" w:space="0" w:color="auto"/>
      </w:divBdr>
    </w:div>
    <w:div w:id="584263006">
      <w:bodyDiv w:val="1"/>
      <w:marLeft w:val="0"/>
      <w:marRight w:val="0"/>
      <w:marTop w:val="0"/>
      <w:marBottom w:val="0"/>
      <w:divBdr>
        <w:top w:val="none" w:sz="0" w:space="0" w:color="auto"/>
        <w:left w:val="none" w:sz="0" w:space="0" w:color="auto"/>
        <w:bottom w:val="none" w:sz="0" w:space="0" w:color="auto"/>
        <w:right w:val="none" w:sz="0" w:space="0" w:color="auto"/>
      </w:divBdr>
    </w:div>
    <w:div w:id="585962020">
      <w:bodyDiv w:val="1"/>
      <w:marLeft w:val="0"/>
      <w:marRight w:val="0"/>
      <w:marTop w:val="0"/>
      <w:marBottom w:val="0"/>
      <w:divBdr>
        <w:top w:val="none" w:sz="0" w:space="0" w:color="auto"/>
        <w:left w:val="none" w:sz="0" w:space="0" w:color="auto"/>
        <w:bottom w:val="none" w:sz="0" w:space="0" w:color="auto"/>
        <w:right w:val="none" w:sz="0" w:space="0" w:color="auto"/>
      </w:divBdr>
    </w:div>
    <w:div w:id="586572523">
      <w:bodyDiv w:val="1"/>
      <w:marLeft w:val="0"/>
      <w:marRight w:val="0"/>
      <w:marTop w:val="0"/>
      <w:marBottom w:val="0"/>
      <w:divBdr>
        <w:top w:val="none" w:sz="0" w:space="0" w:color="auto"/>
        <w:left w:val="none" w:sz="0" w:space="0" w:color="auto"/>
        <w:bottom w:val="none" w:sz="0" w:space="0" w:color="auto"/>
        <w:right w:val="none" w:sz="0" w:space="0" w:color="auto"/>
      </w:divBdr>
    </w:div>
    <w:div w:id="591007830">
      <w:bodyDiv w:val="1"/>
      <w:marLeft w:val="0"/>
      <w:marRight w:val="0"/>
      <w:marTop w:val="0"/>
      <w:marBottom w:val="0"/>
      <w:divBdr>
        <w:top w:val="none" w:sz="0" w:space="0" w:color="auto"/>
        <w:left w:val="none" w:sz="0" w:space="0" w:color="auto"/>
        <w:bottom w:val="none" w:sz="0" w:space="0" w:color="auto"/>
        <w:right w:val="none" w:sz="0" w:space="0" w:color="auto"/>
      </w:divBdr>
    </w:div>
    <w:div w:id="592052598">
      <w:bodyDiv w:val="1"/>
      <w:marLeft w:val="0"/>
      <w:marRight w:val="0"/>
      <w:marTop w:val="0"/>
      <w:marBottom w:val="0"/>
      <w:divBdr>
        <w:top w:val="none" w:sz="0" w:space="0" w:color="auto"/>
        <w:left w:val="none" w:sz="0" w:space="0" w:color="auto"/>
        <w:bottom w:val="none" w:sz="0" w:space="0" w:color="auto"/>
        <w:right w:val="none" w:sz="0" w:space="0" w:color="auto"/>
      </w:divBdr>
    </w:div>
    <w:div w:id="598761651">
      <w:bodyDiv w:val="1"/>
      <w:marLeft w:val="0"/>
      <w:marRight w:val="0"/>
      <w:marTop w:val="0"/>
      <w:marBottom w:val="0"/>
      <w:divBdr>
        <w:top w:val="none" w:sz="0" w:space="0" w:color="auto"/>
        <w:left w:val="none" w:sz="0" w:space="0" w:color="auto"/>
        <w:bottom w:val="none" w:sz="0" w:space="0" w:color="auto"/>
        <w:right w:val="none" w:sz="0" w:space="0" w:color="auto"/>
      </w:divBdr>
    </w:div>
    <w:div w:id="598872315">
      <w:bodyDiv w:val="1"/>
      <w:marLeft w:val="0"/>
      <w:marRight w:val="0"/>
      <w:marTop w:val="0"/>
      <w:marBottom w:val="0"/>
      <w:divBdr>
        <w:top w:val="none" w:sz="0" w:space="0" w:color="auto"/>
        <w:left w:val="none" w:sz="0" w:space="0" w:color="auto"/>
        <w:bottom w:val="none" w:sz="0" w:space="0" w:color="auto"/>
        <w:right w:val="none" w:sz="0" w:space="0" w:color="auto"/>
      </w:divBdr>
    </w:div>
    <w:div w:id="599457875">
      <w:bodyDiv w:val="1"/>
      <w:marLeft w:val="0"/>
      <w:marRight w:val="0"/>
      <w:marTop w:val="0"/>
      <w:marBottom w:val="0"/>
      <w:divBdr>
        <w:top w:val="none" w:sz="0" w:space="0" w:color="auto"/>
        <w:left w:val="none" w:sz="0" w:space="0" w:color="auto"/>
        <w:bottom w:val="none" w:sz="0" w:space="0" w:color="auto"/>
        <w:right w:val="none" w:sz="0" w:space="0" w:color="auto"/>
      </w:divBdr>
    </w:div>
    <w:div w:id="602809601">
      <w:bodyDiv w:val="1"/>
      <w:marLeft w:val="0"/>
      <w:marRight w:val="0"/>
      <w:marTop w:val="0"/>
      <w:marBottom w:val="0"/>
      <w:divBdr>
        <w:top w:val="none" w:sz="0" w:space="0" w:color="auto"/>
        <w:left w:val="none" w:sz="0" w:space="0" w:color="auto"/>
        <w:bottom w:val="none" w:sz="0" w:space="0" w:color="auto"/>
        <w:right w:val="none" w:sz="0" w:space="0" w:color="auto"/>
      </w:divBdr>
    </w:div>
    <w:div w:id="606885625">
      <w:bodyDiv w:val="1"/>
      <w:marLeft w:val="0"/>
      <w:marRight w:val="0"/>
      <w:marTop w:val="0"/>
      <w:marBottom w:val="0"/>
      <w:divBdr>
        <w:top w:val="none" w:sz="0" w:space="0" w:color="auto"/>
        <w:left w:val="none" w:sz="0" w:space="0" w:color="auto"/>
        <w:bottom w:val="none" w:sz="0" w:space="0" w:color="auto"/>
        <w:right w:val="none" w:sz="0" w:space="0" w:color="auto"/>
      </w:divBdr>
    </w:div>
    <w:div w:id="612129210">
      <w:bodyDiv w:val="1"/>
      <w:marLeft w:val="0"/>
      <w:marRight w:val="0"/>
      <w:marTop w:val="0"/>
      <w:marBottom w:val="0"/>
      <w:divBdr>
        <w:top w:val="none" w:sz="0" w:space="0" w:color="auto"/>
        <w:left w:val="none" w:sz="0" w:space="0" w:color="auto"/>
        <w:bottom w:val="none" w:sz="0" w:space="0" w:color="auto"/>
        <w:right w:val="none" w:sz="0" w:space="0" w:color="auto"/>
      </w:divBdr>
    </w:div>
    <w:div w:id="612976623">
      <w:bodyDiv w:val="1"/>
      <w:marLeft w:val="0"/>
      <w:marRight w:val="0"/>
      <w:marTop w:val="0"/>
      <w:marBottom w:val="0"/>
      <w:divBdr>
        <w:top w:val="none" w:sz="0" w:space="0" w:color="auto"/>
        <w:left w:val="none" w:sz="0" w:space="0" w:color="auto"/>
        <w:bottom w:val="none" w:sz="0" w:space="0" w:color="auto"/>
        <w:right w:val="none" w:sz="0" w:space="0" w:color="auto"/>
      </w:divBdr>
    </w:div>
    <w:div w:id="615261478">
      <w:bodyDiv w:val="1"/>
      <w:marLeft w:val="0"/>
      <w:marRight w:val="0"/>
      <w:marTop w:val="0"/>
      <w:marBottom w:val="0"/>
      <w:divBdr>
        <w:top w:val="none" w:sz="0" w:space="0" w:color="auto"/>
        <w:left w:val="none" w:sz="0" w:space="0" w:color="auto"/>
        <w:bottom w:val="none" w:sz="0" w:space="0" w:color="auto"/>
        <w:right w:val="none" w:sz="0" w:space="0" w:color="auto"/>
      </w:divBdr>
    </w:div>
    <w:div w:id="622229582">
      <w:bodyDiv w:val="1"/>
      <w:marLeft w:val="0"/>
      <w:marRight w:val="0"/>
      <w:marTop w:val="0"/>
      <w:marBottom w:val="0"/>
      <w:divBdr>
        <w:top w:val="none" w:sz="0" w:space="0" w:color="auto"/>
        <w:left w:val="none" w:sz="0" w:space="0" w:color="auto"/>
        <w:bottom w:val="none" w:sz="0" w:space="0" w:color="auto"/>
        <w:right w:val="none" w:sz="0" w:space="0" w:color="auto"/>
      </w:divBdr>
    </w:div>
    <w:div w:id="622342368">
      <w:bodyDiv w:val="1"/>
      <w:marLeft w:val="0"/>
      <w:marRight w:val="0"/>
      <w:marTop w:val="0"/>
      <w:marBottom w:val="0"/>
      <w:divBdr>
        <w:top w:val="none" w:sz="0" w:space="0" w:color="auto"/>
        <w:left w:val="none" w:sz="0" w:space="0" w:color="auto"/>
        <w:bottom w:val="none" w:sz="0" w:space="0" w:color="auto"/>
        <w:right w:val="none" w:sz="0" w:space="0" w:color="auto"/>
      </w:divBdr>
    </w:div>
    <w:div w:id="624232632">
      <w:bodyDiv w:val="1"/>
      <w:marLeft w:val="0"/>
      <w:marRight w:val="0"/>
      <w:marTop w:val="0"/>
      <w:marBottom w:val="0"/>
      <w:divBdr>
        <w:top w:val="none" w:sz="0" w:space="0" w:color="auto"/>
        <w:left w:val="none" w:sz="0" w:space="0" w:color="auto"/>
        <w:bottom w:val="none" w:sz="0" w:space="0" w:color="auto"/>
        <w:right w:val="none" w:sz="0" w:space="0" w:color="auto"/>
      </w:divBdr>
      <w:divsChild>
        <w:div w:id="880245609">
          <w:marLeft w:val="0"/>
          <w:marRight w:val="0"/>
          <w:marTop w:val="0"/>
          <w:marBottom w:val="0"/>
          <w:divBdr>
            <w:top w:val="none" w:sz="0" w:space="0" w:color="auto"/>
            <w:left w:val="none" w:sz="0" w:space="0" w:color="auto"/>
            <w:bottom w:val="none" w:sz="0" w:space="0" w:color="auto"/>
            <w:right w:val="none" w:sz="0" w:space="0" w:color="auto"/>
          </w:divBdr>
        </w:div>
      </w:divsChild>
    </w:div>
    <w:div w:id="627055550">
      <w:bodyDiv w:val="1"/>
      <w:marLeft w:val="0"/>
      <w:marRight w:val="0"/>
      <w:marTop w:val="0"/>
      <w:marBottom w:val="0"/>
      <w:divBdr>
        <w:top w:val="none" w:sz="0" w:space="0" w:color="auto"/>
        <w:left w:val="none" w:sz="0" w:space="0" w:color="auto"/>
        <w:bottom w:val="none" w:sz="0" w:space="0" w:color="auto"/>
        <w:right w:val="none" w:sz="0" w:space="0" w:color="auto"/>
      </w:divBdr>
    </w:div>
    <w:div w:id="631136785">
      <w:bodyDiv w:val="1"/>
      <w:marLeft w:val="0"/>
      <w:marRight w:val="0"/>
      <w:marTop w:val="0"/>
      <w:marBottom w:val="0"/>
      <w:divBdr>
        <w:top w:val="none" w:sz="0" w:space="0" w:color="auto"/>
        <w:left w:val="none" w:sz="0" w:space="0" w:color="auto"/>
        <w:bottom w:val="none" w:sz="0" w:space="0" w:color="auto"/>
        <w:right w:val="none" w:sz="0" w:space="0" w:color="auto"/>
      </w:divBdr>
    </w:div>
    <w:div w:id="633365728">
      <w:bodyDiv w:val="1"/>
      <w:marLeft w:val="0"/>
      <w:marRight w:val="0"/>
      <w:marTop w:val="0"/>
      <w:marBottom w:val="0"/>
      <w:divBdr>
        <w:top w:val="none" w:sz="0" w:space="0" w:color="auto"/>
        <w:left w:val="none" w:sz="0" w:space="0" w:color="auto"/>
        <w:bottom w:val="none" w:sz="0" w:space="0" w:color="auto"/>
        <w:right w:val="none" w:sz="0" w:space="0" w:color="auto"/>
      </w:divBdr>
    </w:div>
    <w:div w:id="634068280">
      <w:bodyDiv w:val="1"/>
      <w:marLeft w:val="0"/>
      <w:marRight w:val="0"/>
      <w:marTop w:val="0"/>
      <w:marBottom w:val="0"/>
      <w:divBdr>
        <w:top w:val="none" w:sz="0" w:space="0" w:color="auto"/>
        <w:left w:val="none" w:sz="0" w:space="0" w:color="auto"/>
        <w:bottom w:val="none" w:sz="0" w:space="0" w:color="auto"/>
        <w:right w:val="none" w:sz="0" w:space="0" w:color="auto"/>
      </w:divBdr>
      <w:divsChild>
        <w:div w:id="260525791">
          <w:marLeft w:val="0"/>
          <w:marRight w:val="0"/>
          <w:marTop w:val="15"/>
          <w:marBottom w:val="0"/>
          <w:divBdr>
            <w:top w:val="none" w:sz="0" w:space="0" w:color="auto"/>
            <w:left w:val="none" w:sz="0" w:space="0" w:color="auto"/>
            <w:bottom w:val="none" w:sz="0" w:space="0" w:color="auto"/>
            <w:right w:val="none" w:sz="0" w:space="0" w:color="auto"/>
          </w:divBdr>
          <w:divsChild>
            <w:div w:id="586618962">
              <w:marLeft w:val="0"/>
              <w:marRight w:val="0"/>
              <w:marTop w:val="0"/>
              <w:marBottom w:val="0"/>
              <w:divBdr>
                <w:top w:val="none" w:sz="0" w:space="0" w:color="auto"/>
                <w:left w:val="none" w:sz="0" w:space="0" w:color="auto"/>
                <w:bottom w:val="none" w:sz="0" w:space="0" w:color="auto"/>
                <w:right w:val="none" w:sz="0" w:space="0" w:color="auto"/>
              </w:divBdr>
              <w:divsChild>
                <w:div w:id="30811187">
                  <w:marLeft w:val="0"/>
                  <w:marRight w:val="0"/>
                  <w:marTop w:val="0"/>
                  <w:marBottom w:val="0"/>
                  <w:divBdr>
                    <w:top w:val="none" w:sz="0" w:space="0" w:color="auto"/>
                    <w:left w:val="none" w:sz="0" w:space="0" w:color="auto"/>
                    <w:bottom w:val="none" w:sz="0" w:space="0" w:color="auto"/>
                    <w:right w:val="none" w:sz="0" w:space="0" w:color="auto"/>
                  </w:divBdr>
                </w:div>
                <w:div w:id="48841882">
                  <w:marLeft w:val="0"/>
                  <w:marRight w:val="0"/>
                  <w:marTop w:val="0"/>
                  <w:marBottom w:val="0"/>
                  <w:divBdr>
                    <w:top w:val="none" w:sz="0" w:space="0" w:color="auto"/>
                    <w:left w:val="none" w:sz="0" w:space="0" w:color="auto"/>
                    <w:bottom w:val="none" w:sz="0" w:space="0" w:color="auto"/>
                    <w:right w:val="none" w:sz="0" w:space="0" w:color="auto"/>
                  </w:divBdr>
                </w:div>
                <w:div w:id="69272413">
                  <w:marLeft w:val="0"/>
                  <w:marRight w:val="0"/>
                  <w:marTop w:val="0"/>
                  <w:marBottom w:val="0"/>
                  <w:divBdr>
                    <w:top w:val="none" w:sz="0" w:space="0" w:color="auto"/>
                    <w:left w:val="none" w:sz="0" w:space="0" w:color="auto"/>
                    <w:bottom w:val="none" w:sz="0" w:space="0" w:color="auto"/>
                    <w:right w:val="none" w:sz="0" w:space="0" w:color="auto"/>
                  </w:divBdr>
                </w:div>
                <w:div w:id="142739935">
                  <w:marLeft w:val="0"/>
                  <w:marRight w:val="0"/>
                  <w:marTop w:val="0"/>
                  <w:marBottom w:val="0"/>
                  <w:divBdr>
                    <w:top w:val="none" w:sz="0" w:space="0" w:color="auto"/>
                    <w:left w:val="none" w:sz="0" w:space="0" w:color="auto"/>
                    <w:bottom w:val="none" w:sz="0" w:space="0" w:color="auto"/>
                    <w:right w:val="none" w:sz="0" w:space="0" w:color="auto"/>
                  </w:divBdr>
                </w:div>
                <w:div w:id="147943483">
                  <w:marLeft w:val="0"/>
                  <w:marRight w:val="0"/>
                  <w:marTop w:val="0"/>
                  <w:marBottom w:val="0"/>
                  <w:divBdr>
                    <w:top w:val="none" w:sz="0" w:space="0" w:color="auto"/>
                    <w:left w:val="none" w:sz="0" w:space="0" w:color="auto"/>
                    <w:bottom w:val="none" w:sz="0" w:space="0" w:color="auto"/>
                    <w:right w:val="none" w:sz="0" w:space="0" w:color="auto"/>
                  </w:divBdr>
                </w:div>
                <w:div w:id="188491852">
                  <w:marLeft w:val="0"/>
                  <w:marRight w:val="0"/>
                  <w:marTop w:val="0"/>
                  <w:marBottom w:val="0"/>
                  <w:divBdr>
                    <w:top w:val="none" w:sz="0" w:space="0" w:color="auto"/>
                    <w:left w:val="none" w:sz="0" w:space="0" w:color="auto"/>
                    <w:bottom w:val="none" w:sz="0" w:space="0" w:color="auto"/>
                    <w:right w:val="none" w:sz="0" w:space="0" w:color="auto"/>
                  </w:divBdr>
                </w:div>
                <w:div w:id="258222060">
                  <w:marLeft w:val="0"/>
                  <w:marRight w:val="0"/>
                  <w:marTop w:val="0"/>
                  <w:marBottom w:val="0"/>
                  <w:divBdr>
                    <w:top w:val="none" w:sz="0" w:space="0" w:color="auto"/>
                    <w:left w:val="none" w:sz="0" w:space="0" w:color="auto"/>
                    <w:bottom w:val="none" w:sz="0" w:space="0" w:color="auto"/>
                    <w:right w:val="none" w:sz="0" w:space="0" w:color="auto"/>
                  </w:divBdr>
                </w:div>
                <w:div w:id="366561565">
                  <w:marLeft w:val="0"/>
                  <w:marRight w:val="0"/>
                  <w:marTop w:val="0"/>
                  <w:marBottom w:val="0"/>
                  <w:divBdr>
                    <w:top w:val="none" w:sz="0" w:space="0" w:color="auto"/>
                    <w:left w:val="none" w:sz="0" w:space="0" w:color="auto"/>
                    <w:bottom w:val="none" w:sz="0" w:space="0" w:color="auto"/>
                    <w:right w:val="none" w:sz="0" w:space="0" w:color="auto"/>
                  </w:divBdr>
                </w:div>
                <w:div w:id="387845432">
                  <w:marLeft w:val="0"/>
                  <w:marRight w:val="0"/>
                  <w:marTop w:val="0"/>
                  <w:marBottom w:val="0"/>
                  <w:divBdr>
                    <w:top w:val="none" w:sz="0" w:space="0" w:color="auto"/>
                    <w:left w:val="none" w:sz="0" w:space="0" w:color="auto"/>
                    <w:bottom w:val="none" w:sz="0" w:space="0" w:color="auto"/>
                    <w:right w:val="none" w:sz="0" w:space="0" w:color="auto"/>
                  </w:divBdr>
                </w:div>
                <w:div w:id="450979554">
                  <w:marLeft w:val="0"/>
                  <w:marRight w:val="0"/>
                  <w:marTop w:val="0"/>
                  <w:marBottom w:val="0"/>
                  <w:divBdr>
                    <w:top w:val="none" w:sz="0" w:space="0" w:color="auto"/>
                    <w:left w:val="none" w:sz="0" w:space="0" w:color="auto"/>
                    <w:bottom w:val="none" w:sz="0" w:space="0" w:color="auto"/>
                    <w:right w:val="none" w:sz="0" w:space="0" w:color="auto"/>
                  </w:divBdr>
                </w:div>
                <w:div w:id="579290825">
                  <w:marLeft w:val="0"/>
                  <w:marRight w:val="0"/>
                  <w:marTop w:val="0"/>
                  <w:marBottom w:val="0"/>
                  <w:divBdr>
                    <w:top w:val="none" w:sz="0" w:space="0" w:color="auto"/>
                    <w:left w:val="none" w:sz="0" w:space="0" w:color="auto"/>
                    <w:bottom w:val="none" w:sz="0" w:space="0" w:color="auto"/>
                    <w:right w:val="none" w:sz="0" w:space="0" w:color="auto"/>
                  </w:divBdr>
                </w:div>
                <w:div w:id="591668497">
                  <w:marLeft w:val="0"/>
                  <w:marRight w:val="0"/>
                  <w:marTop w:val="0"/>
                  <w:marBottom w:val="0"/>
                  <w:divBdr>
                    <w:top w:val="none" w:sz="0" w:space="0" w:color="auto"/>
                    <w:left w:val="none" w:sz="0" w:space="0" w:color="auto"/>
                    <w:bottom w:val="none" w:sz="0" w:space="0" w:color="auto"/>
                    <w:right w:val="none" w:sz="0" w:space="0" w:color="auto"/>
                  </w:divBdr>
                </w:div>
                <w:div w:id="840387591">
                  <w:marLeft w:val="0"/>
                  <w:marRight w:val="0"/>
                  <w:marTop w:val="0"/>
                  <w:marBottom w:val="0"/>
                  <w:divBdr>
                    <w:top w:val="none" w:sz="0" w:space="0" w:color="auto"/>
                    <w:left w:val="none" w:sz="0" w:space="0" w:color="auto"/>
                    <w:bottom w:val="none" w:sz="0" w:space="0" w:color="auto"/>
                    <w:right w:val="none" w:sz="0" w:space="0" w:color="auto"/>
                  </w:divBdr>
                </w:div>
                <w:div w:id="897328391">
                  <w:marLeft w:val="0"/>
                  <w:marRight w:val="0"/>
                  <w:marTop w:val="0"/>
                  <w:marBottom w:val="0"/>
                  <w:divBdr>
                    <w:top w:val="none" w:sz="0" w:space="0" w:color="auto"/>
                    <w:left w:val="none" w:sz="0" w:space="0" w:color="auto"/>
                    <w:bottom w:val="none" w:sz="0" w:space="0" w:color="auto"/>
                    <w:right w:val="none" w:sz="0" w:space="0" w:color="auto"/>
                  </w:divBdr>
                </w:div>
                <w:div w:id="926615484">
                  <w:marLeft w:val="0"/>
                  <w:marRight w:val="0"/>
                  <w:marTop w:val="0"/>
                  <w:marBottom w:val="0"/>
                  <w:divBdr>
                    <w:top w:val="none" w:sz="0" w:space="0" w:color="auto"/>
                    <w:left w:val="none" w:sz="0" w:space="0" w:color="auto"/>
                    <w:bottom w:val="none" w:sz="0" w:space="0" w:color="auto"/>
                    <w:right w:val="none" w:sz="0" w:space="0" w:color="auto"/>
                  </w:divBdr>
                </w:div>
                <w:div w:id="981806497">
                  <w:marLeft w:val="0"/>
                  <w:marRight w:val="0"/>
                  <w:marTop w:val="0"/>
                  <w:marBottom w:val="0"/>
                  <w:divBdr>
                    <w:top w:val="none" w:sz="0" w:space="0" w:color="auto"/>
                    <w:left w:val="none" w:sz="0" w:space="0" w:color="auto"/>
                    <w:bottom w:val="none" w:sz="0" w:space="0" w:color="auto"/>
                    <w:right w:val="none" w:sz="0" w:space="0" w:color="auto"/>
                  </w:divBdr>
                </w:div>
                <w:div w:id="1096098270">
                  <w:marLeft w:val="0"/>
                  <w:marRight w:val="0"/>
                  <w:marTop w:val="0"/>
                  <w:marBottom w:val="0"/>
                  <w:divBdr>
                    <w:top w:val="none" w:sz="0" w:space="0" w:color="auto"/>
                    <w:left w:val="none" w:sz="0" w:space="0" w:color="auto"/>
                    <w:bottom w:val="none" w:sz="0" w:space="0" w:color="auto"/>
                    <w:right w:val="none" w:sz="0" w:space="0" w:color="auto"/>
                  </w:divBdr>
                </w:div>
                <w:div w:id="1269775970">
                  <w:marLeft w:val="0"/>
                  <w:marRight w:val="0"/>
                  <w:marTop w:val="0"/>
                  <w:marBottom w:val="0"/>
                  <w:divBdr>
                    <w:top w:val="none" w:sz="0" w:space="0" w:color="auto"/>
                    <w:left w:val="none" w:sz="0" w:space="0" w:color="auto"/>
                    <w:bottom w:val="none" w:sz="0" w:space="0" w:color="auto"/>
                    <w:right w:val="none" w:sz="0" w:space="0" w:color="auto"/>
                  </w:divBdr>
                </w:div>
                <w:div w:id="1337659126">
                  <w:marLeft w:val="0"/>
                  <w:marRight w:val="0"/>
                  <w:marTop w:val="0"/>
                  <w:marBottom w:val="0"/>
                  <w:divBdr>
                    <w:top w:val="none" w:sz="0" w:space="0" w:color="auto"/>
                    <w:left w:val="none" w:sz="0" w:space="0" w:color="auto"/>
                    <w:bottom w:val="none" w:sz="0" w:space="0" w:color="auto"/>
                    <w:right w:val="none" w:sz="0" w:space="0" w:color="auto"/>
                  </w:divBdr>
                </w:div>
                <w:div w:id="1354838984">
                  <w:marLeft w:val="0"/>
                  <w:marRight w:val="0"/>
                  <w:marTop w:val="0"/>
                  <w:marBottom w:val="0"/>
                  <w:divBdr>
                    <w:top w:val="none" w:sz="0" w:space="0" w:color="auto"/>
                    <w:left w:val="none" w:sz="0" w:space="0" w:color="auto"/>
                    <w:bottom w:val="none" w:sz="0" w:space="0" w:color="auto"/>
                    <w:right w:val="none" w:sz="0" w:space="0" w:color="auto"/>
                  </w:divBdr>
                </w:div>
                <w:div w:id="1363092173">
                  <w:marLeft w:val="0"/>
                  <w:marRight w:val="0"/>
                  <w:marTop w:val="0"/>
                  <w:marBottom w:val="0"/>
                  <w:divBdr>
                    <w:top w:val="none" w:sz="0" w:space="0" w:color="auto"/>
                    <w:left w:val="none" w:sz="0" w:space="0" w:color="auto"/>
                    <w:bottom w:val="none" w:sz="0" w:space="0" w:color="auto"/>
                    <w:right w:val="none" w:sz="0" w:space="0" w:color="auto"/>
                  </w:divBdr>
                </w:div>
                <w:div w:id="1513104496">
                  <w:marLeft w:val="0"/>
                  <w:marRight w:val="0"/>
                  <w:marTop w:val="0"/>
                  <w:marBottom w:val="0"/>
                  <w:divBdr>
                    <w:top w:val="none" w:sz="0" w:space="0" w:color="auto"/>
                    <w:left w:val="none" w:sz="0" w:space="0" w:color="auto"/>
                    <w:bottom w:val="none" w:sz="0" w:space="0" w:color="auto"/>
                    <w:right w:val="none" w:sz="0" w:space="0" w:color="auto"/>
                  </w:divBdr>
                </w:div>
                <w:div w:id="1584413688">
                  <w:marLeft w:val="0"/>
                  <w:marRight w:val="0"/>
                  <w:marTop w:val="0"/>
                  <w:marBottom w:val="0"/>
                  <w:divBdr>
                    <w:top w:val="none" w:sz="0" w:space="0" w:color="auto"/>
                    <w:left w:val="none" w:sz="0" w:space="0" w:color="auto"/>
                    <w:bottom w:val="none" w:sz="0" w:space="0" w:color="auto"/>
                    <w:right w:val="none" w:sz="0" w:space="0" w:color="auto"/>
                  </w:divBdr>
                </w:div>
                <w:div w:id="1608468288">
                  <w:marLeft w:val="0"/>
                  <w:marRight w:val="0"/>
                  <w:marTop w:val="0"/>
                  <w:marBottom w:val="0"/>
                  <w:divBdr>
                    <w:top w:val="none" w:sz="0" w:space="0" w:color="auto"/>
                    <w:left w:val="none" w:sz="0" w:space="0" w:color="auto"/>
                    <w:bottom w:val="none" w:sz="0" w:space="0" w:color="auto"/>
                    <w:right w:val="none" w:sz="0" w:space="0" w:color="auto"/>
                  </w:divBdr>
                </w:div>
                <w:div w:id="1779250185">
                  <w:marLeft w:val="0"/>
                  <w:marRight w:val="0"/>
                  <w:marTop w:val="0"/>
                  <w:marBottom w:val="0"/>
                  <w:divBdr>
                    <w:top w:val="none" w:sz="0" w:space="0" w:color="auto"/>
                    <w:left w:val="none" w:sz="0" w:space="0" w:color="auto"/>
                    <w:bottom w:val="none" w:sz="0" w:space="0" w:color="auto"/>
                    <w:right w:val="none" w:sz="0" w:space="0" w:color="auto"/>
                  </w:divBdr>
                </w:div>
                <w:div w:id="1931427086">
                  <w:marLeft w:val="0"/>
                  <w:marRight w:val="0"/>
                  <w:marTop w:val="0"/>
                  <w:marBottom w:val="0"/>
                  <w:divBdr>
                    <w:top w:val="none" w:sz="0" w:space="0" w:color="auto"/>
                    <w:left w:val="none" w:sz="0" w:space="0" w:color="auto"/>
                    <w:bottom w:val="none" w:sz="0" w:space="0" w:color="auto"/>
                    <w:right w:val="none" w:sz="0" w:space="0" w:color="auto"/>
                  </w:divBdr>
                </w:div>
                <w:div w:id="212194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421174">
          <w:marLeft w:val="0"/>
          <w:marRight w:val="0"/>
          <w:marTop w:val="15"/>
          <w:marBottom w:val="0"/>
          <w:divBdr>
            <w:top w:val="none" w:sz="0" w:space="0" w:color="auto"/>
            <w:left w:val="none" w:sz="0" w:space="0" w:color="auto"/>
            <w:bottom w:val="none" w:sz="0" w:space="0" w:color="auto"/>
            <w:right w:val="none" w:sz="0" w:space="0" w:color="auto"/>
          </w:divBdr>
          <w:divsChild>
            <w:div w:id="1378629169">
              <w:marLeft w:val="0"/>
              <w:marRight w:val="0"/>
              <w:marTop w:val="0"/>
              <w:marBottom w:val="0"/>
              <w:divBdr>
                <w:top w:val="none" w:sz="0" w:space="0" w:color="auto"/>
                <w:left w:val="none" w:sz="0" w:space="0" w:color="auto"/>
                <w:bottom w:val="none" w:sz="0" w:space="0" w:color="auto"/>
                <w:right w:val="none" w:sz="0" w:space="0" w:color="auto"/>
              </w:divBdr>
              <w:divsChild>
                <w:div w:id="184560430">
                  <w:marLeft w:val="0"/>
                  <w:marRight w:val="0"/>
                  <w:marTop w:val="0"/>
                  <w:marBottom w:val="0"/>
                  <w:divBdr>
                    <w:top w:val="none" w:sz="0" w:space="0" w:color="auto"/>
                    <w:left w:val="none" w:sz="0" w:space="0" w:color="auto"/>
                    <w:bottom w:val="none" w:sz="0" w:space="0" w:color="auto"/>
                    <w:right w:val="none" w:sz="0" w:space="0" w:color="auto"/>
                  </w:divBdr>
                </w:div>
                <w:div w:id="214699716">
                  <w:marLeft w:val="0"/>
                  <w:marRight w:val="0"/>
                  <w:marTop w:val="0"/>
                  <w:marBottom w:val="0"/>
                  <w:divBdr>
                    <w:top w:val="none" w:sz="0" w:space="0" w:color="auto"/>
                    <w:left w:val="none" w:sz="0" w:space="0" w:color="auto"/>
                    <w:bottom w:val="none" w:sz="0" w:space="0" w:color="auto"/>
                    <w:right w:val="none" w:sz="0" w:space="0" w:color="auto"/>
                  </w:divBdr>
                </w:div>
                <w:div w:id="291522786">
                  <w:marLeft w:val="0"/>
                  <w:marRight w:val="0"/>
                  <w:marTop w:val="0"/>
                  <w:marBottom w:val="0"/>
                  <w:divBdr>
                    <w:top w:val="none" w:sz="0" w:space="0" w:color="auto"/>
                    <w:left w:val="none" w:sz="0" w:space="0" w:color="auto"/>
                    <w:bottom w:val="none" w:sz="0" w:space="0" w:color="auto"/>
                    <w:right w:val="none" w:sz="0" w:space="0" w:color="auto"/>
                  </w:divBdr>
                </w:div>
                <w:div w:id="525876230">
                  <w:marLeft w:val="0"/>
                  <w:marRight w:val="0"/>
                  <w:marTop w:val="0"/>
                  <w:marBottom w:val="0"/>
                  <w:divBdr>
                    <w:top w:val="none" w:sz="0" w:space="0" w:color="auto"/>
                    <w:left w:val="none" w:sz="0" w:space="0" w:color="auto"/>
                    <w:bottom w:val="none" w:sz="0" w:space="0" w:color="auto"/>
                    <w:right w:val="none" w:sz="0" w:space="0" w:color="auto"/>
                  </w:divBdr>
                </w:div>
                <w:div w:id="645668171">
                  <w:marLeft w:val="0"/>
                  <w:marRight w:val="0"/>
                  <w:marTop w:val="0"/>
                  <w:marBottom w:val="0"/>
                  <w:divBdr>
                    <w:top w:val="none" w:sz="0" w:space="0" w:color="auto"/>
                    <w:left w:val="none" w:sz="0" w:space="0" w:color="auto"/>
                    <w:bottom w:val="none" w:sz="0" w:space="0" w:color="auto"/>
                    <w:right w:val="none" w:sz="0" w:space="0" w:color="auto"/>
                  </w:divBdr>
                </w:div>
                <w:div w:id="695009668">
                  <w:marLeft w:val="0"/>
                  <w:marRight w:val="0"/>
                  <w:marTop w:val="0"/>
                  <w:marBottom w:val="0"/>
                  <w:divBdr>
                    <w:top w:val="none" w:sz="0" w:space="0" w:color="auto"/>
                    <w:left w:val="none" w:sz="0" w:space="0" w:color="auto"/>
                    <w:bottom w:val="none" w:sz="0" w:space="0" w:color="auto"/>
                    <w:right w:val="none" w:sz="0" w:space="0" w:color="auto"/>
                  </w:divBdr>
                </w:div>
                <w:div w:id="698898344">
                  <w:marLeft w:val="0"/>
                  <w:marRight w:val="0"/>
                  <w:marTop w:val="0"/>
                  <w:marBottom w:val="0"/>
                  <w:divBdr>
                    <w:top w:val="none" w:sz="0" w:space="0" w:color="auto"/>
                    <w:left w:val="none" w:sz="0" w:space="0" w:color="auto"/>
                    <w:bottom w:val="none" w:sz="0" w:space="0" w:color="auto"/>
                    <w:right w:val="none" w:sz="0" w:space="0" w:color="auto"/>
                  </w:divBdr>
                </w:div>
                <w:div w:id="803162465">
                  <w:marLeft w:val="0"/>
                  <w:marRight w:val="0"/>
                  <w:marTop w:val="0"/>
                  <w:marBottom w:val="0"/>
                  <w:divBdr>
                    <w:top w:val="none" w:sz="0" w:space="0" w:color="auto"/>
                    <w:left w:val="none" w:sz="0" w:space="0" w:color="auto"/>
                    <w:bottom w:val="none" w:sz="0" w:space="0" w:color="auto"/>
                    <w:right w:val="none" w:sz="0" w:space="0" w:color="auto"/>
                  </w:divBdr>
                </w:div>
                <w:div w:id="879710176">
                  <w:marLeft w:val="0"/>
                  <w:marRight w:val="0"/>
                  <w:marTop w:val="0"/>
                  <w:marBottom w:val="0"/>
                  <w:divBdr>
                    <w:top w:val="none" w:sz="0" w:space="0" w:color="auto"/>
                    <w:left w:val="none" w:sz="0" w:space="0" w:color="auto"/>
                    <w:bottom w:val="none" w:sz="0" w:space="0" w:color="auto"/>
                    <w:right w:val="none" w:sz="0" w:space="0" w:color="auto"/>
                  </w:divBdr>
                </w:div>
                <w:div w:id="943153755">
                  <w:marLeft w:val="0"/>
                  <w:marRight w:val="0"/>
                  <w:marTop w:val="0"/>
                  <w:marBottom w:val="0"/>
                  <w:divBdr>
                    <w:top w:val="none" w:sz="0" w:space="0" w:color="auto"/>
                    <w:left w:val="none" w:sz="0" w:space="0" w:color="auto"/>
                    <w:bottom w:val="none" w:sz="0" w:space="0" w:color="auto"/>
                    <w:right w:val="none" w:sz="0" w:space="0" w:color="auto"/>
                  </w:divBdr>
                </w:div>
                <w:div w:id="986134310">
                  <w:marLeft w:val="0"/>
                  <w:marRight w:val="0"/>
                  <w:marTop w:val="0"/>
                  <w:marBottom w:val="0"/>
                  <w:divBdr>
                    <w:top w:val="none" w:sz="0" w:space="0" w:color="auto"/>
                    <w:left w:val="none" w:sz="0" w:space="0" w:color="auto"/>
                    <w:bottom w:val="none" w:sz="0" w:space="0" w:color="auto"/>
                    <w:right w:val="none" w:sz="0" w:space="0" w:color="auto"/>
                  </w:divBdr>
                </w:div>
                <w:div w:id="999501497">
                  <w:marLeft w:val="0"/>
                  <w:marRight w:val="0"/>
                  <w:marTop w:val="0"/>
                  <w:marBottom w:val="0"/>
                  <w:divBdr>
                    <w:top w:val="none" w:sz="0" w:space="0" w:color="auto"/>
                    <w:left w:val="none" w:sz="0" w:space="0" w:color="auto"/>
                    <w:bottom w:val="none" w:sz="0" w:space="0" w:color="auto"/>
                    <w:right w:val="none" w:sz="0" w:space="0" w:color="auto"/>
                  </w:divBdr>
                </w:div>
                <w:div w:id="1099638795">
                  <w:marLeft w:val="0"/>
                  <w:marRight w:val="0"/>
                  <w:marTop w:val="0"/>
                  <w:marBottom w:val="0"/>
                  <w:divBdr>
                    <w:top w:val="none" w:sz="0" w:space="0" w:color="auto"/>
                    <w:left w:val="none" w:sz="0" w:space="0" w:color="auto"/>
                    <w:bottom w:val="none" w:sz="0" w:space="0" w:color="auto"/>
                    <w:right w:val="none" w:sz="0" w:space="0" w:color="auto"/>
                  </w:divBdr>
                </w:div>
                <w:div w:id="1170800709">
                  <w:marLeft w:val="0"/>
                  <w:marRight w:val="0"/>
                  <w:marTop w:val="0"/>
                  <w:marBottom w:val="0"/>
                  <w:divBdr>
                    <w:top w:val="none" w:sz="0" w:space="0" w:color="auto"/>
                    <w:left w:val="none" w:sz="0" w:space="0" w:color="auto"/>
                    <w:bottom w:val="none" w:sz="0" w:space="0" w:color="auto"/>
                    <w:right w:val="none" w:sz="0" w:space="0" w:color="auto"/>
                  </w:divBdr>
                </w:div>
                <w:div w:id="1216236534">
                  <w:marLeft w:val="0"/>
                  <w:marRight w:val="0"/>
                  <w:marTop w:val="0"/>
                  <w:marBottom w:val="0"/>
                  <w:divBdr>
                    <w:top w:val="none" w:sz="0" w:space="0" w:color="auto"/>
                    <w:left w:val="none" w:sz="0" w:space="0" w:color="auto"/>
                    <w:bottom w:val="none" w:sz="0" w:space="0" w:color="auto"/>
                    <w:right w:val="none" w:sz="0" w:space="0" w:color="auto"/>
                  </w:divBdr>
                </w:div>
                <w:div w:id="1226650038">
                  <w:marLeft w:val="0"/>
                  <w:marRight w:val="0"/>
                  <w:marTop w:val="0"/>
                  <w:marBottom w:val="0"/>
                  <w:divBdr>
                    <w:top w:val="none" w:sz="0" w:space="0" w:color="auto"/>
                    <w:left w:val="none" w:sz="0" w:space="0" w:color="auto"/>
                    <w:bottom w:val="none" w:sz="0" w:space="0" w:color="auto"/>
                    <w:right w:val="none" w:sz="0" w:space="0" w:color="auto"/>
                  </w:divBdr>
                </w:div>
                <w:div w:id="1416046749">
                  <w:marLeft w:val="0"/>
                  <w:marRight w:val="0"/>
                  <w:marTop w:val="0"/>
                  <w:marBottom w:val="0"/>
                  <w:divBdr>
                    <w:top w:val="none" w:sz="0" w:space="0" w:color="auto"/>
                    <w:left w:val="none" w:sz="0" w:space="0" w:color="auto"/>
                    <w:bottom w:val="none" w:sz="0" w:space="0" w:color="auto"/>
                    <w:right w:val="none" w:sz="0" w:space="0" w:color="auto"/>
                  </w:divBdr>
                </w:div>
                <w:div w:id="1420982549">
                  <w:marLeft w:val="0"/>
                  <w:marRight w:val="0"/>
                  <w:marTop w:val="0"/>
                  <w:marBottom w:val="0"/>
                  <w:divBdr>
                    <w:top w:val="none" w:sz="0" w:space="0" w:color="auto"/>
                    <w:left w:val="none" w:sz="0" w:space="0" w:color="auto"/>
                    <w:bottom w:val="none" w:sz="0" w:space="0" w:color="auto"/>
                    <w:right w:val="none" w:sz="0" w:space="0" w:color="auto"/>
                  </w:divBdr>
                </w:div>
                <w:div w:id="1521043030">
                  <w:marLeft w:val="0"/>
                  <w:marRight w:val="0"/>
                  <w:marTop w:val="0"/>
                  <w:marBottom w:val="0"/>
                  <w:divBdr>
                    <w:top w:val="none" w:sz="0" w:space="0" w:color="auto"/>
                    <w:left w:val="none" w:sz="0" w:space="0" w:color="auto"/>
                    <w:bottom w:val="none" w:sz="0" w:space="0" w:color="auto"/>
                    <w:right w:val="none" w:sz="0" w:space="0" w:color="auto"/>
                  </w:divBdr>
                </w:div>
                <w:div w:id="1664971891">
                  <w:marLeft w:val="0"/>
                  <w:marRight w:val="0"/>
                  <w:marTop w:val="0"/>
                  <w:marBottom w:val="0"/>
                  <w:divBdr>
                    <w:top w:val="none" w:sz="0" w:space="0" w:color="auto"/>
                    <w:left w:val="none" w:sz="0" w:space="0" w:color="auto"/>
                    <w:bottom w:val="none" w:sz="0" w:space="0" w:color="auto"/>
                    <w:right w:val="none" w:sz="0" w:space="0" w:color="auto"/>
                  </w:divBdr>
                </w:div>
                <w:div w:id="1745253646">
                  <w:marLeft w:val="0"/>
                  <w:marRight w:val="0"/>
                  <w:marTop w:val="0"/>
                  <w:marBottom w:val="0"/>
                  <w:divBdr>
                    <w:top w:val="none" w:sz="0" w:space="0" w:color="auto"/>
                    <w:left w:val="none" w:sz="0" w:space="0" w:color="auto"/>
                    <w:bottom w:val="none" w:sz="0" w:space="0" w:color="auto"/>
                    <w:right w:val="none" w:sz="0" w:space="0" w:color="auto"/>
                  </w:divBdr>
                </w:div>
                <w:div w:id="1766851062">
                  <w:marLeft w:val="0"/>
                  <w:marRight w:val="0"/>
                  <w:marTop w:val="0"/>
                  <w:marBottom w:val="0"/>
                  <w:divBdr>
                    <w:top w:val="none" w:sz="0" w:space="0" w:color="auto"/>
                    <w:left w:val="none" w:sz="0" w:space="0" w:color="auto"/>
                    <w:bottom w:val="none" w:sz="0" w:space="0" w:color="auto"/>
                    <w:right w:val="none" w:sz="0" w:space="0" w:color="auto"/>
                  </w:divBdr>
                </w:div>
                <w:div w:id="1832063556">
                  <w:marLeft w:val="0"/>
                  <w:marRight w:val="0"/>
                  <w:marTop w:val="0"/>
                  <w:marBottom w:val="0"/>
                  <w:divBdr>
                    <w:top w:val="none" w:sz="0" w:space="0" w:color="auto"/>
                    <w:left w:val="none" w:sz="0" w:space="0" w:color="auto"/>
                    <w:bottom w:val="none" w:sz="0" w:space="0" w:color="auto"/>
                    <w:right w:val="none" w:sz="0" w:space="0" w:color="auto"/>
                  </w:divBdr>
                </w:div>
                <w:div w:id="1944150375">
                  <w:marLeft w:val="0"/>
                  <w:marRight w:val="0"/>
                  <w:marTop w:val="0"/>
                  <w:marBottom w:val="0"/>
                  <w:divBdr>
                    <w:top w:val="none" w:sz="0" w:space="0" w:color="auto"/>
                    <w:left w:val="none" w:sz="0" w:space="0" w:color="auto"/>
                    <w:bottom w:val="none" w:sz="0" w:space="0" w:color="auto"/>
                    <w:right w:val="none" w:sz="0" w:space="0" w:color="auto"/>
                  </w:divBdr>
                </w:div>
                <w:div w:id="2027704512">
                  <w:marLeft w:val="0"/>
                  <w:marRight w:val="0"/>
                  <w:marTop w:val="0"/>
                  <w:marBottom w:val="0"/>
                  <w:divBdr>
                    <w:top w:val="none" w:sz="0" w:space="0" w:color="auto"/>
                    <w:left w:val="none" w:sz="0" w:space="0" w:color="auto"/>
                    <w:bottom w:val="none" w:sz="0" w:space="0" w:color="auto"/>
                    <w:right w:val="none" w:sz="0" w:space="0" w:color="auto"/>
                  </w:divBdr>
                </w:div>
                <w:div w:id="2057582535">
                  <w:marLeft w:val="0"/>
                  <w:marRight w:val="0"/>
                  <w:marTop w:val="0"/>
                  <w:marBottom w:val="0"/>
                  <w:divBdr>
                    <w:top w:val="none" w:sz="0" w:space="0" w:color="auto"/>
                    <w:left w:val="none" w:sz="0" w:space="0" w:color="auto"/>
                    <w:bottom w:val="none" w:sz="0" w:space="0" w:color="auto"/>
                    <w:right w:val="none" w:sz="0" w:space="0" w:color="auto"/>
                  </w:divBdr>
                </w:div>
                <w:div w:id="211925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294496">
          <w:marLeft w:val="0"/>
          <w:marRight w:val="0"/>
          <w:marTop w:val="15"/>
          <w:marBottom w:val="0"/>
          <w:divBdr>
            <w:top w:val="none" w:sz="0" w:space="0" w:color="auto"/>
            <w:left w:val="none" w:sz="0" w:space="0" w:color="auto"/>
            <w:bottom w:val="none" w:sz="0" w:space="0" w:color="auto"/>
            <w:right w:val="none" w:sz="0" w:space="0" w:color="auto"/>
          </w:divBdr>
          <w:divsChild>
            <w:div w:id="1836260341">
              <w:marLeft w:val="0"/>
              <w:marRight w:val="0"/>
              <w:marTop w:val="0"/>
              <w:marBottom w:val="0"/>
              <w:divBdr>
                <w:top w:val="none" w:sz="0" w:space="0" w:color="auto"/>
                <w:left w:val="none" w:sz="0" w:space="0" w:color="auto"/>
                <w:bottom w:val="none" w:sz="0" w:space="0" w:color="auto"/>
                <w:right w:val="none" w:sz="0" w:space="0" w:color="auto"/>
              </w:divBdr>
              <w:divsChild>
                <w:div w:id="44332791">
                  <w:marLeft w:val="0"/>
                  <w:marRight w:val="0"/>
                  <w:marTop w:val="0"/>
                  <w:marBottom w:val="0"/>
                  <w:divBdr>
                    <w:top w:val="none" w:sz="0" w:space="0" w:color="auto"/>
                    <w:left w:val="none" w:sz="0" w:space="0" w:color="auto"/>
                    <w:bottom w:val="none" w:sz="0" w:space="0" w:color="auto"/>
                    <w:right w:val="none" w:sz="0" w:space="0" w:color="auto"/>
                  </w:divBdr>
                </w:div>
                <w:div w:id="180749324">
                  <w:marLeft w:val="0"/>
                  <w:marRight w:val="0"/>
                  <w:marTop w:val="0"/>
                  <w:marBottom w:val="0"/>
                  <w:divBdr>
                    <w:top w:val="none" w:sz="0" w:space="0" w:color="auto"/>
                    <w:left w:val="none" w:sz="0" w:space="0" w:color="auto"/>
                    <w:bottom w:val="none" w:sz="0" w:space="0" w:color="auto"/>
                    <w:right w:val="none" w:sz="0" w:space="0" w:color="auto"/>
                  </w:divBdr>
                </w:div>
                <w:div w:id="298414250">
                  <w:marLeft w:val="0"/>
                  <w:marRight w:val="0"/>
                  <w:marTop w:val="0"/>
                  <w:marBottom w:val="0"/>
                  <w:divBdr>
                    <w:top w:val="none" w:sz="0" w:space="0" w:color="auto"/>
                    <w:left w:val="none" w:sz="0" w:space="0" w:color="auto"/>
                    <w:bottom w:val="none" w:sz="0" w:space="0" w:color="auto"/>
                    <w:right w:val="none" w:sz="0" w:space="0" w:color="auto"/>
                  </w:divBdr>
                </w:div>
                <w:div w:id="521213409">
                  <w:marLeft w:val="0"/>
                  <w:marRight w:val="0"/>
                  <w:marTop w:val="0"/>
                  <w:marBottom w:val="0"/>
                  <w:divBdr>
                    <w:top w:val="none" w:sz="0" w:space="0" w:color="auto"/>
                    <w:left w:val="none" w:sz="0" w:space="0" w:color="auto"/>
                    <w:bottom w:val="none" w:sz="0" w:space="0" w:color="auto"/>
                    <w:right w:val="none" w:sz="0" w:space="0" w:color="auto"/>
                  </w:divBdr>
                </w:div>
                <w:div w:id="880945758">
                  <w:marLeft w:val="0"/>
                  <w:marRight w:val="0"/>
                  <w:marTop w:val="0"/>
                  <w:marBottom w:val="0"/>
                  <w:divBdr>
                    <w:top w:val="none" w:sz="0" w:space="0" w:color="auto"/>
                    <w:left w:val="none" w:sz="0" w:space="0" w:color="auto"/>
                    <w:bottom w:val="none" w:sz="0" w:space="0" w:color="auto"/>
                    <w:right w:val="none" w:sz="0" w:space="0" w:color="auto"/>
                  </w:divBdr>
                </w:div>
                <w:div w:id="899294076">
                  <w:marLeft w:val="0"/>
                  <w:marRight w:val="0"/>
                  <w:marTop w:val="0"/>
                  <w:marBottom w:val="0"/>
                  <w:divBdr>
                    <w:top w:val="none" w:sz="0" w:space="0" w:color="auto"/>
                    <w:left w:val="none" w:sz="0" w:space="0" w:color="auto"/>
                    <w:bottom w:val="none" w:sz="0" w:space="0" w:color="auto"/>
                    <w:right w:val="none" w:sz="0" w:space="0" w:color="auto"/>
                  </w:divBdr>
                </w:div>
                <w:div w:id="1031494283">
                  <w:marLeft w:val="0"/>
                  <w:marRight w:val="0"/>
                  <w:marTop w:val="0"/>
                  <w:marBottom w:val="0"/>
                  <w:divBdr>
                    <w:top w:val="none" w:sz="0" w:space="0" w:color="auto"/>
                    <w:left w:val="none" w:sz="0" w:space="0" w:color="auto"/>
                    <w:bottom w:val="none" w:sz="0" w:space="0" w:color="auto"/>
                    <w:right w:val="none" w:sz="0" w:space="0" w:color="auto"/>
                  </w:divBdr>
                </w:div>
                <w:div w:id="1124689945">
                  <w:marLeft w:val="0"/>
                  <w:marRight w:val="0"/>
                  <w:marTop w:val="0"/>
                  <w:marBottom w:val="0"/>
                  <w:divBdr>
                    <w:top w:val="none" w:sz="0" w:space="0" w:color="auto"/>
                    <w:left w:val="none" w:sz="0" w:space="0" w:color="auto"/>
                    <w:bottom w:val="none" w:sz="0" w:space="0" w:color="auto"/>
                    <w:right w:val="none" w:sz="0" w:space="0" w:color="auto"/>
                  </w:divBdr>
                </w:div>
                <w:div w:id="1419055102">
                  <w:marLeft w:val="0"/>
                  <w:marRight w:val="0"/>
                  <w:marTop w:val="0"/>
                  <w:marBottom w:val="0"/>
                  <w:divBdr>
                    <w:top w:val="none" w:sz="0" w:space="0" w:color="auto"/>
                    <w:left w:val="none" w:sz="0" w:space="0" w:color="auto"/>
                    <w:bottom w:val="none" w:sz="0" w:space="0" w:color="auto"/>
                    <w:right w:val="none" w:sz="0" w:space="0" w:color="auto"/>
                  </w:divBdr>
                </w:div>
                <w:div w:id="1525485205">
                  <w:marLeft w:val="0"/>
                  <w:marRight w:val="0"/>
                  <w:marTop w:val="0"/>
                  <w:marBottom w:val="0"/>
                  <w:divBdr>
                    <w:top w:val="none" w:sz="0" w:space="0" w:color="auto"/>
                    <w:left w:val="none" w:sz="0" w:space="0" w:color="auto"/>
                    <w:bottom w:val="none" w:sz="0" w:space="0" w:color="auto"/>
                    <w:right w:val="none" w:sz="0" w:space="0" w:color="auto"/>
                  </w:divBdr>
                </w:div>
                <w:div w:id="1537962511">
                  <w:marLeft w:val="0"/>
                  <w:marRight w:val="0"/>
                  <w:marTop w:val="0"/>
                  <w:marBottom w:val="0"/>
                  <w:divBdr>
                    <w:top w:val="none" w:sz="0" w:space="0" w:color="auto"/>
                    <w:left w:val="none" w:sz="0" w:space="0" w:color="auto"/>
                    <w:bottom w:val="none" w:sz="0" w:space="0" w:color="auto"/>
                    <w:right w:val="none" w:sz="0" w:space="0" w:color="auto"/>
                  </w:divBdr>
                </w:div>
                <w:div w:id="16726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42144">
          <w:marLeft w:val="0"/>
          <w:marRight w:val="0"/>
          <w:marTop w:val="15"/>
          <w:marBottom w:val="0"/>
          <w:divBdr>
            <w:top w:val="none" w:sz="0" w:space="0" w:color="auto"/>
            <w:left w:val="none" w:sz="0" w:space="0" w:color="auto"/>
            <w:bottom w:val="none" w:sz="0" w:space="0" w:color="auto"/>
            <w:right w:val="none" w:sz="0" w:space="0" w:color="auto"/>
          </w:divBdr>
          <w:divsChild>
            <w:div w:id="1013916222">
              <w:marLeft w:val="0"/>
              <w:marRight w:val="0"/>
              <w:marTop w:val="0"/>
              <w:marBottom w:val="0"/>
              <w:divBdr>
                <w:top w:val="none" w:sz="0" w:space="0" w:color="auto"/>
                <w:left w:val="none" w:sz="0" w:space="0" w:color="auto"/>
                <w:bottom w:val="none" w:sz="0" w:space="0" w:color="auto"/>
                <w:right w:val="none" w:sz="0" w:space="0" w:color="auto"/>
              </w:divBdr>
              <w:divsChild>
                <w:div w:id="47464650">
                  <w:marLeft w:val="0"/>
                  <w:marRight w:val="0"/>
                  <w:marTop w:val="0"/>
                  <w:marBottom w:val="0"/>
                  <w:divBdr>
                    <w:top w:val="none" w:sz="0" w:space="0" w:color="auto"/>
                    <w:left w:val="none" w:sz="0" w:space="0" w:color="auto"/>
                    <w:bottom w:val="none" w:sz="0" w:space="0" w:color="auto"/>
                    <w:right w:val="none" w:sz="0" w:space="0" w:color="auto"/>
                  </w:divBdr>
                </w:div>
                <w:div w:id="147789651">
                  <w:marLeft w:val="0"/>
                  <w:marRight w:val="0"/>
                  <w:marTop w:val="0"/>
                  <w:marBottom w:val="0"/>
                  <w:divBdr>
                    <w:top w:val="none" w:sz="0" w:space="0" w:color="auto"/>
                    <w:left w:val="none" w:sz="0" w:space="0" w:color="auto"/>
                    <w:bottom w:val="none" w:sz="0" w:space="0" w:color="auto"/>
                    <w:right w:val="none" w:sz="0" w:space="0" w:color="auto"/>
                  </w:divBdr>
                </w:div>
                <w:div w:id="151067295">
                  <w:marLeft w:val="0"/>
                  <w:marRight w:val="0"/>
                  <w:marTop w:val="0"/>
                  <w:marBottom w:val="0"/>
                  <w:divBdr>
                    <w:top w:val="none" w:sz="0" w:space="0" w:color="auto"/>
                    <w:left w:val="none" w:sz="0" w:space="0" w:color="auto"/>
                    <w:bottom w:val="none" w:sz="0" w:space="0" w:color="auto"/>
                    <w:right w:val="none" w:sz="0" w:space="0" w:color="auto"/>
                  </w:divBdr>
                </w:div>
                <w:div w:id="177431031">
                  <w:marLeft w:val="0"/>
                  <w:marRight w:val="0"/>
                  <w:marTop w:val="0"/>
                  <w:marBottom w:val="0"/>
                  <w:divBdr>
                    <w:top w:val="none" w:sz="0" w:space="0" w:color="auto"/>
                    <w:left w:val="none" w:sz="0" w:space="0" w:color="auto"/>
                    <w:bottom w:val="none" w:sz="0" w:space="0" w:color="auto"/>
                    <w:right w:val="none" w:sz="0" w:space="0" w:color="auto"/>
                  </w:divBdr>
                </w:div>
                <w:div w:id="206188249">
                  <w:marLeft w:val="0"/>
                  <w:marRight w:val="0"/>
                  <w:marTop w:val="0"/>
                  <w:marBottom w:val="0"/>
                  <w:divBdr>
                    <w:top w:val="none" w:sz="0" w:space="0" w:color="auto"/>
                    <w:left w:val="none" w:sz="0" w:space="0" w:color="auto"/>
                    <w:bottom w:val="none" w:sz="0" w:space="0" w:color="auto"/>
                    <w:right w:val="none" w:sz="0" w:space="0" w:color="auto"/>
                  </w:divBdr>
                </w:div>
                <w:div w:id="253322822">
                  <w:marLeft w:val="0"/>
                  <w:marRight w:val="0"/>
                  <w:marTop w:val="0"/>
                  <w:marBottom w:val="0"/>
                  <w:divBdr>
                    <w:top w:val="none" w:sz="0" w:space="0" w:color="auto"/>
                    <w:left w:val="none" w:sz="0" w:space="0" w:color="auto"/>
                    <w:bottom w:val="none" w:sz="0" w:space="0" w:color="auto"/>
                    <w:right w:val="none" w:sz="0" w:space="0" w:color="auto"/>
                  </w:divBdr>
                </w:div>
                <w:div w:id="330064562">
                  <w:marLeft w:val="0"/>
                  <w:marRight w:val="0"/>
                  <w:marTop w:val="0"/>
                  <w:marBottom w:val="0"/>
                  <w:divBdr>
                    <w:top w:val="none" w:sz="0" w:space="0" w:color="auto"/>
                    <w:left w:val="none" w:sz="0" w:space="0" w:color="auto"/>
                    <w:bottom w:val="none" w:sz="0" w:space="0" w:color="auto"/>
                    <w:right w:val="none" w:sz="0" w:space="0" w:color="auto"/>
                  </w:divBdr>
                </w:div>
                <w:div w:id="350495436">
                  <w:marLeft w:val="0"/>
                  <w:marRight w:val="0"/>
                  <w:marTop w:val="0"/>
                  <w:marBottom w:val="0"/>
                  <w:divBdr>
                    <w:top w:val="none" w:sz="0" w:space="0" w:color="auto"/>
                    <w:left w:val="none" w:sz="0" w:space="0" w:color="auto"/>
                    <w:bottom w:val="none" w:sz="0" w:space="0" w:color="auto"/>
                    <w:right w:val="none" w:sz="0" w:space="0" w:color="auto"/>
                  </w:divBdr>
                </w:div>
                <w:div w:id="479544844">
                  <w:marLeft w:val="0"/>
                  <w:marRight w:val="0"/>
                  <w:marTop w:val="0"/>
                  <w:marBottom w:val="0"/>
                  <w:divBdr>
                    <w:top w:val="none" w:sz="0" w:space="0" w:color="auto"/>
                    <w:left w:val="none" w:sz="0" w:space="0" w:color="auto"/>
                    <w:bottom w:val="none" w:sz="0" w:space="0" w:color="auto"/>
                    <w:right w:val="none" w:sz="0" w:space="0" w:color="auto"/>
                  </w:divBdr>
                </w:div>
                <w:div w:id="495344378">
                  <w:marLeft w:val="0"/>
                  <w:marRight w:val="0"/>
                  <w:marTop w:val="0"/>
                  <w:marBottom w:val="0"/>
                  <w:divBdr>
                    <w:top w:val="none" w:sz="0" w:space="0" w:color="auto"/>
                    <w:left w:val="none" w:sz="0" w:space="0" w:color="auto"/>
                    <w:bottom w:val="none" w:sz="0" w:space="0" w:color="auto"/>
                    <w:right w:val="none" w:sz="0" w:space="0" w:color="auto"/>
                  </w:divBdr>
                </w:div>
                <w:div w:id="677000141">
                  <w:marLeft w:val="0"/>
                  <w:marRight w:val="0"/>
                  <w:marTop w:val="0"/>
                  <w:marBottom w:val="0"/>
                  <w:divBdr>
                    <w:top w:val="none" w:sz="0" w:space="0" w:color="auto"/>
                    <w:left w:val="none" w:sz="0" w:space="0" w:color="auto"/>
                    <w:bottom w:val="none" w:sz="0" w:space="0" w:color="auto"/>
                    <w:right w:val="none" w:sz="0" w:space="0" w:color="auto"/>
                  </w:divBdr>
                </w:div>
                <w:div w:id="711996264">
                  <w:marLeft w:val="0"/>
                  <w:marRight w:val="0"/>
                  <w:marTop w:val="0"/>
                  <w:marBottom w:val="0"/>
                  <w:divBdr>
                    <w:top w:val="none" w:sz="0" w:space="0" w:color="auto"/>
                    <w:left w:val="none" w:sz="0" w:space="0" w:color="auto"/>
                    <w:bottom w:val="none" w:sz="0" w:space="0" w:color="auto"/>
                    <w:right w:val="none" w:sz="0" w:space="0" w:color="auto"/>
                  </w:divBdr>
                </w:div>
                <w:div w:id="762338758">
                  <w:marLeft w:val="0"/>
                  <w:marRight w:val="0"/>
                  <w:marTop w:val="0"/>
                  <w:marBottom w:val="0"/>
                  <w:divBdr>
                    <w:top w:val="none" w:sz="0" w:space="0" w:color="auto"/>
                    <w:left w:val="none" w:sz="0" w:space="0" w:color="auto"/>
                    <w:bottom w:val="none" w:sz="0" w:space="0" w:color="auto"/>
                    <w:right w:val="none" w:sz="0" w:space="0" w:color="auto"/>
                  </w:divBdr>
                </w:div>
                <w:div w:id="823932285">
                  <w:marLeft w:val="0"/>
                  <w:marRight w:val="0"/>
                  <w:marTop w:val="0"/>
                  <w:marBottom w:val="0"/>
                  <w:divBdr>
                    <w:top w:val="none" w:sz="0" w:space="0" w:color="auto"/>
                    <w:left w:val="none" w:sz="0" w:space="0" w:color="auto"/>
                    <w:bottom w:val="none" w:sz="0" w:space="0" w:color="auto"/>
                    <w:right w:val="none" w:sz="0" w:space="0" w:color="auto"/>
                  </w:divBdr>
                </w:div>
                <w:div w:id="1108038593">
                  <w:marLeft w:val="0"/>
                  <w:marRight w:val="0"/>
                  <w:marTop w:val="0"/>
                  <w:marBottom w:val="0"/>
                  <w:divBdr>
                    <w:top w:val="none" w:sz="0" w:space="0" w:color="auto"/>
                    <w:left w:val="none" w:sz="0" w:space="0" w:color="auto"/>
                    <w:bottom w:val="none" w:sz="0" w:space="0" w:color="auto"/>
                    <w:right w:val="none" w:sz="0" w:space="0" w:color="auto"/>
                  </w:divBdr>
                </w:div>
                <w:div w:id="1187674121">
                  <w:marLeft w:val="0"/>
                  <w:marRight w:val="0"/>
                  <w:marTop w:val="0"/>
                  <w:marBottom w:val="0"/>
                  <w:divBdr>
                    <w:top w:val="none" w:sz="0" w:space="0" w:color="auto"/>
                    <w:left w:val="none" w:sz="0" w:space="0" w:color="auto"/>
                    <w:bottom w:val="none" w:sz="0" w:space="0" w:color="auto"/>
                    <w:right w:val="none" w:sz="0" w:space="0" w:color="auto"/>
                  </w:divBdr>
                </w:div>
                <w:div w:id="1434787786">
                  <w:marLeft w:val="0"/>
                  <w:marRight w:val="0"/>
                  <w:marTop w:val="0"/>
                  <w:marBottom w:val="0"/>
                  <w:divBdr>
                    <w:top w:val="none" w:sz="0" w:space="0" w:color="auto"/>
                    <w:left w:val="none" w:sz="0" w:space="0" w:color="auto"/>
                    <w:bottom w:val="none" w:sz="0" w:space="0" w:color="auto"/>
                    <w:right w:val="none" w:sz="0" w:space="0" w:color="auto"/>
                  </w:divBdr>
                </w:div>
                <w:div w:id="1455178109">
                  <w:marLeft w:val="0"/>
                  <w:marRight w:val="0"/>
                  <w:marTop w:val="0"/>
                  <w:marBottom w:val="0"/>
                  <w:divBdr>
                    <w:top w:val="none" w:sz="0" w:space="0" w:color="auto"/>
                    <w:left w:val="none" w:sz="0" w:space="0" w:color="auto"/>
                    <w:bottom w:val="none" w:sz="0" w:space="0" w:color="auto"/>
                    <w:right w:val="none" w:sz="0" w:space="0" w:color="auto"/>
                  </w:divBdr>
                </w:div>
                <w:div w:id="1471751422">
                  <w:marLeft w:val="0"/>
                  <w:marRight w:val="0"/>
                  <w:marTop w:val="0"/>
                  <w:marBottom w:val="0"/>
                  <w:divBdr>
                    <w:top w:val="none" w:sz="0" w:space="0" w:color="auto"/>
                    <w:left w:val="none" w:sz="0" w:space="0" w:color="auto"/>
                    <w:bottom w:val="none" w:sz="0" w:space="0" w:color="auto"/>
                    <w:right w:val="none" w:sz="0" w:space="0" w:color="auto"/>
                  </w:divBdr>
                </w:div>
                <w:div w:id="1534882941">
                  <w:marLeft w:val="0"/>
                  <w:marRight w:val="0"/>
                  <w:marTop w:val="0"/>
                  <w:marBottom w:val="0"/>
                  <w:divBdr>
                    <w:top w:val="none" w:sz="0" w:space="0" w:color="auto"/>
                    <w:left w:val="none" w:sz="0" w:space="0" w:color="auto"/>
                    <w:bottom w:val="none" w:sz="0" w:space="0" w:color="auto"/>
                    <w:right w:val="none" w:sz="0" w:space="0" w:color="auto"/>
                  </w:divBdr>
                </w:div>
                <w:div w:id="1552645219">
                  <w:marLeft w:val="0"/>
                  <w:marRight w:val="0"/>
                  <w:marTop w:val="0"/>
                  <w:marBottom w:val="0"/>
                  <w:divBdr>
                    <w:top w:val="none" w:sz="0" w:space="0" w:color="auto"/>
                    <w:left w:val="none" w:sz="0" w:space="0" w:color="auto"/>
                    <w:bottom w:val="none" w:sz="0" w:space="0" w:color="auto"/>
                    <w:right w:val="none" w:sz="0" w:space="0" w:color="auto"/>
                  </w:divBdr>
                </w:div>
                <w:div w:id="1572620362">
                  <w:marLeft w:val="0"/>
                  <w:marRight w:val="0"/>
                  <w:marTop w:val="0"/>
                  <w:marBottom w:val="0"/>
                  <w:divBdr>
                    <w:top w:val="none" w:sz="0" w:space="0" w:color="auto"/>
                    <w:left w:val="none" w:sz="0" w:space="0" w:color="auto"/>
                    <w:bottom w:val="none" w:sz="0" w:space="0" w:color="auto"/>
                    <w:right w:val="none" w:sz="0" w:space="0" w:color="auto"/>
                  </w:divBdr>
                </w:div>
                <w:div w:id="1631402818">
                  <w:marLeft w:val="0"/>
                  <w:marRight w:val="0"/>
                  <w:marTop w:val="0"/>
                  <w:marBottom w:val="0"/>
                  <w:divBdr>
                    <w:top w:val="none" w:sz="0" w:space="0" w:color="auto"/>
                    <w:left w:val="none" w:sz="0" w:space="0" w:color="auto"/>
                    <w:bottom w:val="none" w:sz="0" w:space="0" w:color="auto"/>
                    <w:right w:val="none" w:sz="0" w:space="0" w:color="auto"/>
                  </w:divBdr>
                </w:div>
                <w:div w:id="1639337835">
                  <w:marLeft w:val="0"/>
                  <w:marRight w:val="0"/>
                  <w:marTop w:val="0"/>
                  <w:marBottom w:val="0"/>
                  <w:divBdr>
                    <w:top w:val="none" w:sz="0" w:space="0" w:color="auto"/>
                    <w:left w:val="none" w:sz="0" w:space="0" w:color="auto"/>
                    <w:bottom w:val="none" w:sz="0" w:space="0" w:color="auto"/>
                    <w:right w:val="none" w:sz="0" w:space="0" w:color="auto"/>
                  </w:divBdr>
                </w:div>
                <w:div w:id="1822112048">
                  <w:marLeft w:val="0"/>
                  <w:marRight w:val="0"/>
                  <w:marTop w:val="0"/>
                  <w:marBottom w:val="0"/>
                  <w:divBdr>
                    <w:top w:val="none" w:sz="0" w:space="0" w:color="auto"/>
                    <w:left w:val="none" w:sz="0" w:space="0" w:color="auto"/>
                    <w:bottom w:val="none" w:sz="0" w:space="0" w:color="auto"/>
                    <w:right w:val="none" w:sz="0" w:space="0" w:color="auto"/>
                  </w:divBdr>
                </w:div>
                <w:div w:id="1828328619">
                  <w:marLeft w:val="0"/>
                  <w:marRight w:val="0"/>
                  <w:marTop w:val="0"/>
                  <w:marBottom w:val="0"/>
                  <w:divBdr>
                    <w:top w:val="none" w:sz="0" w:space="0" w:color="auto"/>
                    <w:left w:val="none" w:sz="0" w:space="0" w:color="auto"/>
                    <w:bottom w:val="none" w:sz="0" w:space="0" w:color="auto"/>
                    <w:right w:val="none" w:sz="0" w:space="0" w:color="auto"/>
                  </w:divBdr>
                </w:div>
                <w:div w:id="1839611292">
                  <w:marLeft w:val="0"/>
                  <w:marRight w:val="0"/>
                  <w:marTop w:val="0"/>
                  <w:marBottom w:val="0"/>
                  <w:divBdr>
                    <w:top w:val="none" w:sz="0" w:space="0" w:color="auto"/>
                    <w:left w:val="none" w:sz="0" w:space="0" w:color="auto"/>
                    <w:bottom w:val="none" w:sz="0" w:space="0" w:color="auto"/>
                    <w:right w:val="none" w:sz="0" w:space="0" w:color="auto"/>
                  </w:divBdr>
                </w:div>
                <w:div w:id="1953199690">
                  <w:marLeft w:val="0"/>
                  <w:marRight w:val="0"/>
                  <w:marTop w:val="0"/>
                  <w:marBottom w:val="0"/>
                  <w:divBdr>
                    <w:top w:val="none" w:sz="0" w:space="0" w:color="auto"/>
                    <w:left w:val="none" w:sz="0" w:space="0" w:color="auto"/>
                    <w:bottom w:val="none" w:sz="0" w:space="0" w:color="auto"/>
                    <w:right w:val="none" w:sz="0" w:space="0" w:color="auto"/>
                  </w:divBdr>
                </w:div>
                <w:div w:id="197200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5546">
          <w:marLeft w:val="0"/>
          <w:marRight w:val="0"/>
          <w:marTop w:val="15"/>
          <w:marBottom w:val="0"/>
          <w:divBdr>
            <w:top w:val="none" w:sz="0" w:space="0" w:color="auto"/>
            <w:left w:val="none" w:sz="0" w:space="0" w:color="auto"/>
            <w:bottom w:val="none" w:sz="0" w:space="0" w:color="auto"/>
            <w:right w:val="none" w:sz="0" w:space="0" w:color="auto"/>
          </w:divBdr>
          <w:divsChild>
            <w:div w:id="1978367330">
              <w:marLeft w:val="0"/>
              <w:marRight w:val="0"/>
              <w:marTop w:val="0"/>
              <w:marBottom w:val="0"/>
              <w:divBdr>
                <w:top w:val="none" w:sz="0" w:space="0" w:color="auto"/>
                <w:left w:val="none" w:sz="0" w:space="0" w:color="auto"/>
                <w:bottom w:val="none" w:sz="0" w:space="0" w:color="auto"/>
                <w:right w:val="none" w:sz="0" w:space="0" w:color="auto"/>
              </w:divBdr>
              <w:divsChild>
                <w:div w:id="14236478">
                  <w:marLeft w:val="0"/>
                  <w:marRight w:val="0"/>
                  <w:marTop w:val="0"/>
                  <w:marBottom w:val="0"/>
                  <w:divBdr>
                    <w:top w:val="none" w:sz="0" w:space="0" w:color="auto"/>
                    <w:left w:val="none" w:sz="0" w:space="0" w:color="auto"/>
                    <w:bottom w:val="none" w:sz="0" w:space="0" w:color="auto"/>
                    <w:right w:val="none" w:sz="0" w:space="0" w:color="auto"/>
                  </w:divBdr>
                </w:div>
                <w:div w:id="159318166">
                  <w:marLeft w:val="0"/>
                  <w:marRight w:val="0"/>
                  <w:marTop w:val="0"/>
                  <w:marBottom w:val="0"/>
                  <w:divBdr>
                    <w:top w:val="none" w:sz="0" w:space="0" w:color="auto"/>
                    <w:left w:val="none" w:sz="0" w:space="0" w:color="auto"/>
                    <w:bottom w:val="none" w:sz="0" w:space="0" w:color="auto"/>
                    <w:right w:val="none" w:sz="0" w:space="0" w:color="auto"/>
                  </w:divBdr>
                </w:div>
                <w:div w:id="187378602">
                  <w:marLeft w:val="0"/>
                  <w:marRight w:val="0"/>
                  <w:marTop w:val="0"/>
                  <w:marBottom w:val="0"/>
                  <w:divBdr>
                    <w:top w:val="none" w:sz="0" w:space="0" w:color="auto"/>
                    <w:left w:val="none" w:sz="0" w:space="0" w:color="auto"/>
                    <w:bottom w:val="none" w:sz="0" w:space="0" w:color="auto"/>
                    <w:right w:val="none" w:sz="0" w:space="0" w:color="auto"/>
                  </w:divBdr>
                </w:div>
                <w:div w:id="394354344">
                  <w:marLeft w:val="0"/>
                  <w:marRight w:val="0"/>
                  <w:marTop w:val="0"/>
                  <w:marBottom w:val="0"/>
                  <w:divBdr>
                    <w:top w:val="none" w:sz="0" w:space="0" w:color="auto"/>
                    <w:left w:val="none" w:sz="0" w:space="0" w:color="auto"/>
                    <w:bottom w:val="none" w:sz="0" w:space="0" w:color="auto"/>
                    <w:right w:val="none" w:sz="0" w:space="0" w:color="auto"/>
                  </w:divBdr>
                </w:div>
                <w:div w:id="517695247">
                  <w:marLeft w:val="0"/>
                  <w:marRight w:val="0"/>
                  <w:marTop w:val="0"/>
                  <w:marBottom w:val="0"/>
                  <w:divBdr>
                    <w:top w:val="none" w:sz="0" w:space="0" w:color="auto"/>
                    <w:left w:val="none" w:sz="0" w:space="0" w:color="auto"/>
                    <w:bottom w:val="none" w:sz="0" w:space="0" w:color="auto"/>
                    <w:right w:val="none" w:sz="0" w:space="0" w:color="auto"/>
                  </w:divBdr>
                </w:div>
                <w:div w:id="526023318">
                  <w:marLeft w:val="0"/>
                  <w:marRight w:val="0"/>
                  <w:marTop w:val="0"/>
                  <w:marBottom w:val="0"/>
                  <w:divBdr>
                    <w:top w:val="none" w:sz="0" w:space="0" w:color="auto"/>
                    <w:left w:val="none" w:sz="0" w:space="0" w:color="auto"/>
                    <w:bottom w:val="none" w:sz="0" w:space="0" w:color="auto"/>
                    <w:right w:val="none" w:sz="0" w:space="0" w:color="auto"/>
                  </w:divBdr>
                </w:div>
                <w:div w:id="607853334">
                  <w:marLeft w:val="0"/>
                  <w:marRight w:val="0"/>
                  <w:marTop w:val="0"/>
                  <w:marBottom w:val="0"/>
                  <w:divBdr>
                    <w:top w:val="none" w:sz="0" w:space="0" w:color="auto"/>
                    <w:left w:val="none" w:sz="0" w:space="0" w:color="auto"/>
                    <w:bottom w:val="none" w:sz="0" w:space="0" w:color="auto"/>
                    <w:right w:val="none" w:sz="0" w:space="0" w:color="auto"/>
                  </w:divBdr>
                </w:div>
                <w:div w:id="725029012">
                  <w:marLeft w:val="0"/>
                  <w:marRight w:val="0"/>
                  <w:marTop w:val="0"/>
                  <w:marBottom w:val="0"/>
                  <w:divBdr>
                    <w:top w:val="none" w:sz="0" w:space="0" w:color="auto"/>
                    <w:left w:val="none" w:sz="0" w:space="0" w:color="auto"/>
                    <w:bottom w:val="none" w:sz="0" w:space="0" w:color="auto"/>
                    <w:right w:val="none" w:sz="0" w:space="0" w:color="auto"/>
                  </w:divBdr>
                </w:div>
                <w:div w:id="837158865">
                  <w:marLeft w:val="0"/>
                  <w:marRight w:val="0"/>
                  <w:marTop w:val="0"/>
                  <w:marBottom w:val="0"/>
                  <w:divBdr>
                    <w:top w:val="none" w:sz="0" w:space="0" w:color="auto"/>
                    <w:left w:val="none" w:sz="0" w:space="0" w:color="auto"/>
                    <w:bottom w:val="none" w:sz="0" w:space="0" w:color="auto"/>
                    <w:right w:val="none" w:sz="0" w:space="0" w:color="auto"/>
                  </w:divBdr>
                </w:div>
                <w:div w:id="859274877">
                  <w:marLeft w:val="0"/>
                  <w:marRight w:val="0"/>
                  <w:marTop w:val="0"/>
                  <w:marBottom w:val="0"/>
                  <w:divBdr>
                    <w:top w:val="none" w:sz="0" w:space="0" w:color="auto"/>
                    <w:left w:val="none" w:sz="0" w:space="0" w:color="auto"/>
                    <w:bottom w:val="none" w:sz="0" w:space="0" w:color="auto"/>
                    <w:right w:val="none" w:sz="0" w:space="0" w:color="auto"/>
                  </w:divBdr>
                </w:div>
                <w:div w:id="977223538">
                  <w:marLeft w:val="0"/>
                  <w:marRight w:val="0"/>
                  <w:marTop w:val="0"/>
                  <w:marBottom w:val="0"/>
                  <w:divBdr>
                    <w:top w:val="none" w:sz="0" w:space="0" w:color="auto"/>
                    <w:left w:val="none" w:sz="0" w:space="0" w:color="auto"/>
                    <w:bottom w:val="none" w:sz="0" w:space="0" w:color="auto"/>
                    <w:right w:val="none" w:sz="0" w:space="0" w:color="auto"/>
                  </w:divBdr>
                </w:div>
                <w:div w:id="1005329885">
                  <w:marLeft w:val="0"/>
                  <w:marRight w:val="0"/>
                  <w:marTop w:val="0"/>
                  <w:marBottom w:val="0"/>
                  <w:divBdr>
                    <w:top w:val="none" w:sz="0" w:space="0" w:color="auto"/>
                    <w:left w:val="none" w:sz="0" w:space="0" w:color="auto"/>
                    <w:bottom w:val="none" w:sz="0" w:space="0" w:color="auto"/>
                    <w:right w:val="none" w:sz="0" w:space="0" w:color="auto"/>
                  </w:divBdr>
                </w:div>
                <w:div w:id="1031420194">
                  <w:marLeft w:val="0"/>
                  <w:marRight w:val="0"/>
                  <w:marTop w:val="0"/>
                  <w:marBottom w:val="0"/>
                  <w:divBdr>
                    <w:top w:val="none" w:sz="0" w:space="0" w:color="auto"/>
                    <w:left w:val="none" w:sz="0" w:space="0" w:color="auto"/>
                    <w:bottom w:val="none" w:sz="0" w:space="0" w:color="auto"/>
                    <w:right w:val="none" w:sz="0" w:space="0" w:color="auto"/>
                  </w:divBdr>
                </w:div>
                <w:div w:id="1038746729">
                  <w:marLeft w:val="0"/>
                  <w:marRight w:val="0"/>
                  <w:marTop w:val="0"/>
                  <w:marBottom w:val="0"/>
                  <w:divBdr>
                    <w:top w:val="none" w:sz="0" w:space="0" w:color="auto"/>
                    <w:left w:val="none" w:sz="0" w:space="0" w:color="auto"/>
                    <w:bottom w:val="none" w:sz="0" w:space="0" w:color="auto"/>
                    <w:right w:val="none" w:sz="0" w:space="0" w:color="auto"/>
                  </w:divBdr>
                </w:div>
                <w:div w:id="1276326776">
                  <w:marLeft w:val="0"/>
                  <w:marRight w:val="0"/>
                  <w:marTop w:val="0"/>
                  <w:marBottom w:val="0"/>
                  <w:divBdr>
                    <w:top w:val="none" w:sz="0" w:space="0" w:color="auto"/>
                    <w:left w:val="none" w:sz="0" w:space="0" w:color="auto"/>
                    <w:bottom w:val="none" w:sz="0" w:space="0" w:color="auto"/>
                    <w:right w:val="none" w:sz="0" w:space="0" w:color="auto"/>
                  </w:divBdr>
                </w:div>
                <w:div w:id="1387021945">
                  <w:marLeft w:val="0"/>
                  <w:marRight w:val="0"/>
                  <w:marTop w:val="0"/>
                  <w:marBottom w:val="0"/>
                  <w:divBdr>
                    <w:top w:val="none" w:sz="0" w:space="0" w:color="auto"/>
                    <w:left w:val="none" w:sz="0" w:space="0" w:color="auto"/>
                    <w:bottom w:val="none" w:sz="0" w:space="0" w:color="auto"/>
                    <w:right w:val="none" w:sz="0" w:space="0" w:color="auto"/>
                  </w:divBdr>
                </w:div>
                <w:div w:id="1397438267">
                  <w:marLeft w:val="0"/>
                  <w:marRight w:val="0"/>
                  <w:marTop w:val="0"/>
                  <w:marBottom w:val="0"/>
                  <w:divBdr>
                    <w:top w:val="none" w:sz="0" w:space="0" w:color="auto"/>
                    <w:left w:val="none" w:sz="0" w:space="0" w:color="auto"/>
                    <w:bottom w:val="none" w:sz="0" w:space="0" w:color="auto"/>
                    <w:right w:val="none" w:sz="0" w:space="0" w:color="auto"/>
                  </w:divBdr>
                </w:div>
                <w:div w:id="1557206264">
                  <w:marLeft w:val="0"/>
                  <w:marRight w:val="0"/>
                  <w:marTop w:val="0"/>
                  <w:marBottom w:val="0"/>
                  <w:divBdr>
                    <w:top w:val="none" w:sz="0" w:space="0" w:color="auto"/>
                    <w:left w:val="none" w:sz="0" w:space="0" w:color="auto"/>
                    <w:bottom w:val="none" w:sz="0" w:space="0" w:color="auto"/>
                    <w:right w:val="none" w:sz="0" w:space="0" w:color="auto"/>
                  </w:divBdr>
                </w:div>
                <w:div w:id="1607543916">
                  <w:marLeft w:val="0"/>
                  <w:marRight w:val="0"/>
                  <w:marTop w:val="0"/>
                  <w:marBottom w:val="0"/>
                  <w:divBdr>
                    <w:top w:val="none" w:sz="0" w:space="0" w:color="auto"/>
                    <w:left w:val="none" w:sz="0" w:space="0" w:color="auto"/>
                    <w:bottom w:val="none" w:sz="0" w:space="0" w:color="auto"/>
                    <w:right w:val="none" w:sz="0" w:space="0" w:color="auto"/>
                  </w:divBdr>
                </w:div>
                <w:div w:id="1635135052">
                  <w:marLeft w:val="0"/>
                  <w:marRight w:val="0"/>
                  <w:marTop w:val="0"/>
                  <w:marBottom w:val="0"/>
                  <w:divBdr>
                    <w:top w:val="none" w:sz="0" w:space="0" w:color="auto"/>
                    <w:left w:val="none" w:sz="0" w:space="0" w:color="auto"/>
                    <w:bottom w:val="none" w:sz="0" w:space="0" w:color="auto"/>
                    <w:right w:val="none" w:sz="0" w:space="0" w:color="auto"/>
                  </w:divBdr>
                </w:div>
                <w:div w:id="1648048802">
                  <w:marLeft w:val="0"/>
                  <w:marRight w:val="0"/>
                  <w:marTop w:val="0"/>
                  <w:marBottom w:val="0"/>
                  <w:divBdr>
                    <w:top w:val="none" w:sz="0" w:space="0" w:color="auto"/>
                    <w:left w:val="none" w:sz="0" w:space="0" w:color="auto"/>
                    <w:bottom w:val="none" w:sz="0" w:space="0" w:color="auto"/>
                    <w:right w:val="none" w:sz="0" w:space="0" w:color="auto"/>
                  </w:divBdr>
                </w:div>
                <w:div w:id="1659503311">
                  <w:marLeft w:val="0"/>
                  <w:marRight w:val="0"/>
                  <w:marTop w:val="0"/>
                  <w:marBottom w:val="0"/>
                  <w:divBdr>
                    <w:top w:val="none" w:sz="0" w:space="0" w:color="auto"/>
                    <w:left w:val="none" w:sz="0" w:space="0" w:color="auto"/>
                    <w:bottom w:val="none" w:sz="0" w:space="0" w:color="auto"/>
                    <w:right w:val="none" w:sz="0" w:space="0" w:color="auto"/>
                  </w:divBdr>
                </w:div>
                <w:div w:id="1660965699">
                  <w:marLeft w:val="0"/>
                  <w:marRight w:val="0"/>
                  <w:marTop w:val="0"/>
                  <w:marBottom w:val="0"/>
                  <w:divBdr>
                    <w:top w:val="none" w:sz="0" w:space="0" w:color="auto"/>
                    <w:left w:val="none" w:sz="0" w:space="0" w:color="auto"/>
                    <w:bottom w:val="none" w:sz="0" w:space="0" w:color="auto"/>
                    <w:right w:val="none" w:sz="0" w:space="0" w:color="auto"/>
                  </w:divBdr>
                </w:div>
                <w:div w:id="1770200312">
                  <w:marLeft w:val="0"/>
                  <w:marRight w:val="0"/>
                  <w:marTop w:val="0"/>
                  <w:marBottom w:val="0"/>
                  <w:divBdr>
                    <w:top w:val="none" w:sz="0" w:space="0" w:color="auto"/>
                    <w:left w:val="none" w:sz="0" w:space="0" w:color="auto"/>
                    <w:bottom w:val="none" w:sz="0" w:space="0" w:color="auto"/>
                    <w:right w:val="none" w:sz="0" w:space="0" w:color="auto"/>
                  </w:divBdr>
                </w:div>
                <w:div w:id="1903980022">
                  <w:marLeft w:val="0"/>
                  <w:marRight w:val="0"/>
                  <w:marTop w:val="0"/>
                  <w:marBottom w:val="0"/>
                  <w:divBdr>
                    <w:top w:val="none" w:sz="0" w:space="0" w:color="auto"/>
                    <w:left w:val="none" w:sz="0" w:space="0" w:color="auto"/>
                    <w:bottom w:val="none" w:sz="0" w:space="0" w:color="auto"/>
                    <w:right w:val="none" w:sz="0" w:space="0" w:color="auto"/>
                  </w:divBdr>
                </w:div>
                <w:div w:id="2020498358">
                  <w:marLeft w:val="0"/>
                  <w:marRight w:val="0"/>
                  <w:marTop w:val="0"/>
                  <w:marBottom w:val="0"/>
                  <w:divBdr>
                    <w:top w:val="none" w:sz="0" w:space="0" w:color="auto"/>
                    <w:left w:val="none" w:sz="0" w:space="0" w:color="auto"/>
                    <w:bottom w:val="none" w:sz="0" w:space="0" w:color="auto"/>
                    <w:right w:val="none" w:sz="0" w:space="0" w:color="auto"/>
                  </w:divBdr>
                </w:div>
                <w:div w:id="204382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4797">
          <w:marLeft w:val="0"/>
          <w:marRight w:val="0"/>
          <w:marTop w:val="15"/>
          <w:marBottom w:val="0"/>
          <w:divBdr>
            <w:top w:val="none" w:sz="0" w:space="0" w:color="auto"/>
            <w:left w:val="none" w:sz="0" w:space="0" w:color="auto"/>
            <w:bottom w:val="none" w:sz="0" w:space="0" w:color="auto"/>
            <w:right w:val="none" w:sz="0" w:space="0" w:color="auto"/>
          </w:divBdr>
          <w:divsChild>
            <w:div w:id="1783918785">
              <w:marLeft w:val="0"/>
              <w:marRight w:val="0"/>
              <w:marTop w:val="0"/>
              <w:marBottom w:val="0"/>
              <w:divBdr>
                <w:top w:val="none" w:sz="0" w:space="0" w:color="auto"/>
                <w:left w:val="none" w:sz="0" w:space="0" w:color="auto"/>
                <w:bottom w:val="none" w:sz="0" w:space="0" w:color="auto"/>
                <w:right w:val="none" w:sz="0" w:space="0" w:color="auto"/>
              </w:divBdr>
              <w:divsChild>
                <w:div w:id="15350888">
                  <w:marLeft w:val="0"/>
                  <w:marRight w:val="0"/>
                  <w:marTop w:val="0"/>
                  <w:marBottom w:val="0"/>
                  <w:divBdr>
                    <w:top w:val="none" w:sz="0" w:space="0" w:color="auto"/>
                    <w:left w:val="none" w:sz="0" w:space="0" w:color="auto"/>
                    <w:bottom w:val="none" w:sz="0" w:space="0" w:color="auto"/>
                    <w:right w:val="none" w:sz="0" w:space="0" w:color="auto"/>
                  </w:divBdr>
                </w:div>
                <w:div w:id="70978271">
                  <w:marLeft w:val="0"/>
                  <w:marRight w:val="0"/>
                  <w:marTop w:val="0"/>
                  <w:marBottom w:val="0"/>
                  <w:divBdr>
                    <w:top w:val="none" w:sz="0" w:space="0" w:color="auto"/>
                    <w:left w:val="none" w:sz="0" w:space="0" w:color="auto"/>
                    <w:bottom w:val="none" w:sz="0" w:space="0" w:color="auto"/>
                    <w:right w:val="none" w:sz="0" w:space="0" w:color="auto"/>
                  </w:divBdr>
                </w:div>
                <w:div w:id="267860303">
                  <w:marLeft w:val="0"/>
                  <w:marRight w:val="0"/>
                  <w:marTop w:val="0"/>
                  <w:marBottom w:val="0"/>
                  <w:divBdr>
                    <w:top w:val="none" w:sz="0" w:space="0" w:color="auto"/>
                    <w:left w:val="none" w:sz="0" w:space="0" w:color="auto"/>
                    <w:bottom w:val="none" w:sz="0" w:space="0" w:color="auto"/>
                    <w:right w:val="none" w:sz="0" w:space="0" w:color="auto"/>
                  </w:divBdr>
                </w:div>
                <w:div w:id="351029646">
                  <w:marLeft w:val="0"/>
                  <w:marRight w:val="0"/>
                  <w:marTop w:val="0"/>
                  <w:marBottom w:val="0"/>
                  <w:divBdr>
                    <w:top w:val="none" w:sz="0" w:space="0" w:color="auto"/>
                    <w:left w:val="none" w:sz="0" w:space="0" w:color="auto"/>
                    <w:bottom w:val="none" w:sz="0" w:space="0" w:color="auto"/>
                    <w:right w:val="none" w:sz="0" w:space="0" w:color="auto"/>
                  </w:divBdr>
                </w:div>
                <w:div w:id="356128148">
                  <w:marLeft w:val="0"/>
                  <w:marRight w:val="0"/>
                  <w:marTop w:val="0"/>
                  <w:marBottom w:val="0"/>
                  <w:divBdr>
                    <w:top w:val="none" w:sz="0" w:space="0" w:color="auto"/>
                    <w:left w:val="none" w:sz="0" w:space="0" w:color="auto"/>
                    <w:bottom w:val="none" w:sz="0" w:space="0" w:color="auto"/>
                    <w:right w:val="none" w:sz="0" w:space="0" w:color="auto"/>
                  </w:divBdr>
                </w:div>
                <w:div w:id="362292321">
                  <w:marLeft w:val="0"/>
                  <w:marRight w:val="0"/>
                  <w:marTop w:val="0"/>
                  <w:marBottom w:val="0"/>
                  <w:divBdr>
                    <w:top w:val="none" w:sz="0" w:space="0" w:color="auto"/>
                    <w:left w:val="none" w:sz="0" w:space="0" w:color="auto"/>
                    <w:bottom w:val="none" w:sz="0" w:space="0" w:color="auto"/>
                    <w:right w:val="none" w:sz="0" w:space="0" w:color="auto"/>
                  </w:divBdr>
                </w:div>
                <w:div w:id="383866953">
                  <w:marLeft w:val="0"/>
                  <w:marRight w:val="0"/>
                  <w:marTop w:val="0"/>
                  <w:marBottom w:val="0"/>
                  <w:divBdr>
                    <w:top w:val="none" w:sz="0" w:space="0" w:color="auto"/>
                    <w:left w:val="none" w:sz="0" w:space="0" w:color="auto"/>
                    <w:bottom w:val="none" w:sz="0" w:space="0" w:color="auto"/>
                    <w:right w:val="none" w:sz="0" w:space="0" w:color="auto"/>
                  </w:divBdr>
                </w:div>
                <w:div w:id="433132668">
                  <w:marLeft w:val="0"/>
                  <w:marRight w:val="0"/>
                  <w:marTop w:val="0"/>
                  <w:marBottom w:val="0"/>
                  <w:divBdr>
                    <w:top w:val="none" w:sz="0" w:space="0" w:color="auto"/>
                    <w:left w:val="none" w:sz="0" w:space="0" w:color="auto"/>
                    <w:bottom w:val="none" w:sz="0" w:space="0" w:color="auto"/>
                    <w:right w:val="none" w:sz="0" w:space="0" w:color="auto"/>
                  </w:divBdr>
                </w:div>
                <w:div w:id="451216572">
                  <w:marLeft w:val="0"/>
                  <w:marRight w:val="0"/>
                  <w:marTop w:val="0"/>
                  <w:marBottom w:val="0"/>
                  <w:divBdr>
                    <w:top w:val="none" w:sz="0" w:space="0" w:color="auto"/>
                    <w:left w:val="none" w:sz="0" w:space="0" w:color="auto"/>
                    <w:bottom w:val="none" w:sz="0" w:space="0" w:color="auto"/>
                    <w:right w:val="none" w:sz="0" w:space="0" w:color="auto"/>
                  </w:divBdr>
                </w:div>
                <w:div w:id="454063908">
                  <w:marLeft w:val="0"/>
                  <w:marRight w:val="0"/>
                  <w:marTop w:val="0"/>
                  <w:marBottom w:val="0"/>
                  <w:divBdr>
                    <w:top w:val="none" w:sz="0" w:space="0" w:color="auto"/>
                    <w:left w:val="none" w:sz="0" w:space="0" w:color="auto"/>
                    <w:bottom w:val="none" w:sz="0" w:space="0" w:color="auto"/>
                    <w:right w:val="none" w:sz="0" w:space="0" w:color="auto"/>
                  </w:divBdr>
                </w:div>
                <w:div w:id="601688100">
                  <w:marLeft w:val="0"/>
                  <w:marRight w:val="0"/>
                  <w:marTop w:val="0"/>
                  <w:marBottom w:val="0"/>
                  <w:divBdr>
                    <w:top w:val="none" w:sz="0" w:space="0" w:color="auto"/>
                    <w:left w:val="none" w:sz="0" w:space="0" w:color="auto"/>
                    <w:bottom w:val="none" w:sz="0" w:space="0" w:color="auto"/>
                    <w:right w:val="none" w:sz="0" w:space="0" w:color="auto"/>
                  </w:divBdr>
                </w:div>
                <w:div w:id="628363626">
                  <w:marLeft w:val="0"/>
                  <w:marRight w:val="0"/>
                  <w:marTop w:val="0"/>
                  <w:marBottom w:val="0"/>
                  <w:divBdr>
                    <w:top w:val="none" w:sz="0" w:space="0" w:color="auto"/>
                    <w:left w:val="none" w:sz="0" w:space="0" w:color="auto"/>
                    <w:bottom w:val="none" w:sz="0" w:space="0" w:color="auto"/>
                    <w:right w:val="none" w:sz="0" w:space="0" w:color="auto"/>
                  </w:divBdr>
                </w:div>
                <w:div w:id="659775428">
                  <w:marLeft w:val="0"/>
                  <w:marRight w:val="0"/>
                  <w:marTop w:val="0"/>
                  <w:marBottom w:val="0"/>
                  <w:divBdr>
                    <w:top w:val="none" w:sz="0" w:space="0" w:color="auto"/>
                    <w:left w:val="none" w:sz="0" w:space="0" w:color="auto"/>
                    <w:bottom w:val="none" w:sz="0" w:space="0" w:color="auto"/>
                    <w:right w:val="none" w:sz="0" w:space="0" w:color="auto"/>
                  </w:divBdr>
                </w:div>
                <w:div w:id="811018446">
                  <w:marLeft w:val="0"/>
                  <w:marRight w:val="0"/>
                  <w:marTop w:val="0"/>
                  <w:marBottom w:val="0"/>
                  <w:divBdr>
                    <w:top w:val="none" w:sz="0" w:space="0" w:color="auto"/>
                    <w:left w:val="none" w:sz="0" w:space="0" w:color="auto"/>
                    <w:bottom w:val="none" w:sz="0" w:space="0" w:color="auto"/>
                    <w:right w:val="none" w:sz="0" w:space="0" w:color="auto"/>
                  </w:divBdr>
                </w:div>
                <w:div w:id="1040015748">
                  <w:marLeft w:val="0"/>
                  <w:marRight w:val="0"/>
                  <w:marTop w:val="0"/>
                  <w:marBottom w:val="0"/>
                  <w:divBdr>
                    <w:top w:val="none" w:sz="0" w:space="0" w:color="auto"/>
                    <w:left w:val="none" w:sz="0" w:space="0" w:color="auto"/>
                    <w:bottom w:val="none" w:sz="0" w:space="0" w:color="auto"/>
                    <w:right w:val="none" w:sz="0" w:space="0" w:color="auto"/>
                  </w:divBdr>
                </w:div>
                <w:div w:id="1139881054">
                  <w:marLeft w:val="0"/>
                  <w:marRight w:val="0"/>
                  <w:marTop w:val="0"/>
                  <w:marBottom w:val="0"/>
                  <w:divBdr>
                    <w:top w:val="none" w:sz="0" w:space="0" w:color="auto"/>
                    <w:left w:val="none" w:sz="0" w:space="0" w:color="auto"/>
                    <w:bottom w:val="none" w:sz="0" w:space="0" w:color="auto"/>
                    <w:right w:val="none" w:sz="0" w:space="0" w:color="auto"/>
                  </w:divBdr>
                </w:div>
                <w:div w:id="1265765697">
                  <w:marLeft w:val="0"/>
                  <w:marRight w:val="0"/>
                  <w:marTop w:val="0"/>
                  <w:marBottom w:val="0"/>
                  <w:divBdr>
                    <w:top w:val="none" w:sz="0" w:space="0" w:color="auto"/>
                    <w:left w:val="none" w:sz="0" w:space="0" w:color="auto"/>
                    <w:bottom w:val="none" w:sz="0" w:space="0" w:color="auto"/>
                    <w:right w:val="none" w:sz="0" w:space="0" w:color="auto"/>
                  </w:divBdr>
                </w:div>
                <w:div w:id="1281457123">
                  <w:marLeft w:val="0"/>
                  <w:marRight w:val="0"/>
                  <w:marTop w:val="0"/>
                  <w:marBottom w:val="0"/>
                  <w:divBdr>
                    <w:top w:val="none" w:sz="0" w:space="0" w:color="auto"/>
                    <w:left w:val="none" w:sz="0" w:space="0" w:color="auto"/>
                    <w:bottom w:val="none" w:sz="0" w:space="0" w:color="auto"/>
                    <w:right w:val="none" w:sz="0" w:space="0" w:color="auto"/>
                  </w:divBdr>
                </w:div>
                <w:div w:id="1306620819">
                  <w:marLeft w:val="0"/>
                  <w:marRight w:val="0"/>
                  <w:marTop w:val="0"/>
                  <w:marBottom w:val="0"/>
                  <w:divBdr>
                    <w:top w:val="none" w:sz="0" w:space="0" w:color="auto"/>
                    <w:left w:val="none" w:sz="0" w:space="0" w:color="auto"/>
                    <w:bottom w:val="none" w:sz="0" w:space="0" w:color="auto"/>
                    <w:right w:val="none" w:sz="0" w:space="0" w:color="auto"/>
                  </w:divBdr>
                </w:div>
                <w:div w:id="1405641972">
                  <w:marLeft w:val="0"/>
                  <w:marRight w:val="0"/>
                  <w:marTop w:val="0"/>
                  <w:marBottom w:val="0"/>
                  <w:divBdr>
                    <w:top w:val="none" w:sz="0" w:space="0" w:color="auto"/>
                    <w:left w:val="none" w:sz="0" w:space="0" w:color="auto"/>
                    <w:bottom w:val="none" w:sz="0" w:space="0" w:color="auto"/>
                    <w:right w:val="none" w:sz="0" w:space="0" w:color="auto"/>
                  </w:divBdr>
                </w:div>
                <w:div w:id="1438914707">
                  <w:marLeft w:val="0"/>
                  <w:marRight w:val="0"/>
                  <w:marTop w:val="0"/>
                  <w:marBottom w:val="0"/>
                  <w:divBdr>
                    <w:top w:val="none" w:sz="0" w:space="0" w:color="auto"/>
                    <w:left w:val="none" w:sz="0" w:space="0" w:color="auto"/>
                    <w:bottom w:val="none" w:sz="0" w:space="0" w:color="auto"/>
                    <w:right w:val="none" w:sz="0" w:space="0" w:color="auto"/>
                  </w:divBdr>
                </w:div>
                <w:div w:id="1566717686">
                  <w:marLeft w:val="0"/>
                  <w:marRight w:val="0"/>
                  <w:marTop w:val="0"/>
                  <w:marBottom w:val="0"/>
                  <w:divBdr>
                    <w:top w:val="none" w:sz="0" w:space="0" w:color="auto"/>
                    <w:left w:val="none" w:sz="0" w:space="0" w:color="auto"/>
                    <w:bottom w:val="none" w:sz="0" w:space="0" w:color="auto"/>
                    <w:right w:val="none" w:sz="0" w:space="0" w:color="auto"/>
                  </w:divBdr>
                </w:div>
                <w:div w:id="1579318249">
                  <w:marLeft w:val="0"/>
                  <w:marRight w:val="0"/>
                  <w:marTop w:val="0"/>
                  <w:marBottom w:val="0"/>
                  <w:divBdr>
                    <w:top w:val="none" w:sz="0" w:space="0" w:color="auto"/>
                    <w:left w:val="none" w:sz="0" w:space="0" w:color="auto"/>
                    <w:bottom w:val="none" w:sz="0" w:space="0" w:color="auto"/>
                    <w:right w:val="none" w:sz="0" w:space="0" w:color="auto"/>
                  </w:divBdr>
                </w:div>
                <w:div w:id="1616404279">
                  <w:marLeft w:val="0"/>
                  <w:marRight w:val="0"/>
                  <w:marTop w:val="0"/>
                  <w:marBottom w:val="0"/>
                  <w:divBdr>
                    <w:top w:val="none" w:sz="0" w:space="0" w:color="auto"/>
                    <w:left w:val="none" w:sz="0" w:space="0" w:color="auto"/>
                    <w:bottom w:val="none" w:sz="0" w:space="0" w:color="auto"/>
                    <w:right w:val="none" w:sz="0" w:space="0" w:color="auto"/>
                  </w:divBdr>
                </w:div>
                <w:div w:id="1734280448">
                  <w:marLeft w:val="0"/>
                  <w:marRight w:val="0"/>
                  <w:marTop w:val="0"/>
                  <w:marBottom w:val="0"/>
                  <w:divBdr>
                    <w:top w:val="none" w:sz="0" w:space="0" w:color="auto"/>
                    <w:left w:val="none" w:sz="0" w:space="0" w:color="auto"/>
                    <w:bottom w:val="none" w:sz="0" w:space="0" w:color="auto"/>
                    <w:right w:val="none" w:sz="0" w:space="0" w:color="auto"/>
                  </w:divBdr>
                </w:div>
                <w:div w:id="1741319918">
                  <w:marLeft w:val="0"/>
                  <w:marRight w:val="0"/>
                  <w:marTop w:val="0"/>
                  <w:marBottom w:val="0"/>
                  <w:divBdr>
                    <w:top w:val="none" w:sz="0" w:space="0" w:color="auto"/>
                    <w:left w:val="none" w:sz="0" w:space="0" w:color="auto"/>
                    <w:bottom w:val="none" w:sz="0" w:space="0" w:color="auto"/>
                    <w:right w:val="none" w:sz="0" w:space="0" w:color="auto"/>
                  </w:divBdr>
                </w:div>
                <w:div w:id="21394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1231">
          <w:marLeft w:val="0"/>
          <w:marRight w:val="0"/>
          <w:marTop w:val="15"/>
          <w:marBottom w:val="0"/>
          <w:divBdr>
            <w:top w:val="none" w:sz="0" w:space="0" w:color="auto"/>
            <w:left w:val="none" w:sz="0" w:space="0" w:color="auto"/>
            <w:bottom w:val="none" w:sz="0" w:space="0" w:color="auto"/>
            <w:right w:val="none" w:sz="0" w:space="0" w:color="auto"/>
          </w:divBdr>
          <w:divsChild>
            <w:div w:id="1485463744">
              <w:marLeft w:val="0"/>
              <w:marRight w:val="0"/>
              <w:marTop w:val="0"/>
              <w:marBottom w:val="0"/>
              <w:divBdr>
                <w:top w:val="none" w:sz="0" w:space="0" w:color="auto"/>
                <w:left w:val="none" w:sz="0" w:space="0" w:color="auto"/>
                <w:bottom w:val="none" w:sz="0" w:space="0" w:color="auto"/>
                <w:right w:val="none" w:sz="0" w:space="0" w:color="auto"/>
              </w:divBdr>
              <w:divsChild>
                <w:div w:id="252593131">
                  <w:marLeft w:val="0"/>
                  <w:marRight w:val="0"/>
                  <w:marTop w:val="0"/>
                  <w:marBottom w:val="0"/>
                  <w:divBdr>
                    <w:top w:val="none" w:sz="0" w:space="0" w:color="auto"/>
                    <w:left w:val="none" w:sz="0" w:space="0" w:color="auto"/>
                    <w:bottom w:val="none" w:sz="0" w:space="0" w:color="auto"/>
                    <w:right w:val="none" w:sz="0" w:space="0" w:color="auto"/>
                  </w:divBdr>
                </w:div>
                <w:div w:id="255292580">
                  <w:marLeft w:val="0"/>
                  <w:marRight w:val="0"/>
                  <w:marTop w:val="0"/>
                  <w:marBottom w:val="0"/>
                  <w:divBdr>
                    <w:top w:val="none" w:sz="0" w:space="0" w:color="auto"/>
                    <w:left w:val="none" w:sz="0" w:space="0" w:color="auto"/>
                    <w:bottom w:val="none" w:sz="0" w:space="0" w:color="auto"/>
                    <w:right w:val="none" w:sz="0" w:space="0" w:color="auto"/>
                  </w:divBdr>
                </w:div>
                <w:div w:id="283272168">
                  <w:marLeft w:val="0"/>
                  <w:marRight w:val="0"/>
                  <w:marTop w:val="0"/>
                  <w:marBottom w:val="0"/>
                  <w:divBdr>
                    <w:top w:val="none" w:sz="0" w:space="0" w:color="auto"/>
                    <w:left w:val="none" w:sz="0" w:space="0" w:color="auto"/>
                    <w:bottom w:val="none" w:sz="0" w:space="0" w:color="auto"/>
                    <w:right w:val="none" w:sz="0" w:space="0" w:color="auto"/>
                  </w:divBdr>
                </w:div>
                <w:div w:id="353729641">
                  <w:marLeft w:val="0"/>
                  <w:marRight w:val="0"/>
                  <w:marTop w:val="0"/>
                  <w:marBottom w:val="0"/>
                  <w:divBdr>
                    <w:top w:val="none" w:sz="0" w:space="0" w:color="auto"/>
                    <w:left w:val="none" w:sz="0" w:space="0" w:color="auto"/>
                    <w:bottom w:val="none" w:sz="0" w:space="0" w:color="auto"/>
                    <w:right w:val="none" w:sz="0" w:space="0" w:color="auto"/>
                  </w:divBdr>
                </w:div>
                <w:div w:id="408692891">
                  <w:marLeft w:val="0"/>
                  <w:marRight w:val="0"/>
                  <w:marTop w:val="0"/>
                  <w:marBottom w:val="0"/>
                  <w:divBdr>
                    <w:top w:val="none" w:sz="0" w:space="0" w:color="auto"/>
                    <w:left w:val="none" w:sz="0" w:space="0" w:color="auto"/>
                    <w:bottom w:val="none" w:sz="0" w:space="0" w:color="auto"/>
                    <w:right w:val="none" w:sz="0" w:space="0" w:color="auto"/>
                  </w:divBdr>
                </w:div>
                <w:div w:id="471559640">
                  <w:marLeft w:val="0"/>
                  <w:marRight w:val="0"/>
                  <w:marTop w:val="0"/>
                  <w:marBottom w:val="0"/>
                  <w:divBdr>
                    <w:top w:val="none" w:sz="0" w:space="0" w:color="auto"/>
                    <w:left w:val="none" w:sz="0" w:space="0" w:color="auto"/>
                    <w:bottom w:val="none" w:sz="0" w:space="0" w:color="auto"/>
                    <w:right w:val="none" w:sz="0" w:space="0" w:color="auto"/>
                  </w:divBdr>
                </w:div>
                <w:div w:id="611013833">
                  <w:marLeft w:val="0"/>
                  <w:marRight w:val="0"/>
                  <w:marTop w:val="0"/>
                  <w:marBottom w:val="0"/>
                  <w:divBdr>
                    <w:top w:val="none" w:sz="0" w:space="0" w:color="auto"/>
                    <w:left w:val="none" w:sz="0" w:space="0" w:color="auto"/>
                    <w:bottom w:val="none" w:sz="0" w:space="0" w:color="auto"/>
                    <w:right w:val="none" w:sz="0" w:space="0" w:color="auto"/>
                  </w:divBdr>
                </w:div>
                <w:div w:id="617109758">
                  <w:marLeft w:val="0"/>
                  <w:marRight w:val="0"/>
                  <w:marTop w:val="0"/>
                  <w:marBottom w:val="0"/>
                  <w:divBdr>
                    <w:top w:val="none" w:sz="0" w:space="0" w:color="auto"/>
                    <w:left w:val="none" w:sz="0" w:space="0" w:color="auto"/>
                    <w:bottom w:val="none" w:sz="0" w:space="0" w:color="auto"/>
                    <w:right w:val="none" w:sz="0" w:space="0" w:color="auto"/>
                  </w:divBdr>
                </w:div>
                <w:div w:id="709451151">
                  <w:marLeft w:val="0"/>
                  <w:marRight w:val="0"/>
                  <w:marTop w:val="0"/>
                  <w:marBottom w:val="0"/>
                  <w:divBdr>
                    <w:top w:val="none" w:sz="0" w:space="0" w:color="auto"/>
                    <w:left w:val="none" w:sz="0" w:space="0" w:color="auto"/>
                    <w:bottom w:val="none" w:sz="0" w:space="0" w:color="auto"/>
                    <w:right w:val="none" w:sz="0" w:space="0" w:color="auto"/>
                  </w:divBdr>
                </w:div>
                <w:div w:id="908418550">
                  <w:marLeft w:val="0"/>
                  <w:marRight w:val="0"/>
                  <w:marTop w:val="0"/>
                  <w:marBottom w:val="0"/>
                  <w:divBdr>
                    <w:top w:val="none" w:sz="0" w:space="0" w:color="auto"/>
                    <w:left w:val="none" w:sz="0" w:space="0" w:color="auto"/>
                    <w:bottom w:val="none" w:sz="0" w:space="0" w:color="auto"/>
                    <w:right w:val="none" w:sz="0" w:space="0" w:color="auto"/>
                  </w:divBdr>
                </w:div>
                <w:div w:id="938369213">
                  <w:marLeft w:val="0"/>
                  <w:marRight w:val="0"/>
                  <w:marTop w:val="0"/>
                  <w:marBottom w:val="0"/>
                  <w:divBdr>
                    <w:top w:val="none" w:sz="0" w:space="0" w:color="auto"/>
                    <w:left w:val="none" w:sz="0" w:space="0" w:color="auto"/>
                    <w:bottom w:val="none" w:sz="0" w:space="0" w:color="auto"/>
                    <w:right w:val="none" w:sz="0" w:space="0" w:color="auto"/>
                  </w:divBdr>
                </w:div>
                <w:div w:id="1017923402">
                  <w:marLeft w:val="0"/>
                  <w:marRight w:val="0"/>
                  <w:marTop w:val="0"/>
                  <w:marBottom w:val="0"/>
                  <w:divBdr>
                    <w:top w:val="none" w:sz="0" w:space="0" w:color="auto"/>
                    <w:left w:val="none" w:sz="0" w:space="0" w:color="auto"/>
                    <w:bottom w:val="none" w:sz="0" w:space="0" w:color="auto"/>
                    <w:right w:val="none" w:sz="0" w:space="0" w:color="auto"/>
                  </w:divBdr>
                </w:div>
                <w:div w:id="1067189562">
                  <w:marLeft w:val="0"/>
                  <w:marRight w:val="0"/>
                  <w:marTop w:val="0"/>
                  <w:marBottom w:val="0"/>
                  <w:divBdr>
                    <w:top w:val="none" w:sz="0" w:space="0" w:color="auto"/>
                    <w:left w:val="none" w:sz="0" w:space="0" w:color="auto"/>
                    <w:bottom w:val="none" w:sz="0" w:space="0" w:color="auto"/>
                    <w:right w:val="none" w:sz="0" w:space="0" w:color="auto"/>
                  </w:divBdr>
                </w:div>
                <w:div w:id="1193104862">
                  <w:marLeft w:val="0"/>
                  <w:marRight w:val="0"/>
                  <w:marTop w:val="0"/>
                  <w:marBottom w:val="0"/>
                  <w:divBdr>
                    <w:top w:val="none" w:sz="0" w:space="0" w:color="auto"/>
                    <w:left w:val="none" w:sz="0" w:space="0" w:color="auto"/>
                    <w:bottom w:val="none" w:sz="0" w:space="0" w:color="auto"/>
                    <w:right w:val="none" w:sz="0" w:space="0" w:color="auto"/>
                  </w:divBdr>
                </w:div>
                <w:div w:id="1199124623">
                  <w:marLeft w:val="0"/>
                  <w:marRight w:val="0"/>
                  <w:marTop w:val="0"/>
                  <w:marBottom w:val="0"/>
                  <w:divBdr>
                    <w:top w:val="none" w:sz="0" w:space="0" w:color="auto"/>
                    <w:left w:val="none" w:sz="0" w:space="0" w:color="auto"/>
                    <w:bottom w:val="none" w:sz="0" w:space="0" w:color="auto"/>
                    <w:right w:val="none" w:sz="0" w:space="0" w:color="auto"/>
                  </w:divBdr>
                </w:div>
                <w:div w:id="1243684292">
                  <w:marLeft w:val="0"/>
                  <w:marRight w:val="0"/>
                  <w:marTop w:val="0"/>
                  <w:marBottom w:val="0"/>
                  <w:divBdr>
                    <w:top w:val="none" w:sz="0" w:space="0" w:color="auto"/>
                    <w:left w:val="none" w:sz="0" w:space="0" w:color="auto"/>
                    <w:bottom w:val="none" w:sz="0" w:space="0" w:color="auto"/>
                    <w:right w:val="none" w:sz="0" w:space="0" w:color="auto"/>
                  </w:divBdr>
                </w:div>
                <w:div w:id="1313801194">
                  <w:marLeft w:val="0"/>
                  <w:marRight w:val="0"/>
                  <w:marTop w:val="0"/>
                  <w:marBottom w:val="0"/>
                  <w:divBdr>
                    <w:top w:val="none" w:sz="0" w:space="0" w:color="auto"/>
                    <w:left w:val="none" w:sz="0" w:space="0" w:color="auto"/>
                    <w:bottom w:val="none" w:sz="0" w:space="0" w:color="auto"/>
                    <w:right w:val="none" w:sz="0" w:space="0" w:color="auto"/>
                  </w:divBdr>
                </w:div>
                <w:div w:id="1407996237">
                  <w:marLeft w:val="0"/>
                  <w:marRight w:val="0"/>
                  <w:marTop w:val="0"/>
                  <w:marBottom w:val="0"/>
                  <w:divBdr>
                    <w:top w:val="none" w:sz="0" w:space="0" w:color="auto"/>
                    <w:left w:val="none" w:sz="0" w:space="0" w:color="auto"/>
                    <w:bottom w:val="none" w:sz="0" w:space="0" w:color="auto"/>
                    <w:right w:val="none" w:sz="0" w:space="0" w:color="auto"/>
                  </w:divBdr>
                </w:div>
                <w:div w:id="1440953741">
                  <w:marLeft w:val="0"/>
                  <w:marRight w:val="0"/>
                  <w:marTop w:val="0"/>
                  <w:marBottom w:val="0"/>
                  <w:divBdr>
                    <w:top w:val="none" w:sz="0" w:space="0" w:color="auto"/>
                    <w:left w:val="none" w:sz="0" w:space="0" w:color="auto"/>
                    <w:bottom w:val="none" w:sz="0" w:space="0" w:color="auto"/>
                    <w:right w:val="none" w:sz="0" w:space="0" w:color="auto"/>
                  </w:divBdr>
                </w:div>
                <w:div w:id="1454444209">
                  <w:marLeft w:val="0"/>
                  <w:marRight w:val="0"/>
                  <w:marTop w:val="0"/>
                  <w:marBottom w:val="0"/>
                  <w:divBdr>
                    <w:top w:val="none" w:sz="0" w:space="0" w:color="auto"/>
                    <w:left w:val="none" w:sz="0" w:space="0" w:color="auto"/>
                    <w:bottom w:val="none" w:sz="0" w:space="0" w:color="auto"/>
                    <w:right w:val="none" w:sz="0" w:space="0" w:color="auto"/>
                  </w:divBdr>
                </w:div>
                <w:div w:id="1815834213">
                  <w:marLeft w:val="0"/>
                  <w:marRight w:val="0"/>
                  <w:marTop w:val="0"/>
                  <w:marBottom w:val="0"/>
                  <w:divBdr>
                    <w:top w:val="none" w:sz="0" w:space="0" w:color="auto"/>
                    <w:left w:val="none" w:sz="0" w:space="0" w:color="auto"/>
                    <w:bottom w:val="none" w:sz="0" w:space="0" w:color="auto"/>
                    <w:right w:val="none" w:sz="0" w:space="0" w:color="auto"/>
                  </w:divBdr>
                </w:div>
                <w:div w:id="1852722860">
                  <w:marLeft w:val="0"/>
                  <w:marRight w:val="0"/>
                  <w:marTop w:val="0"/>
                  <w:marBottom w:val="0"/>
                  <w:divBdr>
                    <w:top w:val="none" w:sz="0" w:space="0" w:color="auto"/>
                    <w:left w:val="none" w:sz="0" w:space="0" w:color="auto"/>
                    <w:bottom w:val="none" w:sz="0" w:space="0" w:color="auto"/>
                    <w:right w:val="none" w:sz="0" w:space="0" w:color="auto"/>
                  </w:divBdr>
                </w:div>
                <w:div w:id="1946960491">
                  <w:marLeft w:val="0"/>
                  <w:marRight w:val="0"/>
                  <w:marTop w:val="0"/>
                  <w:marBottom w:val="0"/>
                  <w:divBdr>
                    <w:top w:val="none" w:sz="0" w:space="0" w:color="auto"/>
                    <w:left w:val="none" w:sz="0" w:space="0" w:color="auto"/>
                    <w:bottom w:val="none" w:sz="0" w:space="0" w:color="auto"/>
                    <w:right w:val="none" w:sz="0" w:space="0" w:color="auto"/>
                  </w:divBdr>
                </w:div>
                <w:div w:id="1970696257">
                  <w:marLeft w:val="0"/>
                  <w:marRight w:val="0"/>
                  <w:marTop w:val="0"/>
                  <w:marBottom w:val="0"/>
                  <w:divBdr>
                    <w:top w:val="none" w:sz="0" w:space="0" w:color="auto"/>
                    <w:left w:val="none" w:sz="0" w:space="0" w:color="auto"/>
                    <w:bottom w:val="none" w:sz="0" w:space="0" w:color="auto"/>
                    <w:right w:val="none" w:sz="0" w:space="0" w:color="auto"/>
                  </w:divBdr>
                </w:div>
                <w:div w:id="1999726551">
                  <w:marLeft w:val="0"/>
                  <w:marRight w:val="0"/>
                  <w:marTop w:val="0"/>
                  <w:marBottom w:val="0"/>
                  <w:divBdr>
                    <w:top w:val="none" w:sz="0" w:space="0" w:color="auto"/>
                    <w:left w:val="none" w:sz="0" w:space="0" w:color="auto"/>
                    <w:bottom w:val="none" w:sz="0" w:space="0" w:color="auto"/>
                    <w:right w:val="none" w:sz="0" w:space="0" w:color="auto"/>
                  </w:divBdr>
                </w:div>
                <w:div w:id="2006203657">
                  <w:marLeft w:val="0"/>
                  <w:marRight w:val="0"/>
                  <w:marTop w:val="0"/>
                  <w:marBottom w:val="0"/>
                  <w:divBdr>
                    <w:top w:val="none" w:sz="0" w:space="0" w:color="auto"/>
                    <w:left w:val="none" w:sz="0" w:space="0" w:color="auto"/>
                    <w:bottom w:val="none" w:sz="0" w:space="0" w:color="auto"/>
                    <w:right w:val="none" w:sz="0" w:space="0" w:color="auto"/>
                  </w:divBdr>
                </w:div>
                <w:div w:id="2051564473">
                  <w:marLeft w:val="0"/>
                  <w:marRight w:val="0"/>
                  <w:marTop w:val="0"/>
                  <w:marBottom w:val="0"/>
                  <w:divBdr>
                    <w:top w:val="none" w:sz="0" w:space="0" w:color="auto"/>
                    <w:left w:val="none" w:sz="0" w:space="0" w:color="auto"/>
                    <w:bottom w:val="none" w:sz="0" w:space="0" w:color="auto"/>
                    <w:right w:val="none" w:sz="0" w:space="0" w:color="auto"/>
                  </w:divBdr>
                </w:div>
                <w:div w:id="208733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049970">
          <w:marLeft w:val="0"/>
          <w:marRight w:val="0"/>
          <w:marTop w:val="15"/>
          <w:marBottom w:val="0"/>
          <w:divBdr>
            <w:top w:val="none" w:sz="0" w:space="0" w:color="auto"/>
            <w:left w:val="none" w:sz="0" w:space="0" w:color="auto"/>
            <w:bottom w:val="none" w:sz="0" w:space="0" w:color="auto"/>
            <w:right w:val="none" w:sz="0" w:space="0" w:color="auto"/>
          </w:divBdr>
          <w:divsChild>
            <w:div w:id="95178880">
              <w:marLeft w:val="0"/>
              <w:marRight w:val="0"/>
              <w:marTop w:val="0"/>
              <w:marBottom w:val="0"/>
              <w:divBdr>
                <w:top w:val="none" w:sz="0" w:space="0" w:color="auto"/>
                <w:left w:val="none" w:sz="0" w:space="0" w:color="auto"/>
                <w:bottom w:val="none" w:sz="0" w:space="0" w:color="auto"/>
                <w:right w:val="none" w:sz="0" w:space="0" w:color="auto"/>
              </w:divBdr>
              <w:divsChild>
                <w:div w:id="101926158">
                  <w:marLeft w:val="0"/>
                  <w:marRight w:val="0"/>
                  <w:marTop w:val="0"/>
                  <w:marBottom w:val="0"/>
                  <w:divBdr>
                    <w:top w:val="none" w:sz="0" w:space="0" w:color="auto"/>
                    <w:left w:val="none" w:sz="0" w:space="0" w:color="auto"/>
                    <w:bottom w:val="none" w:sz="0" w:space="0" w:color="auto"/>
                    <w:right w:val="none" w:sz="0" w:space="0" w:color="auto"/>
                  </w:divBdr>
                </w:div>
                <w:div w:id="261423887">
                  <w:marLeft w:val="0"/>
                  <w:marRight w:val="0"/>
                  <w:marTop w:val="0"/>
                  <w:marBottom w:val="0"/>
                  <w:divBdr>
                    <w:top w:val="none" w:sz="0" w:space="0" w:color="auto"/>
                    <w:left w:val="none" w:sz="0" w:space="0" w:color="auto"/>
                    <w:bottom w:val="none" w:sz="0" w:space="0" w:color="auto"/>
                    <w:right w:val="none" w:sz="0" w:space="0" w:color="auto"/>
                  </w:divBdr>
                </w:div>
                <w:div w:id="304354092">
                  <w:marLeft w:val="0"/>
                  <w:marRight w:val="0"/>
                  <w:marTop w:val="0"/>
                  <w:marBottom w:val="0"/>
                  <w:divBdr>
                    <w:top w:val="none" w:sz="0" w:space="0" w:color="auto"/>
                    <w:left w:val="none" w:sz="0" w:space="0" w:color="auto"/>
                    <w:bottom w:val="none" w:sz="0" w:space="0" w:color="auto"/>
                    <w:right w:val="none" w:sz="0" w:space="0" w:color="auto"/>
                  </w:divBdr>
                </w:div>
                <w:div w:id="320541821">
                  <w:marLeft w:val="0"/>
                  <w:marRight w:val="0"/>
                  <w:marTop w:val="0"/>
                  <w:marBottom w:val="0"/>
                  <w:divBdr>
                    <w:top w:val="none" w:sz="0" w:space="0" w:color="auto"/>
                    <w:left w:val="none" w:sz="0" w:space="0" w:color="auto"/>
                    <w:bottom w:val="none" w:sz="0" w:space="0" w:color="auto"/>
                    <w:right w:val="none" w:sz="0" w:space="0" w:color="auto"/>
                  </w:divBdr>
                </w:div>
                <w:div w:id="366293814">
                  <w:marLeft w:val="0"/>
                  <w:marRight w:val="0"/>
                  <w:marTop w:val="0"/>
                  <w:marBottom w:val="0"/>
                  <w:divBdr>
                    <w:top w:val="none" w:sz="0" w:space="0" w:color="auto"/>
                    <w:left w:val="none" w:sz="0" w:space="0" w:color="auto"/>
                    <w:bottom w:val="none" w:sz="0" w:space="0" w:color="auto"/>
                    <w:right w:val="none" w:sz="0" w:space="0" w:color="auto"/>
                  </w:divBdr>
                </w:div>
                <w:div w:id="545685148">
                  <w:marLeft w:val="0"/>
                  <w:marRight w:val="0"/>
                  <w:marTop w:val="0"/>
                  <w:marBottom w:val="0"/>
                  <w:divBdr>
                    <w:top w:val="none" w:sz="0" w:space="0" w:color="auto"/>
                    <w:left w:val="none" w:sz="0" w:space="0" w:color="auto"/>
                    <w:bottom w:val="none" w:sz="0" w:space="0" w:color="auto"/>
                    <w:right w:val="none" w:sz="0" w:space="0" w:color="auto"/>
                  </w:divBdr>
                </w:div>
                <w:div w:id="569392516">
                  <w:marLeft w:val="0"/>
                  <w:marRight w:val="0"/>
                  <w:marTop w:val="0"/>
                  <w:marBottom w:val="0"/>
                  <w:divBdr>
                    <w:top w:val="none" w:sz="0" w:space="0" w:color="auto"/>
                    <w:left w:val="none" w:sz="0" w:space="0" w:color="auto"/>
                    <w:bottom w:val="none" w:sz="0" w:space="0" w:color="auto"/>
                    <w:right w:val="none" w:sz="0" w:space="0" w:color="auto"/>
                  </w:divBdr>
                </w:div>
                <w:div w:id="589894860">
                  <w:marLeft w:val="0"/>
                  <w:marRight w:val="0"/>
                  <w:marTop w:val="0"/>
                  <w:marBottom w:val="0"/>
                  <w:divBdr>
                    <w:top w:val="none" w:sz="0" w:space="0" w:color="auto"/>
                    <w:left w:val="none" w:sz="0" w:space="0" w:color="auto"/>
                    <w:bottom w:val="none" w:sz="0" w:space="0" w:color="auto"/>
                    <w:right w:val="none" w:sz="0" w:space="0" w:color="auto"/>
                  </w:divBdr>
                </w:div>
                <w:div w:id="596987591">
                  <w:marLeft w:val="0"/>
                  <w:marRight w:val="0"/>
                  <w:marTop w:val="0"/>
                  <w:marBottom w:val="0"/>
                  <w:divBdr>
                    <w:top w:val="none" w:sz="0" w:space="0" w:color="auto"/>
                    <w:left w:val="none" w:sz="0" w:space="0" w:color="auto"/>
                    <w:bottom w:val="none" w:sz="0" w:space="0" w:color="auto"/>
                    <w:right w:val="none" w:sz="0" w:space="0" w:color="auto"/>
                  </w:divBdr>
                </w:div>
                <w:div w:id="604535358">
                  <w:marLeft w:val="0"/>
                  <w:marRight w:val="0"/>
                  <w:marTop w:val="0"/>
                  <w:marBottom w:val="0"/>
                  <w:divBdr>
                    <w:top w:val="none" w:sz="0" w:space="0" w:color="auto"/>
                    <w:left w:val="none" w:sz="0" w:space="0" w:color="auto"/>
                    <w:bottom w:val="none" w:sz="0" w:space="0" w:color="auto"/>
                    <w:right w:val="none" w:sz="0" w:space="0" w:color="auto"/>
                  </w:divBdr>
                </w:div>
                <w:div w:id="653609563">
                  <w:marLeft w:val="0"/>
                  <w:marRight w:val="0"/>
                  <w:marTop w:val="0"/>
                  <w:marBottom w:val="0"/>
                  <w:divBdr>
                    <w:top w:val="none" w:sz="0" w:space="0" w:color="auto"/>
                    <w:left w:val="none" w:sz="0" w:space="0" w:color="auto"/>
                    <w:bottom w:val="none" w:sz="0" w:space="0" w:color="auto"/>
                    <w:right w:val="none" w:sz="0" w:space="0" w:color="auto"/>
                  </w:divBdr>
                </w:div>
                <w:div w:id="771316776">
                  <w:marLeft w:val="0"/>
                  <w:marRight w:val="0"/>
                  <w:marTop w:val="0"/>
                  <w:marBottom w:val="0"/>
                  <w:divBdr>
                    <w:top w:val="none" w:sz="0" w:space="0" w:color="auto"/>
                    <w:left w:val="none" w:sz="0" w:space="0" w:color="auto"/>
                    <w:bottom w:val="none" w:sz="0" w:space="0" w:color="auto"/>
                    <w:right w:val="none" w:sz="0" w:space="0" w:color="auto"/>
                  </w:divBdr>
                </w:div>
                <w:div w:id="786898676">
                  <w:marLeft w:val="0"/>
                  <w:marRight w:val="0"/>
                  <w:marTop w:val="0"/>
                  <w:marBottom w:val="0"/>
                  <w:divBdr>
                    <w:top w:val="none" w:sz="0" w:space="0" w:color="auto"/>
                    <w:left w:val="none" w:sz="0" w:space="0" w:color="auto"/>
                    <w:bottom w:val="none" w:sz="0" w:space="0" w:color="auto"/>
                    <w:right w:val="none" w:sz="0" w:space="0" w:color="auto"/>
                  </w:divBdr>
                </w:div>
                <w:div w:id="858474209">
                  <w:marLeft w:val="0"/>
                  <w:marRight w:val="0"/>
                  <w:marTop w:val="0"/>
                  <w:marBottom w:val="0"/>
                  <w:divBdr>
                    <w:top w:val="none" w:sz="0" w:space="0" w:color="auto"/>
                    <w:left w:val="none" w:sz="0" w:space="0" w:color="auto"/>
                    <w:bottom w:val="none" w:sz="0" w:space="0" w:color="auto"/>
                    <w:right w:val="none" w:sz="0" w:space="0" w:color="auto"/>
                  </w:divBdr>
                </w:div>
                <w:div w:id="956059191">
                  <w:marLeft w:val="0"/>
                  <w:marRight w:val="0"/>
                  <w:marTop w:val="0"/>
                  <w:marBottom w:val="0"/>
                  <w:divBdr>
                    <w:top w:val="none" w:sz="0" w:space="0" w:color="auto"/>
                    <w:left w:val="none" w:sz="0" w:space="0" w:color="auto"/>
                    <w:bottom w:val="none" w:sz="0" w:space="0" w:color="auto"/>
                    <w:right w:val="none" w:sz="0" w:space="0" w:color="auto"/>
                  </w:divBdr>
                </w:div>
                <w:div w:id="968121625">
                  <w:marLeft w:val="0"/>
                  <w:marRight w:val="0"/>
                  <w:marTop w:val="0"/>
                  <w:marBottom w:val="0"/>
                  <w:divBdr>
                    <w:top w:val="none" w:sz="0" w:space="0" w:color="auto"/>
                    <w:left w:val="none" w:sz="0" w:space="0" w:color="auto"/>
                    <w:bottom w:val="none" w:sz="0" w:space="0" w:color="auto"/>
                    <w:right w:val="none" w:sz="0" w:space="0" w:color="auto"/>
                  </w:divBdr>
                </w:div>
                <w:div w:id="1001737240">
                  <w:marLeft w:val="0"/>
                  <w:marRight w:val="0"/>
                  <w:marTop w:val="0"/>
                  <w:marBottom w:val="0"/>
                  <w:divBdr>
                    <w:top w:val="none" w:sz="0" w:space="0" w:color="auto"/>
                    <w:left w:val="none" w:sz="0" w:space="0" w:color="auto"/>
                    <w:bottom w:val="none" w:sz="0" w:space="0" w:color="auto"/>
                    <w:right w:val="none" w:sz="0" w:space="0" w:color="auto"/>
                  </w:divBdr>
                </w:div>
                <w:div w:id="1090589978">
                  <w:marLeft w:val="0"/>
                  <w:marRight w:val="0"/>
                  <w:marTop w:val="0"/>
                  <w:marBottom w:val="0"/>
                  <w:divBdr>
                    <w:top w:val="none" w:sz="0" w:space="0" w:color="auto"/>
                    <w:left w:val="none" w:sz="0" w:space="0" w:color="auto"/>
                    <w:bottom w:val="none" w:sz="0" w:space="0" w:color="auto"/>
                    <w:right w:val="none" w:sz="0" w:space="0" w:color="auto"/>
                  </w:divBdr>
                </w:div>
                <w:div w:id="1211768635">
                  <w:marLeft w:val="0"/>
                  <w:marRight w:val="0"/>
                  <w:marTop w:val="0"/>
                  <w:marBottom w:val="0"/>
                  <w:divBdr>
                    <w:top w:val="none" w:sz="0" w:space="0" w:color="auto"/>
                    <w:left w:val="none" w:sz="0" w:space="0" w:color="auto"/>
                    <w:bottom w:val="none" w:sz="0" w:space="0" w:color="auto"/>
                    <w:right w:val="none" w:sz="0" w:space="0" w:color="auto"/>
                  </w:divBdr>
                </w:div>
                <w:div w:id="1216619303">
                  <w:marLeft w:val="0"/>
                  <w:marRight w:val="0"/>
                  <w:marTop w:val="0"/>
                  <w:marBottom w:val="0"/>
                  <w:divBdr>
                    <w:top w:val="none" w:sz="0" w:space="0" w:color="auto"/>
                    <w:left w:val="none" w:sz="0" w:space="0" w:color="auto"/>
                    <w:bottom w:val="none" w:sz="0" w:space="0" w:color="auto"/>
                    <w:right w:val="none" w:sz="0" w:space="0" w:color="auto"/>
                  </w:divBdr>
                </w:div>
                <w:div w:id="1235356770">
                  <w:marLeft w:val="0"/>
                  <w:marRight w:val="0"/>
                  <w:marTop w:val="0"/>
                  <w:marBottom w:val="0"/>
                  <w:divBdr>
                    <w:top w:val="none" w:sz="0" w:space="0" w:color="auto"/>
                    <w:left w:val="none" w:sz="0" w:space="0" w:color="auto"/>
                    <w:bottom w:val="none" w:sz="0" w:space="0" w:color="auto"/>
                    <w:right w:val="none" w:sz="0" w:space="0" w:color="auto"/>
                  </w:divBdr>
                </w:div>
                <w:div w:id="1361012444">
                  <w:marLeft w:val="0"/>
                  <w:marRight w:val="0"/>
                  <w:marTop w:val="0"/>
                  <w:marBottom w:val="0"/>
                  <w:divBdr>
                    <w:top w:val="none" w:sz="0" w:space="0" w:color="auto"/>
                    <w:left w:val="none" w:sz="0" w:space="0" w:color="auto"/>
                    <w:bottom w:val="none" w:sz="0" w:space="0" w:color="auto"/>
                    <w:right w:val="none" w:sz="0" w:space="0" w:color="auto"/>
                  </w:divBdr>
                </w:div>
                <w:div w:id="1467233105">
                  <w:marLeft w:val="0"/>
                  <w:marRight w:val="0"/>
                  <w:marTop w:val="0"/>
                  <w:marBottom w:val="0"/>
                  <w:divBdr>
                    <w:top w:val="none" w:sz="0" w:space="0" w:color="auto"/>
                    <w:left w:val="none" w:sz="0" w:space="0" w:color="auto"/>
                    <w:bottom w:val="none" w:sz="0" w:space="0" w:color="auto"/>
                    <w:right w:val="none" w:sz="0" w:space="0" w:color="auto"/>
                  </w:divBdr>
                </w:div>
                <w:div w:id="1697580529">
                  <w:marLeft w:val="0"/>
                  <w:marRight w:val="0"/>
                  <w:marTop w:val="0"/>
                  <w:marBottom w:val="0"/>
                  <w:divBdr>
                    <w:top w:val="none" w:sz="0" w:space="0" w:color="auto"/>
                    <w:left w:val="none" w:sz="0" w:space="0" w:color="auto"/>
                    <w:bottom w:val="none" w:sz="0" w:space="0" w:color="auto"/>
                    <w:right w:val="none" w:sz="0" w:space="0" w:color="auto"/>
                  </w:divBdr>
                </w:div>
                <w:div w:id="1879319389">
                  <w:marLeft w:val="0"/>
                  <w:marRight w:val="0"/>
                  <w:marTop w:val="0"/>
                  <w:marBottom w:val="0"/>
                  <w:divBdr>
                    <w:top w:val="none" w:sz="0" w:space="0" w:color="auto"/>
                    <w:left w:val="none" w:sz="0" w:space="0" w:color="auto"/>
                    <w:bottom w:val="none" w:sz="0" w:space="0" w:color="auto"/>
                    <w:right w:val="none" w:sz="0" w:space="0" w:color="auto"/>
                  </w:divBdr>
                </w:div>
                <w:div w:id="2041977291">
                  <w:marLeft w:val="0"/>
                  <w:marRight w:val="0"/>
                  <w:marTop w:val="0"/>
                  <w:marBottom w:val="0"/>
                  <w:divBdr>
                    <w:top w:val="none" w:sz="0" w:space="0" w:color="auto"/>
                    <w:left w:val="none" w:sz="0" w:space="0" w:color="auto"/>
                    <w:bottom w:val="none" w:sz="0" w:space="0" w:color="auto"/>
                    <w:right w:val="none" w:sz="0" w:space="0" w:color="auto"/>
                  </w:divBdr>
                </w:div>
                <w:div w:id="208856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91276">
      <w:bodyDiv w:val="1"/>
      <w:marLeft w:val="0"/>
      <w:marRight w:val="0"/>
      <w:marTop w:val="0"/>
      <w:marBottom w:val="0"/>
      <w:divBdr>
        <w:top w:val="none" w:sz="0" w:space="0" w:color="auto"/>
        <w:left w:val="none" w:sz="0" w:space="0" w:color="auto"/>
        <w:bottom w:val="none" w:sz="0" w:space="0" w:color="auto"/>
        <w:right w:val="none" w:sz="0" w:space="0" w:color="auto"/>
      </w:divBdr>
    </w:div>
    <w:div w:id="636766741">
      <w:bodyDiv w:val="1"/>
      <w:marLeft w:val="0"/>
      <w:marRight w:val="0"/>
      <w:marTop w:val="0"/>
      <w:marBottom w:val="0"/>
      <w:divBdr>
        <w:top w:val="none" w:sz="0" w:space="0" w:color="auto"/>
        <w:left w:val="none" w:sz="0" w:space="0" w:color="auto"/>
        <w:bottom w:val="none" w:sz="0" w:space="0" w:color="auto"/>
        <w:right w:val="none" w:sz="0" w:space="0" w:color="auto"/>
      </w:divBdr>
    </w:div>
    <w:div w:id="636767428">
      <w:bodyDiv w:val="1"/>
      <w:marLeft w:val="0"/>
      <w:marRight w:val="0"/>
      <w:marTop w:val="0"/>
      <w:marBottom w:val="0"/>
      <w:divBdr>
        <w:top w:val="none" w:sz="0" w:space="0" w:color="auto"/>
        <w:left w:val="none" w:sz="0" w:space="0" w:color="auto"/>
        <w:bottom w:val="none" w:sz="0" w:space="0" w:color="auto"/>
        <w:right w:val="none" w:sz="0" w:space="0" w:color="auto"/>
      </w:divBdr>
    </w:div>
    <w:div w:id="637027522">
      <w:bodyDiv w:val="1"/>
      <w:marLeft w:val="0"/>
      <w:marRight w:val="0"/>
      <w:marTop w:val="0"/>
      <w:marBottom w:val="0"/>
      <w:divBdr>
        <w:top w:val="none" w:sz="0" w:space="0" w:color="auto"/>
        <w:left w:val="none" w:sz="0" w:space="0" w:color="auto"/>
        <w:bottom w:val="none" w:sz="0" w:space="0" w:color="auto"/>
        <w:right w:val="none" w:sz="0" w:space="0" w:color="auto"/>
      </w:divBdr>
    </w:div>
    <w:div w:id="637342647">
      <w:bodyDiv w:val="1"/>
      <w:marLeft w:val="0"/>
      <w:marRight w:val="0"/>
      <w:marTop w:val="0"/>
      <w:marBottom w:val="0"/>
      <w:divBdr>
        <w:top w:val="none" w:sz="0" w:space="0" w:color="auto"/>
        <w:left w:val="none" w:sz="0" w:space="0" w:color="auto"/>
        <w:bottom w:val="none" w:sz="0" w:space="0" w:color="auto"/>
        <w:right w:val="none" w:sz="0" w:space="0" w:color="auto"/>
      </w:divBdr>
    </w:div>
    <w:div w:id="638344506">
      <w:bodyDiv w:val="1"/>
      <w:marLeft w:val="0"/>
      <w:marRight w:val="0"/>
      <w:marTop w:val="0"/>
      <w:marBottom w:val="0"/>
      <w:divBdr>
        <w:top w:val="none" w:sz="0" w:space="0" w:color="auto"/>
        <w:left w:val="none" w:sz="0" w:space="0" w:color="auto"/>
        <w:bottom w:val="none" w:sz="0" w:space="0" w:color="auto"/>
        <w:right w:val="none" w:sz="0" w:space="0" w:color="auto"/>
      </w:divBdr>
    </w:div>
    <w:div w:id="639186996">
      <w:bodyDiv w:val="1"/>
      <w:marLeft w:val="0"/>
      <w:marRight w:val="0"/>
      <w:marTop w:val="0"/>
      <w:marBottom w:val="0"/>
      <w:divBdr>
        <w:top w:val="none" w:sz="0" w:space="0" w:color="auto"/>
        <w:left w:val="none" w:sz="0" w:space="0" w:color="auto"/>
        <w:bottom w:val="none" w:sz="0" w:space="0" w:color="auto"/>
        <w:right w:val="none" w:sz="0" w:space="0" w:color="auto"/>
      </w:divBdr>
    </w:div>
    <w:div w:id="639846648">
      <w:bodyDiv w:val="1"/>
      <w:marLeft w:val="0"/>
      <w:marRight w:val="0"/>
      <w:marTop w:val="0"/>
      <w:marBottom w:val="0"/>
      <w:divBdr>
        <w:top w:val="none" w:sz="0" w:space="0" w:color="auto"/>
        <w:left w:val="none" w:sz="0" w:space="0" w:color="auto"/>
        <w:bottom w:val="none" w:sz="0" w:space="0" w:color="auto"/>
        <w:right w:val="none" w:sz="0" w:space="0" w:color="auto"/>
      </w:divBdr>
    </w:div>
    <w:div w:id="642002059">
      <w:bodyDiv w:val="1"/>
      <w:marLeft w:val="0"/>
      <w:marRight w:val="0"/>
      <w:marTop w:val="0"/>
      <w:marBottom w:val="0"/>
      <w:divBdr>
        <w:top w:val="none" w:sz="0" w:space="0" w:color="auto"/>
        <w:left w:val="none" w:sz="0" w:space="0" w:color="auto"/>
        <w:bottom w:val="none" w:sz="0" w:space="0" w:color="auto"/>
        <w:right w:val="none" w:sz="0" w:space="0" w:color="auto"/>
      </w:divBdr>
    </w:div>
    <w:div w:id="645083779">
      <w:bodyDiv w:val="1"/>
      <w:marLeft w:val="0"/>
      <w:marRight w:val="0"/>
      <w:marTop w:val="0"/>
      <w:marBottom w:val="0"/>
      <w:divBdr>
        <w:top w:val="none" w:sz="0" w:space="0" w:color="auto"/>
        <w:left w:val="none" w:sz="0" w:space="0" w:color="auto"/>
        <w:bottom w:val="none" w:sz="0" w:space="0" w:color="auto"/>
        <w:right w:val="none" w:sz="0" w:space="0" w:color="auto"/>
      </w:divBdr>
    </w:div>
    <w:div w:id="645476864">
      <w:bodyDiv w:val="1"/>
      <w:marLeft w:val="0"/>
      <w:marRight w:val="0"/>
      <w:marTop w:val="0"/>
      <w:marBottom w:val="0"/>
      <w:divBdr>
        <w:top w:val="none" w:sz="0" w:space="0" w:color="auto"/>
        <w:left w:val="none" w:sz="0" w:space="0" w:color="auto"/>
        <w:bottom w:val="none" w:sz="0" w:space="0" w:color="auto"/>
        <w:right w:val="none" w:sz="0" w:space="0" w:color="auto"/>
      </w:divBdr>
    </w:div>
    <w:div w:id="654144417">
      <w:bodyDiv w:val="1"/>
      <w:marLeft w:val="0"/>
      <w:marRight w:val="0"/>
      <w:marTop w:val="0"/>
      <w:marBottom w:val="0"/>
      <w:divBdr>
        <w:top w:val="none" w:sz="0" w:space="0" w:color="auto"/>
        <w:left w:val="none" w:sz="0" w:space="0" w:color="auto"/>
        <w:bottom w:val="none" w:sz="0" w:space="0" w:color="auto"/>
        <w:right w:val="none" w:sz="0" w:space="0" w:color="auto"/>
      </w:divBdr>
    </w:div>
    <w:div w:id="656105821">
      <w:bodyDiv w:val="1"/>
      <w:marLeft w:val="0"/>
      <w:marRight w:val="0"/>
      <w:marTop w:val="0"/>
      <w:marBottom w:val="0"/>
      <w:divBdr>
        <w:top w:val="none" w:sz="0" w:space="0" w:color="auto"/>
        <w:left w:val="none" w:sz="0" w:space="0" w:color="auto"/>
        <w:bottom w:val="none" w:sz="0" w:space="0" w:color="auto"/>
        <w:right w:val="none" w:sz="0" w:space="0" w:color="auto"/>
      </w:divBdr>
    </w:div>
    <w:div w:id="656228041">
      <w:bodyDiv w:val="1"/>
      <w:marLeft w:val="0"/>
      <w:marRight w:val="0"/>
      <w:marTop w:val="0"/>
      <w:marBottom w:val="0"/>
      <w:divBdr>
        <w:top w:val="none" w:sz="0" w:space="0" w:color="auto"/>
        <w:left w:val="none" w:sz="0" w:space="0" w:color="auto"/>
        <w:bottom w:val="none" w:sz="0" w:space="0" w:color="auto"/>
        <w:right w:val="none" w:sz="0" w:space="0" w:color="auto"/>
      </w:divBdr>
    </w:div>
    <w:div w:id="657924783">
      <w:bodyDiv w:val="1"/>
      <w:marLeft w:val="0"/>
      <w:marRight w:val="0"/>
      <w:marTop w:val="0"/>
      <w:marBottom w:val="0"/>
      <w:divBdr>
        <w:top w:val="none" w:sz="0" w:space="0" w:color="auto"/>
        <w:left w:val="none" w:sz="0" w:space="0" w:color="auto"/>
        <w:bottom w:val="none" w:sz="0" w:space="0" w:color="auto"/>
        <w:right w:val="none" w:sz="0" w:space="0" w:color="auto"/>
      </w:divBdr>
    </w:div>
    <w:div w:id="658851007">
      <w:bodyDiv w:val="1"/>
      <w:marLeft w:val="0"/>
      <w:marRight w:val="0"/>
      <w:marTop w:val="0"/>
      <w:marBottom w:val="0"/>
      <w:divBdr>
        <w:top w:val="none" w:sz="0" w:space="0" w:color="auto"/>
        <w:left w:val="none" w:sz="0" w:space="0" w:color="auto"/>
        <w:bottom w:val="none" w:sz="0" w:space="0" w:color="auto"/>
        <w:right w:val="none" w:sz="0" w:space="0" w:color="auto"/>
      </w:divBdr>
    </w:div>
    <w:div w:id="659044265">
      <w:bodyDiv w:val="1"/>
      <w:marLeft w:val="0"/>
      <w:marRight w:val="0"/>
      <w:marTop w:val="0"/>
      <w:marBottom w:val="0"/>
      <w:divBdr>
        <w:top w:val="none" w:sz="0" w:space="0" w:color="auto"/>
        <w:left w:val="none" w:sz="0" w:space="0" w:color="auto"/>
        <w:bottom w:val="none" w:sz="0" w:space="0" w:color="auto"/>
        <w:right w:val="none" w:sz="0" w:space="0" w:color="auto"/>
      </w:divBdr>
    </w:div>
    <w:div w:id="666632604">
      <w:bodyDiv w:val="1"/>
      <w:marLeft w:val="0"/>
      <w:marRight w:val="0"/>
      <w:marTop w:val="0"/>
      <w:marBottom w:val="0"/>
      <w:divBdr>
        <w:top w:val="none" w:sz="0" w:space="0" w:color="auto"/>
        <w:left w:val="none" w:sz="0" w:space="0" w:color="auto"/>
        <w:bottom w:val="none" w:sz="0" w:space="0" w:color="auto"/>
        <w:right w:val="none" w:sz="0" w:space="0" w:color="auto"/>
      </w:divBdr>
    </w:div>
    <w:div w:id="669910434">
      <w:bodyDiv w:val="1"/>
      <w:marLeft w:val="0"/>
      <w:marRight w:val="0"/>
      <w:marTop w:val="0"/>
      <w:marBottom w:val="0"/>
      <w:divBdr>
        <w:top w:val="none" w:sz="0" w:space="0" w:color="auto"/>
        <w:left w:val="none" w:sz="0" w:space="0" w:color="auto"/>
        <w:bottom w:val="none" w:sz="0" w:space="0" w:color="auto"/>
        <w:right w:val="none" w:sz="0" w:space="0" w:color="auto"/>
      </w:divBdr>
    </w:div>
    <w:div w:id="670378811">
      <w:bodyDiv w:val="1"/>
      <w:marLeft w:val="0"/>
      <w:marRight w:val="0"/>
      <w:marTop w:val="0"/>
      <w:marBottom w:val="0"/>
      <w:divBdr>
        <w:top w:val="none" w:sz="0" w:space="0" w:color="auto"/>
        <w:left w:val="none" w:sz="0" w:space="0" w:color="auto"/>
        <w:bottom w:val="none" w:sz="0" w:space="0" w:color="auto"/>
        <w:right w:val="none" w:sz="0" w:space="0" w:color="auto"/>
      </w:divBdr>
    </w:div>
    <w:div w:id="670987982">
      <w:bodyDiv w:val="1"/>
      <w:marLeft w:val="0"/>
      <w:marRight w:val="0"/>
      <w:marTop w:val="0"/>
      <w:marBottom w:val="0"/>
      <w:divBdr>
        <w:top w:val="none" w:sz="0" w:space="0" w:color="auto"/>
        <w:left w:val="none" w:sz="0" w:space="0" w:color="auto"/>
        <w:bottom w:val="none" w:sz="0" w:space="0" w:color="auto"/>
        <w:right w:val="none" w:sz="0" w:space="0" w:color="auto"/>
      </w:divBdr>
    </w:div>
    <w:div w:id="672076785">
      <w:bodyDiv w:val="1"/>
      <w:marLeft w:val="0"/>
      <w:marRight w:val="0"/>
      <w:marTop w:val="0"/>
      <w:marBottom w:val="0"/>
      <w:divBdr>
        <w:top w:val="none" w:sz="0" w:space="0" w:color="auto"/>
        <w:left w:val="none" w:sz="0" w:space="0" w:color="auto"/>
        <w:bottom w:val="none" w:sz="0" w:space="0" w:color="auto"/>
        <w:right w:val="none" w:sz="0" w:space="0" w:color="auto"/>
      </w:divBdr>
      <w:divsChild>
        <w:div w:id="594099959">
          <w:marLeft w:val="0"/>
          <w:marRight w:val="0"/>
          <w:marTop w:val="0"/>
          <w:marBottom w:val="0"/>
          <w:divBdr>
            <w:top w:val="none" w:sz="0" w:space="0" w:color="auto"/>
            <w:left w:val="none" w:sz="0" w:space="0" w:color="auto"/>
            <w:bottom w:val="none" w:sz="0" w:space="0" w:color="auto"/>
            <w:right w:val="none" w:sz="0" w:space="0" w:color="auto"/>
          </w:divBdr>
        </w:div>
      </w:divsChild>
    </w:div>
    <w:div w:id="672991953">
      <w:bodyDiv w:val="1"/>
      <w:marLeft w:val="0"/>
      <w:marRight w:val="0"/>
      <w:marTop w:val="0"/>
      <w:marBottom w:val="0"/>
      <w:divBdr>
        <w:top w:val="none" w:sz="0" w:space="0" w:color="auto"/>
        <w:left w:val="none" w:sz="0" w:space="0" w:color="auto"/>
        <w:bottom w:val="none" w:sz="0" w:space="0" w:color="auto"/>
        <w:right w:val="none" w:sz="0" w:space="0" w:color="auto"/>
      </w:divBdr>
    </w:div>
    <w:div w:id="674580015">
      <w:bodyDiv w:val="1"/>
      <w:marLeft w:val="0"/>
      <w:marRight w:val="0"/>
      <w:marTop w:val="0"/>
      <w:marBottom w:val="0"/>
      <w:divBdr>
        <w:top w:val="none" w:sz="0" w:space="0" w:color="auto"/>
        <w:left w:val="none" w:sz="0" w:space="0" w:color="auto"/>
        <w:bottom w:val="none" w:sz="0" w:space="0" w:color="auto"/>
        <w:right w:val="none" w:sz="0" w:space="0" w:color="auto"/>
      </w:divBdr>
    </w:div>
    <w:div w:id="675691638">
      <w:bodyDiv w:val="1"/>
      <w:marLeft w:val="0"/>
      <w:marRight w:val="0"/>
      <w:marTop w:val="0"/>
      <w:marBottom w:val="0"/>
      <w:divBdr>
        <w:top w:val="none" w:sz="0" w:space="0" w:color="auto"/>
        <w:left w:val="none" w:sz="0" w:space="0" w:color="auto"/>
        <w:bottom w:val="none" w:sz="0" w:space="0" w:color="auto"/>
        <w:right w:val="none" w:sz="0" w:space="0" w:color="auto"/>
      </w:divBdr>
    </w:div>
    <w:div w:id="675885658">
      <w:bodyDiv w:val="1"/>
      <w:marLeft w:val="0"/>
      <w:marRight w:val="0"/>
      <w:marTop w:val="0"/>
      <w:marBottom w:val="0"/>
      <w:divBdr>
        <w:top w:val="none" w:sz="0" w:space="0" w:color="auto"/>
        <w:left w:val="none" w:sz="0" w:space="0" w:color="auto"/>
        <w:bottom w:val="none" w:sz="0" w:space="0" w:color="auto"/>
        <w:right w:val="none" w:sz="0" w:space="0" w:color="auto"/>
      </w:divBdr>
    </w:div>
    <w:div w:id="683165797">
      <w:bodyDiv w:val="1"/>
      <w:marLeft w:val="0"/>
      <w:marRight w:val="0"/>
      <w:marTop w:val="0"/>
      <w:marBottom w:val="0"/>
      <w:divBdr>
        <w:top w:val="none" w:sz="0" w:space="0" w:color="auto"/>
        <w:left w:val="none" w:sz="0" w:space="0" w:color="auto"/>
        <w:bottom w:val="none" w:sz="0" w:space="0" w:color="auto"/>
        <w:right w:val="none" w:sz="0" w:space="0" w:color="auto"/>
      </w:divBdr>
    </w:div>
    <w:div w:id="693309164">
      <w:bodyDiv w:val="1"/>
      <w:marLeft w:val="0"/>
      <w:marRight w:val="0"/>
      <w:marTop w:val="0"/>
      <w:marBottom w:val="0"/>
      <w:divBdr>
        <w:top w:val="none" w:sz="0" w:space="0" w:color="auto"/>
        <w:left w:val="none" w:sz="0" w:space="0" w:color="auto"/>
        <w:bottom w:val="none" w:sz="0" w:space="0" w:color="auto"/>
        <w:right w:val="none" w:sz="0" w:space="0" w:color="auto"/>
      </w:divBdr>
    </w:div>
    <w:div w:id="693389355">
      <w:bodyDiv w:val="1"/>
      <w:marLeft w:val="0"/>
      <w:marRight w:val="0"/>
      <w:marTop w:val="0"/>
      <w:marBottom w:val="0"/>
      <w:divBdr>
        <w:top w:val="none" w:sz="0" w:space="0" w:color="auto"/>
        <w:left w:val="none" w:sz="0" w:space="0" w:color="auto"/>
        <w:bottom w:val="none" w:sz="0" w:space="0" w:color="auto"/>
        <w:right w:val="none" w:sz="0" w:space="0" w:color="auto"/>
      </w:divBdr>
    </w:div>
    <w:div w:id="698703507">
      <w:bodyDiv w:val="1"/>
      <w:marLeft w:val="0"/>
      <w:marRight w:val="0"/>
      <w:marTop w:val="0"/>
      <w:marBottom w:val="0"/>
      <w:divBdr>
        <w:top w:val="none" w:sz="0" w:space="0" w:color="auto"/>
        <w:left w:val="none" w:sz="0" w:space="0" w:color="auto"/>
        <w:bottom w:val="none" w:sz="0" w:space="0" w:color="auto"/>
        <w:right w:val="none" w:sz="0" w:space="0" w:color="auto"/>
      </w:divBdr>
    </w:div>
    <w:div w:id="705715440">
      <w:bodyDiv w:val="1"/>
      <w:marLeft w:val="0"/>
      <w:marRight w:val="0"/>
      <w:marTop w:val="0"/>
      <w:marBottom w:val="0"/>
      <w:divBdr>
        <w:top w:val="none" w:sz="0" w:space="0" w:color="auto"/>
        <w:left w:val="none" w:sz="0" w:space="0" w:color="auto"/>
        <w:bottom w:val="none" w:sz="0" w:space="0" w:color="auto"/>
        <w:right w:val="none" w:sz="0" w:space="0" w:color="auto"/>
      </w:divBdr>
    </w:div>
    <w:div w:id="706030905">
      <w:bodyDiv w:val="1"/>
      <w:marLeft w:val="0"/>
      <w:marRight w:val="0"/>
      <w:marTop w:val="0"/>
      <w:marBottom w:val="0"/>
      <w:divBdr>
        <w:top w:val="none" w:sz="0" w:space="0" w:color="auto"/>
        <w:left w:val="none" w:sz="0" w:space="0" w:color="auto"/>
        <w:bottom w:val="none" w:sz="0" w:space="0" w:color="auto"/>
        <w:right w:val="none" w:sz="0" w:space="0" w:color="auto"/>
      </w:divBdr>
    </w:div>
    <w:div w:id="707218121">
      <w:bodyDiv w:val="1"/>
      <w:marLeft w:val="0"/>
      <w:marRight w:val="0"/>
      <w:marTop w:val="0"/>
      <w:marBottom w:val="0"/>
      <w:divBdr>
        <w:top w:val="none" w:sz="0" w:space="0" w:color="auto"/>
        <w:left w:val="none" w:sz="0" w:space="0" w:color="auto"/>
        <w:bottom w:val="none" w:sz="0" w:space="0" w:color="auto"/>
        <w:right w:val="none" w:sz="0" w:space="0" w:color="auto"/>
      </w:divBdr>
    </w:div>
    <w:div w:id="707417459">
      <w:bodyDiv w:val="1"/>
      <w:marLeft w:val="0"/>
      <w:marRight w:val="0"/>
      <w:marTop w:val="0"/>
      <w:marBottom w:val="0"/>
      <w:divBdr>
        <w:top w:val="none" w:sz="0" w:space="0" w:color="auto"/>
        <w:left w:val="none" w:sz="0" w:space="0" w:color="auto"/>
        <w:bottom w:val="none" w:sz="0" w:space="0" w:color="auto"/>
        <w:right w:val="none" w:sz="0" w:space="0" w:color="auto"/>
      </w:divBdr>
    </w:div>
    <w:div w:id="707488756">
      <w:bodyDiv w:val="1"/>
      <w:marLeft w:val="0"/>
      <w:marRight w:val="0"/>
      <w:marTop w:val="0"/>
      <w:marBottom w:val="0"/>
      <w:divBdr>
        <w:top w:val="none" w:sz="0" w:space="0" w:color="auto"/>
        <w:left w:val="none" w:sz="0" w:space="0" w:color="auto"/>
        <w:bottom w:val="none" w:sz="0" w:space="0" w:color="auto"/>
        <w:right w:val="none" w:sz="0" w:space="0" w:color="auto"/>
      </w:divBdr>
    </w:div>
    <w:div w:id="708528027">
      <w:bodyDiv w:val="1"/>
      <w:marLeft w:val="0"/>
      <w:marRight w:val="0"/>
      <w:marTop w:val="0"/>
      <w:marBottom w:val="0"/>
      <w:divBdr>
        <w:top w:val="none" w:sz="0" w:space="0" w:color="auto"/>
        <w:left w:val="none" w:sz="0" w:space="0" w:color="auto"/>
        <w:bottom w:val="none" w:sz="0" w:space="0" w:color="auto"/>
        <w:right w:val="none" w:sz="0" w:space="0" w:color="auto"/>
      </w:divBdr>
    </w:div>
    <w:div w:id="709838213">
      <w:bodyDiv w:val="1"/>
      <w:marLeft w:val="0"/>
      <w:marRight w:val="0"/>
      <w:marTop w:val="0"/>
      <w:marBottom w:val="0"/>
      <w:divBdr>
        <w:top w:val="none" w:sz="0" w:space="0" w:color="auto"/>
        <w:left w:val="none" w:sz="0" w:space="0" w:color="auto"/>
        <w:bottom w:val="none" w:sz="0" w:space="0" w:color="auto"/>
        <w:right w:val="none" w:sz="0" w:space="0" w:color="auto"/>
      </w:divBdr>
    </w:div>
    <w:div w:id="711727717">
      <w:bodyDiv w:val="1"/>
      <w:marLeft w:val="0"/>
      <w:marRight w:val="0"/>
      <w:marTop w:val="0"/>
      <w:marBottom w:val="0"/>
      <w:divBdr>
        <w:top w:val="none" w:sz="0" w:space="0" w:color="auto"/>
        <w:left w:val="none" w:sz="0" w:space="0" w:color="auto"/>
        <w:bottom w:val="none" w:sz="0" w:space="0" w:color="auto"/>
        <w:right w:val="none" w:sz="0" w:space="0" w:color="auto"/>
      </w:divBdr>
    </w:div>
    <w:div w:id="712535069">
      <w:bodyDiv w:val="1"/>
      <w:marLeft w:val="0"/>
      <w:marRight w:val="0"/>
      <w:marTop w:val="0"/>
      <w:marBottom w:val="0"/>
      <w:divBdr>
        <w:top w:val="none" w:sz="0" w:space="0" w:color="auto"/>
        <w:left w:val="none" w:sz="0" w:space="0" w:color="auto"/>
        <w:bottom w:val="none" w:sz="0" w:space="0" w:color="auto"/>
        <w:right w:val="none" w:sz="0" w:space="0" w:color="auto"/>
      </w:divBdr>
    </w:div>
    <w:div w:id="712536395">
      <w:bodyDiv w:val="1"/>
      <w:marLeft w:val="0"/>
      <w:marRight w:val="0"/>
      <w:marTop w:val="0"/>
      <w:marBottom w:val="0"/>
      <w:divBdr>
        <w:top w:val="none" w:sz="0" w:space="0" w:color="auto"/>
        <w:left w:val="none" w:sz="0" w:space="0" w:color="auto"/>
        <w:bottom w:val="none" w:sz="0" w:space="0" w:color="auto"/>
        <w:right w:val="none" w:sz="0" w:space="0" w:color="auto"/>
      </w:divBdr>
    </w:div>
    <w:div w:id="717624940">
      <w:bodyDiv w:val="1"/>
      <w:marLeft w:val="0"/>
      <w:marRight w:val="0"/>
      <w:marTop w:val="0"/>
      <w:marBottom w:val="0"/>
      <w:divBdr>
        <w:top w:val="none" w:sz="0" w:space="0" w:color="auto"/>
        <w:left w:val="none" w:sz="0" w:space="0" w:color="auto"/>
        <w:bottom w:val="none" w:sz="0" w:space="0" w:color="auto"/>
        <w:right w:val="none" w:sz="0" w:space="0" w:color="auto"/>
      </w:divBdr>
    </w:div>
    <w:div w:id="719522346">
      <w:bodyDiv w:val="1"/>
      <w:marLeft w:val="0"/>
      <w:marRight w:val="0"/>
      <w:marTop w:val="0"/>
      <w:marBottom w:val="0"/>
      <w:divBdr>
        <w:top w:val="none" w:sz="0" w:space="0" w:color="auto"/>
        <w:left w:val="none" w:sz="0" w:space="0" w:color="auto"/>
        <w:bottom w:val="none" w:sz="0" w:space="0" w:color="auto"/>
        <w:right w:val="none" w:sz="0" w:space="0" w:color="auto"/>
      </w:divBdr>
    </w:div>
    <w:div w:id="726148941">
      <w:bodyDiv w:val="1"/>
      <w:marLeft w:val="0"/>
      <w:marRight w:val="0"/>
      <w:marTop w:val="0"/>
      <w:marBottom w:val="0"/>
      <w:divBdr>
        <w:top w:val="none" w:sz="0" w:space="0" w:color="auto"/>
        <w:left w:val="none" w:sz="0" w:space="0" w:color="auto"/>
        <w:bottom w:val="none" w:sz="0" w:space="0" w:color="auto"/>
        <w:right w:val="none" w:sz="0" w:space="0" w:color="auto"/>
      </w:divBdr>
    </w:div>
    <w:div w:id="729424043">
      <w:bodyDiv w:val="1"/>
      <w:marLeft w:val="0"/>
      <w:marRight w:val="0"/>
      <w:marTop w:val="0"/>
      <w:marBottom w:val="0"/>
      <w:divBdr>
        <w:top w:val="none" w:sz="0" w:space="0" w:color="auto"/>
        <w:left w:val="none" w:sz="0" w:space="0" w:color="auto"/>
        <w:bottom w:val="none" w:sz="0" w:space="0" w:color="auto"/>
        <w:right w:val="none" w:sz="0" w:space="0" w:color="auto"/>
      </w:divBdr>
      <w:divsChild>
        <w:div w:id="310058828">
          <w:marLeft w:val="0"/>
          <w:marRight w:val="0"/>
          <w:marTop w:val="0"/>
          <w:marBottom w:val="0"/>
          <w:divBdr>
            <w:top w:val="none" w:sz="0" w:space="0" w:color="auto"/>
            <w:left w:val="none" w:sz="0" w:space="0" w:color="auto"/>
            <w:bottom w:val="none" w:sz="0" w:space="0" w:color="auto"/>
            <w:right w:val="none" w:sz="0" w:space="0" w:color="auto"/>
          </w:divBdr>
        </w:div>
        <w:div w:id="1996638096">
          <w:marLeft w:val="0"/>
          <w:marRight w:val="0"/>
          <w:marTop w:val="0"/>
          <w:marBottom w:val="0"/>
          <w:divBdr>
            <w:top w:val="none" w:sz="0" w:space="0" w:color="auto"/>
            <w:left w:val="none" w:sz="0" w:space="0" w:color="auto"/>
            <w:bottom w:val="none" w:sz="0" w:space="0" w:color="auto"/>
            <w:right w:val="none" w:sz="0" w:space="0" w:color="auto"/>
          </w:divBdr>
        </w:div>
        <w:div w:id="2066637731">
          <w:marLeft w:val="0"/>
          <w:marRight w:val="0"/>
          <w:marTop w:val="0"/>
          <w:marBottom w:val="0"/>
          <w:divBdr>
            <w:top w:val="none" w:sz="0" w:space="0" w:color="auto"/>
            <w:left w:val="none" w:sz="0" w:space="0" w:color="auto"/>
            <w:bottom w:val="none" w:sz="0" w:space="0" w:color="auto"/>
            <w:right w:val="none" w:sz="0" w:space="0" w:color="auto"/>
          </w:divBdr>
        </w:div>
      </w:divsChild>
    </w:div>
    <w:div w:id="729688684">
      <w:bodyDiv w:val="1"/>
      <w:marLeft w:val="0"/>
      <w:marRight w:val="0"/>
      <w:marTop w:val="0"/>
      <w:marBottom w:val="0"/>
      <w:divBdr>
        <w:top w:val="none" w:sz="0" w:space="0" w:color="auto"/>
        <w:left w:val="none" w:sz="0" w:space="0" w:color="auto"/>
        <w:bottom w:val="none" w:sz="0" w:space="0" w:color="auto"/>
        <w:right w:val="none" w:sz="0" w:space="0" w:color="auto"/>
      </w:divBdr>
    </w:div>
    <w:div w:id="729814382">
      <w:bodyDiv w:val="1"/>
      <w:marLeft w:val="0"/>
      <w:marRight w:val="0"/>
      <w:marTop w:val="0"/>
      <w:marBottom w:val="0"/>
      <w:divBdr>
        <w:top w:val="none" w:sz="0" w:space="0" w:color="auto"/>
        <w:left w:val="none" w:sz="0" w:space="0" w:color="auto"/>
        <w:bottom w:val="none" w:sz="0" w:space="0" w:color="auto"/>
        <w:right w:val="none" w:sz="0" w:space="0" w:color="auto"/>
      </w:divBdr>
    </w:div>
    <w:div w:id="730620667">
      <w:bodyDiv w:val="1"/>
      <w:marLeft w:val="0"/>
      <w:marRight w:val="0"/>
      <w:marTop w:val="0"/>
      <w:marBottom w:val="0"/>
      <w:divBdr>
        <w:top w:val="none" w:sz="0" w:space="0" w:color="auto"/>
        <w:left w:val="none" w:sz="0" w:space="0" w:color="auto"/>
        <w:bottom w:val="none" w:sz="0" w:space="0" w:color="auto"/>
        <w:right w:val="none" w:sz="0" w:space="0" w:color="auto"/>
      </w:divBdr>
    </w:div>
    <w:div w:id="732658129">
      <w:bodyDiv w:val="1"/>
      <w:marLeft w:val="0"/>
      <w:marRight w:val="0"/>
      <w:marTop w:val="0"/>
      <w:marBottom w:val="0"/>
      <w:divBdr>
        <w:top w:val="none" w:sz="0" w:space="0" w:color="auto"/>
        <w:left w:val="none" w:sz="0" w:space="0" w:color="auto"/>
        <w:bottom w:val="none" w:sz="0" w:space="0" w:color="auto"/>
        <w:right w:val="none" w:sz="0" w:space="0" w:color="auto"/>
      </w:divBdr>
    </w:div>
    <w:div w:id="732775958">
      <w:bodyDiv w:val="1"/>
      <w:marLeft w:val="0"/>
      <w:marRight w:val="0"/>
      <w:marTop w:val="0"/>
      <w:marBottom w:val="0"/>
      <w:divBdr>
        <w:top w:val="none" w:sz="0" w:space="0" w:color="auto"/>
        <w:left w:val="none" w:sz="0" w:space="0" w:color="auto"/>
        <w:bottom w:val="none" w:sz="0" w:space="0" w:color="auto"/>
        <w:right w:val="none" w:sz="0" w:space="0" w:color="auto"/>
      </w:divBdr>
    </w:div>
    <w:div w:id="733162527">
      <w:bodyDiv w:val="1"/>
      <w:marLeft w:val="0"/>
      <w:marRight w:val="0"/>
      <w:marTop w:val="0"/>
      <w:marBottom w:val="0"/>
      <w:divBdr>
        <w:top w:val="none" w:sz="0" w:space="0" w:color="auto"/>
        <w:left w:val="none" w:sz="0" w:space="0" w:color="auto"/>
        <w:bottom w:val="none" w:sz="0" w:space="0" w:color="auto"/>
        <w:right w:val="none" w:sz="0" w:space="0" w:color="auto"/>
      </w:divBdr>
    </w:div>
    <w:div w:id="733239911">
      <w:bodyDiv w:val="1"/>
      <w:marLeft w:val="0"/>
      <w:marRight w:val="0"/>
      <w:marTop w:val="0"/>
      <w:marBottom w:val="0"/>
      <w:divBdr>
        <w:top w:val="none" w:sz="0" w:space="0" w:color="auto"/>
        <w:left w:val="none" w:sz="0" w:space="0" w:color="auto"/>
        <w:bottom w:val="none" w:sz="0" w:space="0" w:color="auto"/>
        <w:right w:val="none" w:sz="0" w:space="0" w:color="auto"/>
      </w:divBdr>
    </w:div>
    <w:div w:id="735469359">
      <w:bodyDiv w:val="1"/>
      <w:marLeft w:val="0"/>
      <w:marRight w:val="0"/>
      <w:marTop w:val="0"/>
      <w:marBottom w:val="0"/>
      <w:divBdr>
        <w:top w:val="none" w:sz="0" w:space="0" w:color="auto"/>
        <w:left w:val="none" w:sz="0" w:space="0" w:color="auto"/>
        <w:bottom w:val="none" w:sz="0" w:space="0" w:color="auto"/>
        <w:right w:val="none" w:sz="0" w:space="0" w:color="auto"/>
      </w:divBdr>
    </w:div>
    <w:div w:id="736365381">
      <w:bodyDiv w:val="1"/>
      <w:marLeft w:val="0"/>
      <w:marRight w:val="0"/>
      <w:marTop w:val="0"/>
      <w:marBottom w:val="0"/>
      <w:divBdr>
        <w:top w:val="none" w:sz="0" w:space="0" w:color="auto"/>
        <w:left w:val="none" w:sz="0" w:space="0" w:color="auto"/>
        <w:bottom w:val="none" w:sz="0" w:space="0" w:color="auto"/>
        <w:right w:val="none" w:sz="0" w:space="0" w:color="auto"/>
      </w:divBdr>
    </w:div>
    <w:div w:id="737441343">
      <w:bodyDiv w:val="1"/>
      <w:marLeft w:val="0"/>
      <w:marRight w:val="0"/>
      <w:marTop w:val="0"/>
      <w:marBottom w:val="0"/>
      <w:divBdr>
        <w:top w:val="none" w:sz="0" w:space="0" w:color="auto"/>
        <w:left w:val="none" w:sz="0" w:space="0" w:color="auto"/>
        <w:bottom w:val="none" w:sz="0" w:space="0" w:color="auto"/>
        <w:right w:val="none" w:sz="0" w:space="0" w:color="auto"/>
      </w:divBdr>
    </w:div>
    <w:div w:id="737554764">
      <w:bodyDiv w:val="1"/>
      <w:marLeft w:val="0"/>
      <w:marRight w:val="0"/>
      <w:marTop w:val="0"/>
      <w:marBottom w:val="0"/>
      <w:divBdr>
        <w:top w:val="none" w:sz="0" w:space="0" w:color="auto"/>
        <w:left w:val="none" w:sz="0" w:space="0" w:color="auto"/>
        <w:bottom w:val="none" w:sz="0" w:space="0" w:color="auto"/>
        <w:right w:val="none" w:sz="0" w:space="0" w:color="auto"/>
      </w:divBdr>
    </w:div>
    <w:div w:id="738556995">
      <w:bodyDiv w:val="1"/>
      <w:marLeft w:val="0"/>
      <w:marRight w:val="0"/>
      <w:marTop w:val="0"/>
      <w:marBottom w:val="0"/>
      <w:divBdr>
        <w:top w:val="none" w:sz="0" w:space="0" w:color="auto"/>
        <w:left w:val="none" w:sz="0" w:space="0" w:color="auto"/>
        <w:bottom w:val="none" w:sz="0" w:space="0" w:color="auto"/>
        <w:right w:val="none" w:sz="0" w:space="0" w:color="auto"/>
      </w:divBdr>
    </w:div>
    <w:div w:id="743912750">
      <w:bodyDiv w:val="1"/>
      <w:marLeft w:val="0"/>
      <w:marRight w:val="0"/>
      <w:marTop w:val="0"/>
      <w:marBottom w:val="0"/>
      <w:divBdr>
        <w:top w:val="none" w:sz="0" w:space="0" w:color="auto"/>
        <w:left w:val="none" w:sz="0" w:space="0" w:color="auto"/>
        <w:bottom w:val="none" w:sz="0" w:space="0" w:color="auto"/>
        <w:right w:val="none" w:sz="0" w:space="0" w:color="auto"/>
      </w:divBdr>
    </w:div>
    <w:div w:id="744834844">
      <w:bodyDiv w:val="1"/>
      <w:marLeft w:val="0"/>
      <w:marRight w:val="0"/>
      <w:marTop w:val="0"/>
      <w:marBottom w:val="0"/>
      <w:divBdr>
        <w:top w:val="none" w:sz="0" w:space="0" w:color="auto"/>
        <w:left w:val="none" w:sz="0" w:space="0" w:color="auto"/>
        <w:bottom w:val="none" w:sz="0" w:space="0" w:color="auto"/>
        <w:right w:val="none" w:sz="0" w:space="0" w:color="auto"/>
      </w:divBdr>
    </w:div>
    <w:div w:id="746265062">
      <w:bodyDiv w:val="1"/>
      <w:marLeft w:val="0"/>
      <w:marRight w:val="0"/>
      <w:marTop w:val="0"/>
      <w:marBottom w:val="0"/>
      <w:divBdr>
        <w:top w:val="none" w:sz="0" w:space="0" w:color="auto"/>
        <w:left w:val="none" w:sz="0" w:space="0" w:color="auto"/>
        <w:bottom w:val="none" w:sz="0" w:space="0" w:color="auto"/>
        <w:right w:val="none" w:sz="0" w:space="0" w:color="auto"/>
      </w:divBdr>
    </w:div>
    <w:div w:id="747504907">
      <w:bodyDiv w:val="1"/>
      <w:marLeft w:val="0"/>
      <w:marRight w:val="0"/>
      <w:marTop w:val="0"/>
      <w:marBottom w:val="0"/>
      <w:divBdr>
        <w:top w:val="none" w:sz="0" w:space="0" w:color="auto"/>
        <w:left w:val="none" w:sz="0" w:space="0" w:color="auto"/>
        <w:bottom w:val="none" w:sz="0" w:space="0" w:color="auto"/>
        <w:right w:val="none" w:sz="0" w:space="0" w:color="auto"/>
      </w:divBdr>
    </w:div>
    <w:div w:id="749812261">
      <w:bodyDiv w:val="1"/>
      <w:marLeft w:val="0"/>
      <w:marRight w:val="0"/>
      <w:marTop w:val="0"/>
      <w:marBottom w:val="0"/>
      <w:divBdr>
        <w:top w:val="none" w:sz="0" w:space="0" w:color="auto"/>
        <w:left w:val="none" w:sz="0" w:space="0" w:color="auto"/>
        <w:bottom w:val="none" w:sz="0" w:space="0" w:color="auto"/>
        <w:right w:val="none" w:sz="0" w:space="0" w:color="auto"/>
      </w:divBdr>
    </w:div>
    <w:div w:id="750079815">
      <w:bodyDiv w:val="1"/>
      <w:marLeft w:val="0"/>
      <w:marRight w:val="0"/>
      <w:marTop w:val="0"/>
      <w:marBottom w:val="0"/>
      <w:divBdr>
        <w:top w:val="none" w:sz="0" w:space="0" w:color="auto"/>
        <w:left w:val="none" w:sz="0" w:space="0" w:color="auto"/>
        <w:bottom w:val="none" w:sz="0" w:space="0" w:color="auto"/>
        <w:right w:val="none" w:sz="0" w:space="0" w:color="auto"/>
      </w:divBdr>
    </w:div>
    <w:div w:id="750852043">
      <w:bodyDiv w:val="1"/>
      <w:marLeft w:val="0"/>
      <w:marRight w:val="0"/>
      <w:marTop w:val="0"/>
      <w:marBottom w:val="0"/>
      <w:divBdr>
        <w:top w:val="none" w:sz="0" w:space="0" w:color="auto"/>
        <w:left w:val="none" w:sz="0" w:space="0" w:color="auto"/>
        <w:bottom w:val="none" w:sz="0" w:space="0" w:color="auto"/>
        <w:right w:val="none" w:sz="0" w:space="0" w:color="auto"/>
      </w:divBdr>
    </w:div>
    <w:div w:id="752358844">
      <w:bodyDiv w:val="1"/>
      <w:marLeft w:val="0"/>
      <w:marRight w:val="0"/>
      <w:marTop w:val="0"/>
      <w:marBottom w:val="0"/>
      <w:divBdr>
        <w:top w:val="none" w:sz="0" w:space="0" w:color="auto"/>
        <w:left w:val="none" w:sz="0" w:space="0" w:color="auto"/>
        <w:bottom w:val="none" w:sz="0" w:space="0" w:color="auto"/>
        <w:right w:val="none" w:sz="0" w:space="0" w:color="auto"/>
      </w:divBdr>
    </w:div>
    <w:div w:id="755201700">
      <w:bodyDiv w:val="1"/>
      <w:marLeft w:val="0"/>
      <w:marRight w:val="0"/>
      <w:marTop w:val="0"/>
      <w:marBottom w:val="0"/>
      <w:divBdr>
        <w:top w:val="none" w:sz="0" w:space="0" w:color="auto"/>
        <w:left w:val="none" w:sz="0" w:space="0" w:color="auto"/>
        <w:bottom w:val="none" w:sz="0" w:space="0" w:color="auto"/>
        <w:right w:val="none" w:sz="0" w:space="0" w:color="auto"/>
      </w:divBdr>
      <w:divsChild>
        <w:div w:id="73279242">
          <w:marLeft w:val="0"/>
          <w:marRight w:val="0"/>
          <w:marTop w:val="0"/>
          <w:marBottom w:val="0"/>
          <w:divBdr>
            <w:top w:val="none" w:sz="0" w:space="0" w:color="auto"/>
            <w:left w:val="none" w:sz="0" w:space="0" w:color="auto"/>
            <w:bottom w:val="none" w:sz="0" w:space="0" w:color="auto"/>
            <w:right w:val="none" w:sz="0" w:space="0" w:color="auto"/>
          </w:divBdr>
        </w:div>
      </w:divsChild>
    </w:div>
    <w:div w:id="756708376">
      <w:bodyDiv w:val="1"/>
      <w:marLeft w:val="0"/>
      <w:marRight w:val="0"/>
      <w:marTop w:val="0"/>
      <w:marBottom w:val="0"/>
      <w:divBdr>
        <w:top w:val="none" w:sz="0" w:space="0" w:color="auto"/>
        <w:left w:val="none" w:sz="0" w:space="0" w:color="auto"/>
        <w:bottom w:val="none" w:sz="0" w:space="0" w:color="auto"/>
        <w:right w:val="none" w:sz="0" w:space="0" w:color="auto"/>
      </w:divBdr>
    </w:div>
    <w:div w:id="758409379">
      <w:bodyDiv w:val="1"/>
      <w:marLeft w:val="0"/>
      <w:marRight w:val="0"/>
      <w:marTop w:val="0"/>
      <w:marBottom w:val="0"/>
      <w:divBdr>
        <w:top w:val="none" w:sz="0" w:space="0" w:color="auto"/>
        <w:left w:val="none" w:sz="0" w:space="0" w:color="auto"/>
        <w:bottom w:val="none" w:sz="0" w:space="0" w:color="auto"/>
        <w:right w:val="none" w:sz="0" w:space="0" w:color="auto"/>
      </w:divBdr>
    </w:div>
    <w:div w:id="759721321">
      <w:bodyDiv w:val="1"/>
      <w:marLeft w:val="0"/>
      <w:marRight w:val="0"/>
      <w:marTop w:val="0"/>
      <w:marBottom w:val="0"/>
      <w:divBdr>
        <w:top w:val="none" w:sz="0" w:space="0" w:color="auto"/>
        <w:left w:val="none" w:sz="0" w:space="0" w:color="auto"/>
        <w:bottom w:val="none" w:sz="0" w:space="0" w:color="auto"/>
        <w:right w:val="none" w:sz="0" w:space="0" w:color="auto"/>
      </w:divBdr>
    </w:div>
    <w:div w:id="759911396">
      <w:bodyDiv w:val="1"/>
      <w:marLeft w:val="0"/>
      <w:marRight w:val="0"/>
      <w:marTop w:val="0"/>
      <w:marBottom w:val="0"/>
      <w:divBdr>
        <w:top w:val="none" w:sz="0" w:space="0" w:color="auto"/>
        <w:left w:val="none" w:sz="0" w:space="0" w:color="auto"/>
        <w:bottom w:val="none" w:sz="0" w:space="0" w:color="auto"/>
        <w:right w:val="none" w:sz="0" w:space="0" w:color="auto"/>
      </w:divBdr>
    </w:div>
    <w:div w:id="761607278">
      <w:bodyDiv w:val="1"/>
      <w:marLeft w:val="0"/>
      <w:marRight w:val="0"/>
      <w:marTop w:val="0"/>
      <w:marBottom w:val="0"/>
      <w:divBdr>
        <w:top w:val="none" w:sz="0" w:space="0" w:color="auto"/>
        <w:left w:val="none" w:sz="0" w:space="0" w:color="auto"/>
        <w:bottom w:val="none" w:sz="0" w:space="0" w:color="auto"/>
        <w:right w:val="none" w:sz="0" w:space="0" w:color="auto"/>
      </w:divBdr>
    </w:div>
    <w:div w:id="763455518">
      <w:bodyDiv w:val="1"/>
      <w:marLeft w:val="0"/>
      <w:marRight w:val="0"/>
      <w:marTop w:val="0"/>
      <w:marBottom w:val="0"/>
      <w:divBdr>
        <w:top w:val="none" w:sz="0" w:space="0" w:color="auto"/>
        <w:left w:val="none" w:sz="0" w:space="0" w:color="auto"/>
        <w:bottom w:val="none" w:sz="0" w:space="0" w:color="auto"/>
        <w:right w:val="none" w:sz="0" w:space="0" w:color="auto"/>
      </w:divBdr>
    </w:div>
    <w:div w:id="764111307">
      <w:bodyDiv w:val="1"/>
      <w:marLeft w:val="0"/>
      <w:marRight w:val="0"/>
      <w:marTop w:val="0"/>
      <w:marBottom w:val="0"/>
      <w:divBdr>
        <w:top w:val="none" w:sz="0" w:space="0" w:color="auto"/>
        <w:left w:val="none" w:sz="0" w:space="0" w:color="auto"/>
        <w:bottom w:val="none" w:sz="0" w:space="0" w:color="auto"/>
        <w:right w:val="none" w:sz="0" w:space="0" w:color="auto"/>
      </w:divBdr>
    </w:div>
    <w:div w:id="765073110">
      <w:bodyDiv w:val="1"/>
      <w:marLeft w:val="0"/>
      <w:marRight w:val="0"/>
      <w:marTop w:val="0"/>
      <w:marBottom w:val="0"/>
      <w:divBdr>
        <w:top w:val="none" w:sz="0" w:space="0" w:color="auto"/>
        <w:left w:val="none" w:sz="0" w:space="0" w:color="auto"/>
        <w:bottom w:val="none" w:sz="0" w:space="0" w:color="auto"/>
        <w:right w:val="none" w:sz="0" w:space="0" w:color="auto"/>
      </w:divBdr>
    </w:div>
    <w:div w:id="766848185">
      <w:bodyDiv w:val="1"/>
      <w:marLeft w:val="0"/>
      <w:marRight w:val="0"/>
      <w:marTop w:val="0"/>
      <w:marBottom w:val="0"/>
      <w:divBdr>
        <w:top w:val="none" w:sz="0" w:space="0" w:color="auto"/>
        <w:left w:val="none" w:sz="0" w:space="0" w:color="auto"/>
        <w:bottom w:val="none" w:sz="0" w:space="0" w:color="auto"/>
        <w:right w:val="none" w:sz="0" w:space="0" w:color="auto"/>
      </w:divBdr>
    </w:div>
    <w:div w:id="768501537">
      <w:bodyDiv w:val="1"/>
      <w:marLeft w:val="0"/>
      <w:marRight w:val="0"/>
      <w:marTop w:val="0"/>
      <w:marBottom w:val="0"/>
      <w:divBdr>
        <w:top w:val="none" w:sz="0" w:space="0" w:color="auto"/>
        <w:left w:val="none" w:sz="0" w:space="0" w:color="auto"/>
        <w:bottom w:val="none" w:sz="0" w:space="0" w:color="auto"/>
        <w:right w:val="none" w:sz="0" w:space="0" w:color="auto"/>
      </w:divBdr>
    </w:div>
    <w:div w:id="780757749">
      <w:bodyDiv w:val="1"/>
      <w:marLeft w:val="0"/>
      <w:marRight w:val="0"/>
      <w:marTop w:val="0"/>
      <w:marBottom w:val="0"/>
      <w:divBdr>
        <w:top w:val="none" w:sz="0" w:space="0" w:color="auto"/>
        <w:left w:val="none" w:sz="0" w:space="0" w:color="auto"/>
        <w:bottom w:val="none" w:sz="0" w:space="0" w:color="auto"/>
        <w:right w:val="none" w:sz="0" w:space="0" w:color="auto"/>
      </w:divBdr>
    </w:div>
    <w:div w:id="780996693">
      <w:bodyDiv w:val="1"/>
      <w:marLeft w:val="0"/>
      <w:marRight w:val="0"/>
      <w:marTop w:val="0"/>
      <w:marBottom w:val="0"/>
      <w:divBdr>
        <w:top w:val="none" w:sz="0" w:space="0" w:color="auto"/>
        <w:left w:val="none" w:sz="0" w:space="0" w:color="auto"/>
        <w:bottom w:val="none" w:sz="0" w:space="0" w:color="auto"/>
        <w:right w:val="none" w:sz="0" w:space="0" w:color="auto"/>
      </w:divBdr>
    </w:div>
    <w:div w:id="781148484">
      <w:bodyDiv w:val="1"/>
      <w:marLeft w:val="0"/>
      <w:marRight w:val="0"/>
      <w:marTop w:val="0"/>
      <w:marBottom w:val="0"/>
      <w:divBdr>
        <w:top w:val="none" w:sz="0" w:space="0" w:color="auto"/>
        <w:left w:val="none" w:sz="0" w:space="0" w:color="auto"/>
        <w:bottom w:val="none" w:sz="0" w:space="0" w:color="auto"/>
        <w:right w:val="none" w:sz="0" w:space="0" w:color="auto"/>
      </w:divBdr>
    </w:div>
    <w:div w:id="781807287">
      <w:bodyDiv w:val="1"/>
      <w:marLeft w:val="0"/>
      <w:marRight w:val="0"/>
      <w:marTop w:val="0"/>
      <w:marBottom w:val="0"/>
      <w:divBdr>
        <w:top w:val="none" w:sz="0" w:space="0" w:color="auto"/>
        <w:left w:val="none" w:sz="0" w:space="0" w:color="auto"/>
        <w:bottom w:val="none" w:sz="0" w:space="0" w:color="auto"/>
        <w:right w:val="none" w:sz="0" w:space="0" w:color="auto"/>
      </w:divBdr>
    </w:div>
    <w:div w:id="782191530">
      <w:bodyDiv w:val="1"/>
      <w:marLeft w:val="0"/>
      <w:marRight w:val="0"/>
      <w:marTop w:val="0"/>
      <w:marBottom w:val="0"/>
      <w:divBdr>
        <w:top w:val="none" w:sz="0" w:space="0" w:color="auto"/>
        <w:left w:val="none" w:sz="0" w:space="0" w:color="auto"/>
        <w:bottom w:val="none" w:sz="0" w:space="0" w:color="auto"/>
        <w:right w:val="none" w:sz="0" w:space="0" w:color="auto"/>
      </w:divBdr>
    </w:div>
    <w:div w:id="785319690">
      <w:bodyDiv w:val="1"/>
      <w:marLeft w:val="0"/>
      <w:marRight w:val="0"/>
      <w:marTop w:val="0"/>
      <w:marBottom w:val="0"/>
      <w:divBdr>
        <w:top w:val="none" w:sz="0" w:space="0" w:color="auto"/>
        <w:left w:val="none" w:sz="0" w:space="0" w:color="auto"/>
        <w:bottom w:val="none" w:sz="0" w:space="0" w:color="auto"/>
        <w:right w:val="none" w:sz="0" w:space="0" w:color="auto"/>
      </w:divBdr>
    </w:div>
    <w:div w:id="788012288">
      <w:bodyDiv w:val="1"/>
      <w:marLeft w:val="0"/>
      <w:marRight w:val="0"/>
      <w:marTop w:val="0"/>
      <w:marBottom w:val="0"/>
      <w:divBdr>
        <w:top w:val="none" w:sz="0" w:space="0" w:color="auto"/>
        <w:left w:val="none" w:sz="0" w:space="0" w:color="auto"/>
        <w:bottom w:val="none" w:sz="0" w:space="0" w:color="auto"/>
        <w:right w:val="none" w:sz="0" w:space="0" w:color="auto"/>
      </w:divBdr>
    </w:div>
    <w:div w:id="788203559">
      <w:bodyDiv w:val="1"/>
      <w:marLeft w:val="0"/>
      <w:marRight w:val="0"/>
      <w:marTop w:val="0"/>
      <w:marBottom w:val="0"/>
      <w:divBdr>
        <w:top w:val="none" w:sz="0" w:space="0" w:color="auto"/>
        <w:left w:val="none" w:sz="0" w:space="0" w:color="auto"/>
        <w:bottom w:val="none" w:sz="0" w:space="0" w:color="auto"/>
        <w:right w:val="none" w:sz="0" w:space="0" w:color="auto"/>
      </w:divBdr>
    </w:div>
    <w:div w:id="789010899">
      <w:bodyDiv w:val="1"/>
      <w:marLeft w:val="0"/>
      <w:marRight w:val="0"/>
      <w:marTop w:val="0"/>
      <w:marBottom w:val="0"/>
      <w:divBdr>
        <w:top w:val="none" w:sz="0" w:space="0" w:color="auto"/>
        <w:left w:val="none" w:sz="0" w:space="0" w:color="auto"/>
        <w:bottom w:val="none" w:sz="0" w:space="0" w:color="auto"/>
        <w:right w:val="none" w:sz="0" w:space="0" w:color="auto"/>
      </w:divBdr>
    </w:div>
    <w:div w:id="790591915">
      <w:bodyDiv w:val="1"/>
      <w:marLeft w:val="0"/>
      <w:marRight w:val="0"/>
      <w:marTop w:val="0"/>
      <w:marBottom w:val="0"/>
      <w:divBdr>
        <w:top w:val="none" w:sz="0" w:space="0" w:color="auto"/>
        <w:left w:val="none" w:sz="0" w:space="0" w:color="auto"/>
        <w:bottom w:val="none" w:sz="0" w:space="0" w:color="auto"/>
        <w:right w:val="none" w:sz="0" w:space="0" w:color="auto"/>
      </w:divBdr>
    </w:div>
    <w:div w:id="790780375">
      <w:bodyDiv w:val="1"/>
      <w:marLeft w:val="0"/>
      <w:marRight w:val="0"/>
      <w:marTop w:val="0"/>
      <w:marBottom w:val="0"/>
      <w:divBdr>
        <w:top w:val="none" w:sz="0" w:space="0" w:color="auto"/>
        <w:left w:val="none" w:sz="0" w:space="0" w:color="auto"/>
        <w:bottom w:val="none" w:sz="0" w:space="0" w:color="auto"/>
        <w:right w:val="none" w:sz="0" w:space="0" w:color="auto"/>
      </w:divBdr>
    </w:div>
    <w:div w:id="791435958">
      <w:bodyDiv w:val="1"/>
      <w:marLeft w:val="0"/>
      <w:marRight w:val="0"/>
      <w:marTop w:val="0"/>
      <w:marBottom w:val="0"/>
      <w:divBdr>
        <w:top w:val="none" w:sz="0" w:space="0" w:color="auto"/>
        <w:left w:val="none" w:sz="0" w:space="0" w:color="auto"/>
        <w:bottom w:val="none" w:sz="0" w:space="0" w:color="auto"/>
        <w:right w:val="none" w:sz="0" w:space="0" w:color="auto"/>
      </w:divBdr>
    </w:div>
    <w:div w:id="791435976">
      <w:bodyDiv w:val="1"/>
      <w:marLeft w:val="0"/>
      <w:marRight w:val="0"/>
      <w:marTop w:val="0"/>
      <w:marBottom w:val="0"/>
      <w:divBdr>
        <w:top w:val="none" w:sz="0" w:space="0" w:color="auto"/>
        <w:left w:val="none" w:sz="0" w:space="0" w:color="auto"/>
        <w:bottom w:val="none" w:sz="0" w:space="0" w:color="auto"/>
        <w:right w:val="none" w:sz="0" w:space="0" w:color="auto"/>
      </w:divBdr>
    </w:div>
    <w:div w:id="791442220">
      <w:bodyDiv w:val="1"/>
      <w:marLeft w:val="0"/>
      <w:marRight w:val="0"/>
      <w:marTop w:val="0"/>
      <w:marBottom w:val="0"/>
      <w:divBdr>
        <w:top w:val="none" w:sz="0" w:space="0" w:color="auto"/>
        <w:left w:val="none" w:sz="0" w:space="0" w:color="auto"/>
        <w:bottom w:val="none" w:sz="0" w:space="0" w:color="auto"/>
        <w:right w:val="none" w:sz="0" w:space="0" w:color="auto"/>
      </w:divBdr>
    </w:div>
    <w:div w:id="792988688">
      <w:bodyDiv w:val="1"/>
      <w:marLeft w:val="0"/>
      <w:marRight w:val="0"/>
      <w:marTop w:val="0"/>
      <w:marBottom w:val="0"/>
      <w:divBdr>
        <w:top w:val="none" w:sz="0" w:space="0" w:color="auto"/>
        <w:left w:val="none" w:sz="0" w:space="0" w:color="auto"/>
        <w:bottom w:val="none" w:sz="0" w:space="0" w:color="auto"/>
        <w:right w:val="none" w:sz="0" w:space="0" w:color="auto"/>
      </w:divBdr>
    </w:div>
    <w:div w:id="795413011">
      <w:bodyDiv w:val="1"/>
      <w:marLeft w:val="0"/>
      <w:marRight w:val="0"/>
      <w:marTop w:val="0"/>
      <w:marBottom w:val="0"/>
      <w:divBdr>
        <w:top w:val="none" w:sz="0" w:space="0" w:color="auto"/>
        <w:left w:val="none" w:sz="0" w:space="0" w:color="auto"/>
        <w:bottom w:val="none" w:sz="0" w:space="0" w:color="auto"/>
        <w:right w:val="none" w:sz="0" w:space="0" w:color="auto"/>
      </w:divBdr>
    </w:div>
    <w:div w:id="796024210">
      <w:bodyDiv w:val="1"/>
      <w:marLeft w:val="0"/>
      <w:marRight w:val="0"/>
      <w:marTop w:val="0"/>
      <w:marBottom w:val="0"/>
      <w:divBdr>
        <w:top w:val="none" w:sz="0" w:space="0" w:color="auto"/>
        <w:left w:val="none" w:sz="0" w:space="0" w:color="auto"/>
        <w:bottom w:val="none" w:sz="0" w:space="0" w:color="auto"/>
        <w:right w:val="none" w:sz="0" w:space="0" w:color="auto"/>
      </w:divBdr>
    </w:div>
    <w:div w:id="801002958">
      <w:bodyDiv w:val="1"/>
      <w:marLeft w:val="0"/>
      <w:marRight w:val="0"/>
      <w:marTop w:val="0"/>
      <w:marBottom w:val="0"/>
      <w:divBdr>
        <w:top w:val="none" w:sz="0" w:space="0" w:color="auto"/>
        <w:left w:val="none" w:sz="0" w:space="0" w:color="auto"/>
        <w:bottom w:val="none" w:sz="0" w:space="0" w:color="auto"/>
        <w:right w:val="none" w:sz="0" w:space="0" w:color="auto"/>
      </w:divBdr>
    </w:div>
    <w:div w:id="801114603">
      <w:bodyDiv w:val="1"/>
      <w:marLeft w:val="0"/>
      <w:marRight w:val="0"/>
      <w:marTop w:val="0"/>
      <w:marBottom w:val="0"/>
      <w:divBdr>
        <w:top w:val="none" w:sz="0" w:space="0" w:color="auto"/>
        <w:left w:val="none" w:sz="0" w:space="0" w:color="auto"/>
        <w:bottom w:val="none" w:sz="0" w:space="0" w:color="auto"/>
        <w:right w:val="none" w:sz="0" w:space="0" w:color="auto"/>
      </w:divBdr>
    </w:div>
    <w:div w:id="801456987">
      <w:bodyDiv w:val="1"/>
      <w:marLeft w:val="0"/>
      <w:marRight w:val="0"/>
      <w:marTop w:val="0"/>
      <w:marBottom w:val="0"/>
      <w:divBdr>
        <w:top w:val="none" w:sz="0" w:space="0" w:color="auto"/>
        <w:left w:val="none" w:sz="0" w:space="0" w:color="auto"/>
        <w:bottom w:val="none" w:sz="0" w:space="0" w:color="auto"/>
        <w:right w:val="none" w:sz="0" w:space="0" w:color="auto"/>
      </w:divBdr>
    </w:div>
    <w:div w:id="803086136">
      <w:bodyDiv w:val="1"/>
      <w:marLeft w:val="0"/>
      <w:marRight w:val="0"/>
      <w:marTop w:val="0"/>
      <w:marBottom w:val="0"/>
      <w:divBdr>
        <w:top w:val="none" w:sz="0" w:space="0" w:color="auto"/>
        <w:left w:val="none" w:sz="0" w:space="0" w:color="auto"/>
        <w:bottom w:val="none" w:sz="0" w:space="0" w:color="auto"/>
        <w:right w:val="none" w:sz="0" w:space="0" w:color="auto"/>
      </w:divBdr>
    </w:div>
    <w:div w:id="803543195">
      <w:bodyDiv w:val="1"/>
      <w:marLeft w:val="0"/>
      <w:marRight w:val="0"/>
      <w:marTop w:val="0"/>
      <w:marBottom w:val="0"/>
      <w:divBdr>
        <w:top w:val="none" w:sz="0" w:space="0" w:color="auto"/>
        <w:left w:val="none" w:sz="0" w:space="0" w:color="auto"/>
        <w:bottom w:val="none" w:sz="0" w:space="0" w:color="auto"/>
        <w:right w:val="none" w:sz="0" w:space="0" w:color="auto"/>
      </w:divBdr>
    </w:div>
    <w:div w:id="806506585">
      <w:bodyDiv w:val="1"/>
      <w:marLeft w:val="0"/>
      <w:marRight w:val="0"/>
      <w:marTop w:val="0"/>
      <w:marBottom w:val="0"/>
      <w:divBdr>
        <w:top w:val="none" w:sz="0" w:space="0" w:color="auto"/>
        <w:left w:val="none" w:sz="0" w:space="0" w:color="auto"/>
        <w:bottom w:val="none" w:sz="0" w:space="0" w:color="auto"/>
        <w:right w:val="none" w:sz="0" w:space="0" w:color="auto"/>
      </w:divBdr>
    </w:div>
    <w:div w:id="807669049">
      <w:bodyDiv w:val="1"/>
      <w:marLeft w:val="0"/>
      <w:marRight w:val="0"/>
      <w:marTop w:val="0"/>
      <w:marBottom w:val="0"/>
      <w:divBdr>
        <w:top w:val="none" w:sz="0" w:space="0" w:color="auto"/>
        <w:left w:val="none" w:sz="0" w:space="0" w:color="auto"/>
        <w:bottom w:val="none" w:sz="0" w:space="0" w:color="auto"/>
        <w:right w:val="none" w:sz="0" w:space="0" w:color="auto"/>
      </w:divBdr>
    </w:div>
    <w:div w:id="807823596">
      <w:bodyDiv w:val="1"/>
      <w:marLeft w:val="0"/>
      <w:marRight w:val="0"/>
      <w:marTop w:val="0"/>
      <w:marBottom w:val="0"/>
      <w:divBdr>
        <w:top w:val="none" w:sz="0" w:space="0" w:color="auto"/>
        <w:left w:val="none" w:sz="0" w:space="0" w:color="auto"/>
        <w:bottom w:val="none" w:sz="0" w:space="0" w:color="auto"/>
        <w:right w:val="none" w:sz="0" w:space="0" w:color="auto"/>
      </w:divBdr>
    </w:div>
    <w:div w:id="808130032">
      <w:bodyDiv w:val="1"/>
      <w:marLeft w:val="0"/>
      <w:marRight w:val="0"/>
      <w:marTop w:val="0"/>
      <w:marBottom w:val="0"/>
      <w:divBdr>
        <w:top w:val="none" w:sz="0" w:space="0" w:color="auto"/>
        <w:left w:val="none" w:sz="0" w:space="0" w:color="auto"/>
        <w:bottom w:val="none" w:sz="0" w:space="0" w:color="auto"/>
        <w:right w:val="none" w:sz="0" w:space="0" w:color="auto"/>
      </w:divBdr>
    </w:div>
    <w:div w:id="809638191">
      <w:bodyDiv w:val="1"/>
      <w:marLeft w:val="0"/>
      <w:marRight w:val="0"/>
      <w:marTop w:val="0"/>
      <w:marBottom w:val="0"/>
      <w:divBdr>
        <w:top w:val="none" w:sz="0" w:space="0" w:color="auto"/>
        <w:left w:val="none" w:sz="0" w:space="0" w:color="auto"/>
        <w:bottom w:val="none" w:sz="0" w:space="0" w:color="auto"/>
        <w:right w:val="none" w:sz="0" w:space="0" w:color="auto"/>
      </w:divBdr>
    </w:div>
    <w:div w:id="813596058">
      <w:bodyDiv w:val="1"/>
      <w:marLeft w:val="0"/>
      <w:marRight w:val="0"/>
      <w:marTop w:val="0"/>
      <w:marBottom w:val="0"/>
      <w:divBdr>
        <w:top w:val="none" w:sz="0" w:space="0" w:color="auto"/>
        <w:left w:val="none" w:sz="0" w:space="0" w:color="auto"/>
        <w:bottom w:val="none" w:sz="0" w:space="0" w:color="auto"/>
        <w:right w:val="none" w:sz="0" w:space="0" w:color="auto"/>
      </w:divBdr>
    </w:div>
    <w:div w:id="813722350">
      <w:bodyDiv w:val="1"/>
      <w:marLeft w:val="0"/>
      <w:marRight w:val="0"/>
      <w:marTop w:val="0"/>
      <w:marBottom w:val="0"/>
      <w:divBdr>
        <w:top w:val="none" w:sz="0" w:space="0" w:color="auto"/>
        <w:left w:val="none" w:sz="0" w:space="0" w:color="auto"/>
        <w:bottom w:val="none" w:sz="0" w:space="0" w:color="auto"/>
        <w:right w:val="none" w:sz="0" w:space="0" w:color="auto"/>
      </w:divBdr>
    </w:div>
    <w:div w:id="814370379">
      <w:bodyDiv w:val="1"/>
      <w:marLeft w:val="0"/>
      <w:marRight w:val="0"/>
      <w:marTop w:val="0"/>
      <w:marBottom w:val="0"/>
      <w:divBdr>
        <w:top w:val="none" w:sz="0" w:space="0" w:color="auto"/>
        <w:left w:val="none" w:sz="0" w:space="0" w:color="auto"/>
        <w:bottom w:val="none" w:sz="0" w:space="0" w:color="auto"/>
        <w:right w:val="none" w:sz="0" w:space="0" w:color="auto"/>
      </w:divBdr>
    </w:div>
    <w:div w:id="815806195">
      <w:bodyDiv w:val="1"/>
      <w:marLeft w:val="0"/>
      <w:marRight w:val="0"/>
      <w:marTop w:val="0"/>
      <w:marBottom w:val="0"/>
      <w:divBdr>
        <w:top w:val="none" w:sz="0" w:space="0" w:color="auto"/>
        <w:left w:val="none" w:sz="0" w:space="0" w:color="auto"/>
        <w:bottom w:val="none" w:sz="0" w:space="0" w:color="auto"/>
        <w:right w:val="none" w:sz="0" w:space="0" w:color="auto"/>
      </w:divBdr>
    </w:div>
    <w:div w:id="816848515">
      <w:bodyDiv w:val="1"/>
      <w:marLeft w:val="0"/>
      <w:marRight w:val="0"/>
      <w:marTop w:val="0"/>
      <w:marBottom w:val="0"/>
      <w:divBdr>
        <w:top w:val="none" w:sz="0" w:space="0" w:color="auto"/>
        <w:left w:val="none" w:sz="0" w:space="0" w:color="auto"/>
        <w:bottom w:val="none" w:sz="0" w:space="0" w:color="auto"/>
        <w:right w:val="none" w:sz="0" w:space="0" w:color="auto"/>
      </w:divBdr>
    </w:div>
    <w:div w:id="818881492">
      <w:bodyDiv w:val="1"/>
      <w:marLeft w:val="0"/>
      <w:marRight w:val="0"/>
      <w:marTop w:val="0"/>
      <w:marBottom w:val="0"/>
      <w:divBdr>
        <w:top w:val="none" w:sz="0" w:space="0" w:color="auto"/>
        <w:left w:val="none" w:sz="0" w:space="0" w:color="auto"/>
        <w:bottom w:val="none" w:sz="0" w:space="0" w:color="auto"/>
        <w:right w:val="none" w:sz="0" w:space="0" w:color="auto"/>
      </w:divBdr>
    </w:div>
    <w:div w:id="820777052">
      <w:bodyDiv w:val="1"/>
      <w:marLeft w:val="0"/>
      <w:marRight w:val="0"/>
      <w:marTop w:val="0"/>
      <w:marBottom w:val="0"/>
      <w:divBdr>
        <w:top w:val="none" w:sz="0" w:space="0" w:color="auto"/>
        <w:left w:val="none" w:sz="0" w:space="0" w:color="auto"/>
        <w:bottom w:val="none" w:sz="0" w:space="0" w:color="auto"/>
        <w:right w:val="none" w:sz="0" w:space="0" w:color="auto"/>
      </w:divBdr>
    </w:div>
    <w:div w:id="821390066">
      <w:bodyDiv w:val="1"/>
      <w:marLeft w:val="0"/>
      <w:marRight w:val="0"/>
      <w:marTop w:val="0"/>
      <w:marBottom w:val="0"/>
      <w:divBdr>
        <w:top w:val="none" w:sz="0" w:space="0" w:color="auto"/>
        <w:left w:val="none" w:sz="0" w:space="0" w:color="auto"/>
        <w:bottom w:val="none" w:sz="0" w:space="0" w:color="auto"/>
        <w:right w:val="none" w:sz="0" w:space="0" w:color="auto"/>
      </w:divBdr>
    </w:div>
    <w:div w:id="822159446">
      <w:bodyDiv w:val="1"/>
      <w:marLeft w:val="0"/>
      <w:marRight w:val="0"/>
      <w:marTop w:val="0"/>
      <w:marBottom w:val="0"/>
      <w:divBdr>
        <w:top w:val="none" w:sz="0" w:space="0" w:color="auto"/>
        <w:left w:val="none" w:sz="0" w:space="0" w:color="auto"/>
        <w:bottom w:val="none" w:sz="0" w:space="0" w:color="auto"/>
        <w:right w:val="none" w:sz="0" w:space="0" w:color="auto"/>
      </w:divBdr>
    </w:div>
    <w:div w:id="823741043">
      <w:bodyDiv w:val="1"/>
      <w:marLeft w:val="0"/>
      <w:marRight w:val="0"/>
      <w:marTop w:val="0"/>
      <w:marBottom w:val="0"/>
      <w:divBdr>
        <w:top w:val="none" w:sz="0" w:space="0" w:color="auto"/>
        <w:left w:val="none" w:sz="0" w:space="0" w:color="auto"/>
        <w:bottom w:val="none" w:sz="0" w:space="0" w:color="auto"/>
        <w:right w:val="none" w:sz="0" w:space="0" w:color="auto"/>
      </w:divBdr>
    </w:div>
    <w:div w:id="827670792">
      <w:bodyDiv w:val="1"/>
      <w:marLeft w:val="0"/>
      <w:marRight w:val="0"/>
      <w:marTop w:val="0"/>
      <w:marBottom w:val="0"/>
      <w:divBdr>
        <w:top w:val="none" w:sz="0" w:space="0" w:color="auto"/>
        <w:left w:val="none" w:sz="0" w:space="0" w:color="auto"/>
        <w:bottom w:val="none" w:sz="0" w:space="0" w:color="auto"/>
        <w:right w:val="none" w:sz="0" w:space="0" w:color="auto"/>
      </w:divBdr>
    </w:div>
    <w:div w:id="837233438">
      <w:bodyDiv w:val="1"/>
      <w:marLeft w:val="0"/>
      <w:marRight w:val="0"/>
      <w:marTop w:val="0"/>
      <w:marBottom w:val="0"/>
      <w:divBdr>
        <w:top w:val="none" w:sz="0" w:space="0" w:color="auto"/>
        <w:left w:val="none" w:sz="0" w:space="0" w:color="auto"/>
        <w:bottom w:val="none" w:sz="0" w:space="0" w:color="auto"/>
        <w:right w:val="none" w:sz="0" w:space="0" w:color="auto"/>
      </w:divBdr>
    </w:div>
    <w:div w:id="837812912">
      <w:bodyDiv w:val="1"/>
      <w:marLeft w:val="0"/>
      <w:marRight w:val="0"/>
      <w:marTop w:val="0"/>
      <w:marBottom w:val="0"/>
      <w:divBdr>
        <w:top w:val="none" w:sz="0" w:space="0" w:color="auto"/>
        <w:left w:val="none" w:sz="0" w:space="0" w:color="auto"/>
        <w:bottom w:val="none" w:sz="0" w:space="0" w:color="auto"/>
        <w:right w:val="none" w:sz="0" w:space="0" w:color="auto"/>
      </w:divBdr>
    </w:div>
    <w:div w:id="841555190">
      <w:bodyDiv w:val="1"/>
      <w:marLeft w:val="0"/>
      <w:marRight w:val="0"/>
      <w:marTop w:val="0"/>
      <w:marBottom w:val="0"/>
      <w:divBdr>
        <w:top w:val="none" w:sz="0" w:space="0" w:color="auto"/>
        <w:left w:val="none" w:sz="0" w:space="0" w:color="auto"/>
        <w:bottom w:val="none" w:sz="0" w:space="0" w:color="auto"/>
        <w:right w:val="none" w:sz="0" w:space="0" w:color="auto"/>
      </w:divBdr>
    </w:div>
    <w:div w:id="843132209">
      <w:bodyDiv w:val="1"/>
      <w:marLeft w:val="0"/>
      <w:marRight w:val="0"/>
      <w:marTop w:val="0"/>
      <w:marBottom w:val="0"/>
      <w:divBdr>
        <w:top w:val="none" w:sz="0" w:space="0" w:color="auto"/>
        <w:left w:val="none" w:sz="0" w:space="0" w:color="auto"/>
        <w:bottom w:val="none" w:sz="0" w:space="0" w:color="auto"/>
        <w:right w:val="none" w:sz="0" w:space="0" w:color="auto"/>
      </w:divBdr>
    </w:div>
    <w:div w:id="843742371">
      <w:bodyDiv w:val="1"/>
      <w:marLeft w:val="0"/>
      <w:marRight w:val="0"/>
      <w:marTop w:val="0"/>
      <w:marBottom w:val="0"/>
      <w:divBdr>
        <w:top w:val="none" w:sz="0" w:space="0" w:color="auto"/>
        <w:left w:val="none" w:sz="0" w:space="0" w:color="auto"/>
        <w:bottom w:val="none" w:sz="0" w:space="0" w:color="auto"/>
        <w:right w:val="none" w:sz="0" w:space="0" w:color="auto"/>
      </w:divBdr>
    </w:div>
    <w:div w:id="850072084">
      <w:bodyDiv w:val="1"/>
      <w:marLeft w:val="0"/>
      <w:marRight w:val="0"/>
      <w:marTop w:val="0"/>
      <w:marBottom w:val="0"/>
      <w:divBdr>
        <w:top w:val="none" w:sz="0" w:space="0" w:color="auto"/>
        <w:left w:val="none" w:sz="0" w:space="0" w:color="auto"/>
        <w:bottom w:val="none" w:sz="0" w:space="0" w:color="auto"/>
        <w:right w:val="none" w:sz="0" w:space="0" w:color="auto"/>
      </w:divBdr>
    </w:div>
    <w:div w:id="851455864">
      <w:bodyDiv w:val="1"/>
      <w:marLeft w:val="0"/>
      <w:marRight w:val="0"/>
      <w:marTop w:val="0"/>
      <w:marBottom w:val="0"/>
      <w:divBdr>
        <w:top w:val="none" w:sz="0" w:space="0" w:color="auto"/>
        <w:left w:val="none" w:sz="0" w:space="0" w:color="auto"/>
        <w:bottom w:val="none" w:sz="0" w:space="0" w:color="auto"/>
        <w:right w:val="none" w:sz="0" w:space="0" w:color="auto"/>
      </w:divBdr>
    </w:div>
    <w:div w:id="851797191">
      <w:bodyDiv w:val="1"/>
      <w:marLeft w:val="0"/>
      <w:marRight w:val="0"/>
      <w:marTop w:val="0"/>
      <w:marBottom w:val="0"/>
      <w:divBdr>
        <w:top w:val="none" w:sz="0" w:space="0" w:color="auto"/>
        <w:left w:val="none" w:sz="0" w:space="0" w:color="auto"/>
        <w:bottom w:val="none" w:sz="0" w:space="0" w:color="auto"/>
        <w:right w:val="none" w:sz="0" w:space="0" w:color="auto"/>
      </w:divBdr>
    </w:div>
    <w:div w:id="857158169">
      <w:bodyDiv w:val="1"/>
      <w:marLeft w:val="0"/>
      <w:marRight w:val="0"/>
      <w:marTop w:val="0"/>
      <w:marBottom w:val="0"/>
      <w:divBdr>
        <w:top w:val="none" w:sz="0" w:space="0" w:color="auto"/>
        <w:left w:val="none" w:sz="0" w:space="0" w:color="auto"/>
        <w:bottom w:val="none" w:sz="0" w:space="0" w:color="auto"/>
        <w:right w:val="none" w:sz="0" w:space="0" w:color="auto"/>
      </w:divBdr>
    </w:div>
    <w:div w:id="860169670">
      <w:bodyDiv w:val="1"/>
      <w:marLeft w:val="0"/>
      <w:marRight w:val="0"/>
      <w:marTop w:val="0"/>
      <w:marBottom w:val="0"/>
      <w:divBdr>
        <w:top w:val="none" w:sz="0" w:space="0" w:color="auto"/>
        <w:left w:val="none" w:sz="0" w:space="0" w:color="auto"/>
        <w:bottom w:val="none" w:sz="0" w:space="0" w:color="auto"/>
        <w:right w:val="none" w:sz="0" w:space="0" w:color="auto"/>
      </w:divBdr>
      <w:divsChild>
        <w:div w:id="146020952">
          <w:marLeft w:val="0"/>
          <w:marRight w:val="0"/>
          <w:marTop w:val="0"/>
          <w:marBottom w:val="0"/>
          <w:divBdr>
            <w:top w:val="none" w:sz="0" w:space="0" w:color="auto"/>
            <w:left w:val="none" w:sz="0" w:space="0" w:color="auto"/>
            <w:bottom w:val="none" w:sz="0" w:space="0" w:color="auto"/>
            <w:right w:val="none" w:sz="0" w:space="0" w:color="auto"/>
          </w:divBdr>
        </w:div>
        <w:div w:id="956763086">
          <w:marLeft w:val="0"/>
          <w:marRight w:val="0"/>
          <w:marTop w:val="0"/>
          <w:marBottom w:val="0"/>
          <w:divBdr>
            <w:top w:val="none" w:sz="0" w:space="0" w:color="auto"/>
            <w:left w:val="none" w:sz="0" w:space="0" w:color="auto"/>
            <w:bottom w:val="none" w:sz="0" w:space="0" w:color="auto"/>
            <w:right w:val="none" w:sz="0" w:space="0" w:color="auto"/>
          </w:divBdr>
        </w:div>
        <w:div w:id="1095859961">
          <w:marLeft w:val="0"/>
          <w:marRight w:val="0"/>
          <w:marTop w:val="0"/>
          <w:marBottom w:val="0"/>
          <w:divBdr>
            <w:top w:val="none" w:sz="0" w:space="0" w:color="auto"/>
            <w:left w:val="none" w:sz="0" w:space="0" w:color="auto"/>
            <w:bottom w:val="none" w:sz="0" w:space="0" w:color="auto"/>
            <w:right w:val="none" w:sz="0" w:space="0" w:color="auto"/>
          </w:divBdr>
        </w:div>
        <w:div w:id="1614970702">
          <w:marLeft w:val="0"/>
          <w:marRight w:val="0"/>
          <w:marTop w:val="0"/>
          <w:marBottom w:val="0"/>
          <w:divBdr>
            <w:top w:val="none" w:sz="0" w:space="0" w:color="auto"/>
            <w:left w:val="none" w:sz="0" w:space="0" w:color="auto"/>
            <w:bottom w:val="none" w:sz="0" w:space="0" w:color="auto"/>
            <w:right w:val="none" w:sz="0" w:space="0" w:color="auto"/>
          </w:divBdr>
        </w:div>
      </w:divsChild>
    </w:div>
    <w:div w:id="860170075">
      <w:bodyDiv w:val="1"/>
      <w:marLeft w:val="0"/>
      <w:marRight w:val="0"/>
      <w:marTop w:val="0"/>
      <w:marBottom w:val="0"/>
      <w:divBdr>
        <w:top w:val="none" w:sz="0" w:space="0" w:color="auto"/>
        <w:left w:val="none" w:sz="0" w:space="0" w:color="auto"/>
        <w:bottom w:val="none" w:sz="0" w:space="0" w:color="auto"/>
        <w:right w:val="none" w:sz="0" w:space="0" w:color="auto"/>
      </w:divBdr>
    </w:div>
    <w:div w:id="865102079">
      <w:bodyDiv w:val="1"/>
      <w:marLeft w:val="0"/>
      <w:marRight w:val="0"/>
      <w:marTop w:val="0"/>
      <w:marBottom w:val="0"/>
      <w:divBdr>
        <w:top w:val="none" w:sz="0" w:space="0" w:color="auto"/>
        <w:left w:val="none" w:sz="0" w:space="0" w:color="auto"/>
        <w:bottom w:val="none" w:sz="0" w:space="0" w:color="auto"/>
        <w:right w:val="none" w:sz="0" w:space="0" w:color="auto"/>
      </w:divBdr>
    </w:div>
    <w:div w:id="866017960">
      <w:bodyDiv w:val="1"/>
      <w:marLeft w:val="0"/>
      <w:marRight w:val="0"/>
      <w:marTop w:val="0"/>
      <w:marBottom w:val="0"/>
      <w:divBdr>
        <w:top w:val="none" w:sz="0" w:space="0" w:color="auto"/>
        <w:left w:val="none" w:sz="0" w:space="0" w:color="auto"/>
        <w:bottom w:val="none" w:sz="0" w:space="0" w:color="auto"/>
        <w:right w:val="none" w:sz="0" w:space="0" w:color="auto"/>
      </w:divBdr>
    </w:div>
    <w:div w:id="868957272">
      <w:bodyDiv w:val="1"/>
      <w:marLeft w:val="0"/>
      <w:marRight w:val="0"/>
      <w:marTop w:val="0"/>
      <w:marBottom w:val="0"/>
      <w:divBdr>
        <w:top w:val="none" w:sz="0" w:space="0" w:color="auto"/>
        <w:left w:val="none" w:sz="0" w:space="0" w:color="auto"/>
        <w:bottom w:val="none" w:sz="0" w:space="0" w:color="auto"/>
        <w:right w:val="none" w:sz="0" w:space="0" w:color="auto"/>
      </w:divBdr>
    </w:div>
    <w:div w:id="871571049">
      <w:bodyDiv w:val="1"/>
      <w:marLeft w:val="0"/>
      <w:marRight w:val="0"/>
      <w:marTop w:val="0"/>
      <w:marBottom w:val="0"/>
      <w:divBdr>
        <w:top w:val="none" w:sz="0" w:space="0" w:color="auto"/>
        <w:left w:val="none" w:sz="0" w:space="0" w:color="auto"/>
        <w:bottom w:val="none" w:sz="0" w:space="0" w:color="auto"/>
        <w:right w:val="none" w:sz="0" w:space="0" w:color="auto"/>
      </w:divBdr>
    </w:div>
    <w:div w:id="872110735">
      <w:bodyDiv w:val="1"/>
      <w:marLeft w:val="0"/>
      <w:marRight w:val="0"/>
      <w:marTop w:val="0"/>
      <w:marBottom w:val="0"/>
      <w:divBdr>
        <w:top w:val="none" w:sz="0" w:space="0" w:color="auto"/>
        <w:left w:val="none" w:sz="0" w:space="0" w:color="auto"/>
        <w:bottom w:val="none" w:sz="0" w:space="0" w:color="auto"/>
        <w:right w:val="none" w:sz="0" w:space="0" w:color="auto"/>
      </w:divBdr>
    </w:div>
    <w:div w:id="872423449">
      <w:bodyDiv w:val="1"/>
      <w:marLeft w:val="0"/>
      <w:marRight w:val="0"/>
      <w:marTop w:val="0"/>
      <w:marBottom w:val="0"/>
      <w:divBdr>
        <w:top w:val="none" w:sz="0" w:space="0" w:color="auto"/>
        <w:left w:val="none" w:sz="0" w:space="0" w:color="auto"/>
        <w:bottom w:val="none" w:sz="0" w:space="0" w:color="auto"/>
        <w:right w:val="none" w:sz="0" w:space="0" w:color="auto"/>
      </w:divBdr>
    </w:div>
    <w:div w:id="876626606">
      <w:bodyDiv w:val="1"/>
      <w:marLeft w:val="0"/>
      <w:marRight w:val="0"/>
      <w:marTop w:val="0"/>
      <w:marBottom w:val="0"/>
      <w:divBdr>
        <w:top w:val="none" w:sz="0" w:space="0" w:color="auto"/>
        <w:left w:val="none" w:sz="0" w:space="0" w:color="auto"/>
        <w:bottom w:val="none" w:sz="0" w:space="0" w:color="auto"/>
        <w:right w:val="none" w:sz="0" w:space="0" w:color="auto"/>
      </w:divBdr>
    </w:div>
    <w:div w:id="878932605">
      <w:bodyDiv w:val="1"/>
      <w:marLeft w:val="0"/>
      <w:marRight w:val="0"/>
      <w:marTop w:val="0"/>
      <w:marBottom w:val="0"/>
      <w:divBdr>
        <w:top w:val="none" w:sz="0" w:space="0" w:color="auto"/>
        <w:left w:val="none" w:sz="0" w:space="0" w:color="auto"/>
        <w:bottom w:val="none" w:sz="0" w:space="0" w:color="auto"/>
        <w:right w:val="none" w:sz="0" w:space="0" w:color="auto"/>
      </w:divBdr>
    </w:div>
    <w:div w:id="879559486">
      <w:bodyDiv w:val="1"/>
      <w:marLeft w:val="0"/>
      <w:marRight w:val="0"/>
      <w:marTop w:val="0"/>
      <w:marBottom w:val="0"/>
      <w:divBdr>
        <w:top w:val="none" w:sz="0" w:space="0" w:color="auto"/>
        <w:left w:val="none" w:sz="0" w:space="0" w:color="auto"/>
        <w:bottom w:val="none" w:sz="0" w:space="0" w:color="auto"/>
        <w:right w:val="none" w:sz="0" w:space="0" w:color="auto"/>
      </w:divBdr>
    </w:div>
    <w:div w:id="880168414">
      <w:bodyDiv w:val="1"/>
      <w:marLeft w:val="0"/>
      <w:marRight w:val="0"/>
      <w:marTop w:val="0"/>
      <w:marBottom w:val="0"/>
      <w:divBdr>
        <w:top w:val="none" w:sz="0" w:space="0" w:color="auto"/>
        <w:left w:val="none" w:sz="0" w:space="0" w:color="auto"/>
        <w:bottom w:val="none" w:sz="0" w:space="0" w:color="auto"/>
        <w:right w:val="none" w:sz="0" w:space="0" w:color="auto"/>
      </w:divBdr>
    </w:div>
    <w:div w:id="881792505">
      <w:bodyDiv w:val="1"/>
      <w:marLeft w:val="0"/>
      <w:marRight w:val="0"/>
      <w:marTop w:val="0"/>
      <w:marBottom w:val="0"/>
      <w:divBdr>
        <w:top w:val="none" w:sz="0" w:space="0" w:color="auto"/>
        <w:left w:val="none" w:sz="0" w:space="0" w:color="auto"/>
        <w:bottom w:val="none" w:sz="0" w:space="0" w:color="auto"/>
        <w:right w:val="none" w:sz="0" w:space="0" w:color="auto"/>
      </w:divBdr>
    </w:div>
    <w:div w:id="883754204">
      <w:bodyDiv w:val="1"/>
      <w:marLeft w:val="0"/>
      <w:marRight w:val="0"/>
      <w:marTop w:val="0"/>
      <w:marBottom w:val="0"/>
      <w:divBdr>
        <w:top w:val="none" w:sz="0" w:space="0" w:color="auto"/>
        <w:left w:val="none" w:sz="0" w:space="0" w:color="auto"/>
        <w:bottom w:val="none" w:sz="0" w:space="0" w:color="auto"/>
        <w:right w:val="none" w:sz="0" w:space="0" w:color="auto"/>
      </w:divBdr>
    </w:div>
    <w:div w:id="887648328">
      <w:bodyDiv w:val="1"/>
      <w:marLeft w:val="0"/>
      <w:marRight w:val="0"/>
      <w:marTop w:val="0"/>
      <w:marBottom w:val="0"/>
      <w:divBdr>
        <w:top w:val="none" w:sz="0" w:space="0" w:color="auto"/>
        <w:left w:val="none" w:sz="0" w:space="0" w:color="auto"/>
        <w:bottom w:val="none" w:sz="0" w:space="0" w:color="auto"/>
        <w:right w:val="none" w:sz="0" w:space="0" w:color="auto"/>
      </w:divBdr>
    </w:div>
    <w:div w:id="889607173">
      <w:bodyDiv w:val="1"/>
      <w:marLeft w:val="0"/>
      <w:marRight w:val="0"/>
      <w:marTop w:val="0"/>
      <w:marBottom w:val="0"/>
      <w:divBdr>
        <w:top w:val="none" w:sz="0" w:space="0" w:color="auto"/>
        <w:left w:val="none" w:sz="0" w:space="0" w:color="auto"/>
        <w:bottom w:val="none" w:sz="0" w:space="0" w:color="auto"/>
        <w:right w:val="none" w:sz="0" w:space="0" w:color="auto"/>
      </w:divBdr>
    </w:div>
    <w:div w:id="891815958">
      <w:bodyDiv w:val="1"/>
      <w:marLeft w:val="0"/>
      <w:marRight w:val="0"/>
      <w:marTop w:val="0"/>
      <w:marBottom w:val="0"/>
      <w:divBdr>
        <w:top w:val="none" w:sz="0" w:space="0" w:color="auto"/>
        <w:left w:val="none" w:sz="0" w:space="0" w:color="auto"/>
        <w:bottom w:val="none" w:sz="0" w:space="0" w:color="auto"/>
        <w:right w:val="none" w:sz="0" w:space="0" w:color="auto"/>
      </w:divBdr>
    </w:div>
    <w:div w:id="895699133">
      <w:bodyDiv w:val="1"/>
      <w:marLeft w:val="0"/>
      <w:marRight w:val="0"/>
      <w:marTop w:val="0"/>
      <w:marBottom w:val="0"/>
      <w:divBdr>
        <w:top w:val="none" w:sz="0" w:space="0" w:color="auto"/>
        <w:left w:val="none" w:sz="0" w:space="0" w:color="auto"/>
        <w:bottom w:val="none" w:sz="0" w:space="0" w:color="auto"/>
        <w:right w:val="none" w:sz="0" w:space="0" w:color="auto"/>
      </w:divBdr>
    </w:div>
    <w:div w:id="895966549">
      <w:bodyDiv w:val="1"/>
      <w:marLeft w:val="0"/>
      <w:marRight w:val="0"/>
      <w:marTop w:val="0"/>
      <w:marBottom w:val="0"/>
      <w:divBdr>
        <w:top w:val="none" w:sz="0" w:space="0" w:color="auto"/>
        <w:left w:val="none" w:sz="0" w:space="0" w:color="auto"/>
        <w:bottom w:val="none" w:sz="0" w:space="0" w:color="auto"/>
        <w:right w:val="none" w:sz="0" w:space="0" w:color="auto"/>
      </w:divBdr>
    </w:div>
    <w:div w:id="896746409">
      <w:bodyDiv w:val="1"/>
      <w:marLeft w:val="0"/>
      <w:marRight w:val="0"/>
      <w:marTop w:val="0"/>
      <w:marBottom w:val="0"/>
      <w:divBdr>
        <w:top w:val="none" w:sz="0" w:space="0" w:color="auto"/>
        <w:left w:val="none" w:sz="0" w:space="0" w:color="auto"/>
        <w:bottom w:val="none" w:sz="0" w:space="0" w:color="auto"/>
        <w:right w:val="none" w:sz="0" w:space="0" w:color="auto"/>
      </w:divBdr>
    </w:div>
    <w:div w:id="896819195">
      <w:bodyDiv w:val="1"/>
      <w:marLeft w:val="0"/>
      <w:marRight w:val="0"/>
      <w:marTop w:val="0"/>
      <w:marBottom w:val="0"/>
      <w:divBdr>
        <w:top w:val="none" w:sz="0" w:space="0" w:color="auto"/>
        <w:left w:val="none" w:sz="0" w:space="0" w:color="auto"/>
        <w:bottom w:val="none" w:sz="0" w:space="0" w:color="auto"/>
        <w:right w:val="none" w:sz="0" w:space="0" w:color="auto"/>
      </w:divBdr>
    </w:div>
    <w:div w:id="898325921">
      <w:bodyDiv w:val="1"/>
      <w:marLeft w:val="0"/>
      <w:marRight w:val="0"/>
      <w:marTop w:val="0"/>
      <w:marBottom w:val="0"/>
      <w:divBdr>
        <w:top w:val="none" w:sz="0" w:space="0" w:color="auto"/>
        <w:left w:val="none" w:sz="0" w:space="0" w:color="auto"/>
        <w:bottom w:val="none" w:sz="0" w:space="0" w:color="auto"/>
        <w:right w:val="none" w:sz="0" w:space="0" w:color="auto"/>
      </w:divBdr>
    </w:div>
    <w:div w:id="900485646">
      <w:bodyDiv w:val="1"/>
      <w:marLeft w:val="0"/>
      <w:marRight w:val="0"/>
      <w:marTop w:val="0"/>
      <w:marBottom w:val="0"/>
      <w:divBdr>
        <w:top w:val="none" w:sz="0" w:space="0" w:color="auto"/>
        <w:left w:val="none" w:sz="0" w:space="0" w:color="auto"/>
        <w:bottom w:val="none" w:sz="0" w:space="0" w:color="auto"/>
        <w:right w:val="none" w:sz="0" w:space="0" w:color="auto"/>
      </w:divBdr>
    </w:div>
    <w:div w:id="900675231">
      <w:bodyDiv w:val="1"/>
      <w:marLeft w:val="0"/>
      <w:marRight w:val="0"/>
      <w:marTop w:val="0"/>
      <w:marBottom w:val="0"/>
      <w:divBdr>
        <w:top w:val="none" w:sz="0" w:space="0" w:color="auto"/>
        <w:left w:val="none" w:sz="0" w:space="0" w:color="auto"/>
        <w:bottom w:val="none" w:sz="0" w:space="0" w:color="auto"/>
        <w:right w:val="none" w:sz="0" w:space="0" w:color="auto"/>
      </w:divBdr>
    </w:div>
    <w:div w:id="901403216">
      <w:bodyDiv w:val="1"/>
      <w:marLeft w:val="0"/>
      <w:marRight w:val="0"/>
      <w:marTop w:val="0"/>
      <w:marBottom w:val="0"/>
      <w:divBdr>
        <w:top w:val="none" w:sz="0" w:space="0" w:color="auto"/>
        <w:left w:val="none" w:sz="0" w:space="0" w:color="auto"/>
        <w:bottom w:val="none" w:sz="0" w:space="0" w:color="auto"/>
        <w:right w:val="none" w:sz="0" w:space="0" w:color="auto"/>
      </w:divBdr>
    </w:div>
    <w:div w:id="904073403">
      <w:bodyDiv w:val="1"/>
      <w:marLeft w:val="0"/>
      <w:marRight w:val="0"/>
      <w:marTop w:val="0"/>
      <w:marBottom w:val="0"/>
      <w:divBdr>
        <w:top w:val="none" w:sz="0" w:space="0" w:color="auto"/>
        <w:left w:val="none" w:sz="0" w:space="0" w:color="auto"/>
        <w:bottom w:val="none" w:sz="0" w:space="0" w:color="auto"/>
        <w:right w:val="none" w:sz="0" w:space="0" w:color="auto"/>
      </w:divBdr>
    </w:div>
    <w:div w:id="906577420">
      <w:bodyDiv w:val="1"/>
      <w:marLeft w:val="0"/>
      <w:marRight w:val="0"/>
      <w:marTop w:val="0"/>
      <w:marBottom w:val="0"/>
      <w:divBdr>
        <w:top w:val="none" w:sz="0" w:space="0" w:color="auto"/>
        <w:left w:val="none" w:sz="0" w:space="0" w:color="auto"/>
        <w:bottom w:val="none" w:sz="0" w:space="0" w:color="auto"/>
        <w:right w:val="none" w:sz="0" w:space="0" w:color="auto"/>
      </w:divBdr>
    </w:div>
    <w:div w:id="909199116">
      <w:bodyDiv w:val="1"/>
      <w:marLeft w:val="0"/>
      <w:marRight w:val="0"/>
      <w:marTop w:val="0"/>
      <w:marBottom w:val="0"/>
      <w:divBdr>
        <w:top w:val="none" w:sz="0" w:space="0" w:color="auto"/>
        <w:left w:val="none" w:sz="0" w:space="0" w:color="auto"/>
        <w:bottom w:val="none" w:sz="0" w:space="0" w:color="auto"/>
        <w:right w:val="none" w:sz="0" w:space="0" w:color="auto"/>
      </w:divBdr>
    </w:div>
    <w:div w:id="911351908">
      <w:bodyDiv w:val="1"/>
      <w:marLeft w:val="0"/>
      <w:marRight w:val="0"/>
      <w:marTop w:val="0"/>
      <w:marBottom w:val="0"/>
      <w:divBdr>
        <w:top w:val="none" w:sz="0" w:space="0" w:color="auto"/>
        <w:left w:val="none" w:sz="0" w:space="0" w:color="auto"/>
        <w:bottom w:val="none" w:sz="0" w:space="0" w:color="auto"/>
        <w:right w:val="none" w:sz="0" w:space="0" w:color="auto"/>
      </w:divBdr>
    </w:div>
    <w:div w:id="914126805">
      <w:bodyDiv w:val="1"/>
      <w:marLeft w:val="0"/>
      <w:marRight w:val="0"/>
      <w:marTop w:val="0"/>
      <w:marBottom w:val="0"/>
      <w:divBdr>
        <w:top w:val="none" w:sz="0" w:space="0" w:color="auto"/>
        <w:left w:val="none" w:sz="0" w:space="0" w:color="auto"/>
        <w:bottom w:val="none" w:sz="0" w:space="0" w:color="auto"/>
        <w:right w:val="none" w:sz="0" w:space="0" w:color="auto"/>
      </w:divBdr>
    </w:div>
    <w:div w:id="917010576">
      <w:bodyDiv w:val="1"/>
      <w:marLeft w:val="0"/>
      <w:marRight w:val="0"/>
      <w:marTop w:val="0"/>
      <w:marBottom w:val="0"/>
      <w:divBdr>
        <w:top w:val="none" w:sz="0" w:space="0" w:color="auto"/>
        <w:left w:val="none" w:sz="0" w:space="0" w:color="auto"/>
        <w:bottom w:val="none" w:sz="0" w:space="0" w:color="auto"/>
        <w:right w:val="none" w:sz="0" w:space="0" w:color="auto"/>
      </w:divBdr>
    </w:div>
    <w:div w:id="917640790">
      <w:bodyDiv w:val="1"/>
      <w:marLeft w:val="0"/>
      <w:marRight w:val="0"/>
      <w:marTop w:val="0"/>
      <w:marBottom w:val="0"/>
      <w:divBdr>
        <w:top w:val="none" w:sz="0" w:space="0" w:color="auto"/>
        <w:left w:val="none" w:sz="0" w:space="0" w:color="auto"/>
        <w:bottom w:val="none" w:sz="0" w:space="0" w:color="auto"/>
        <w:right w:val="none" w:sz="0" w:space="0" w:color="auto"/>
      </w:divBdr>
    </w:div>
    <w:div w:id="918708951">
      <w:bodyDiv w:val="1"/>
      <w:marLeft w:val="0"/>
      <w:marRight w:val="0"/>
      <w:marTop w:val="0"/>
      <w:marBottom w:val="0"/>
      <w:divBdr>
        <w:top w:val="none" w:sz="0" w:space="0" w:color="auto"/>
        <w:left w:val="none" w:sz="0" w:space="0" w:color="auto"/>
        <w:bottom w:val="none" w:sz="0" w:space="0" w:color="auto"/>
        <w:right w:val="none" w:sz="0" w:space="0" w:color="auto"/>
      </w:divBdr>
    </w:div>
    <w:div w:id="920799480">
      <w:bodyDiv w:val="1"/>
      <w:marLeft w:val="0"/>
      <w:marRight w:val="0"/>
      <w:marTop w:val="0"/>
      <w:marBottom w:val="0"/>
      <w:divBdr>
        <w:top w:val="none" w:sz="0" w:space="0" w:color="auto"/>
        <w:left w:val="none" w:sz="0" w:space="0" w:color="auto"/>
        <w:bottom w:val="none" w:sz="0" w:space="0" w:color="auto"/>
        <w:right w:val="none" w:sz="0" w:space="0" w:color="auto"/>
      </w:divBdr>
    </w:div>
    <w:div w:id="921255761">
      <w:bodyDiv w:val="1"/>
      <w:marLeft w:val="0"/>
      <w:marRight w:val="0"/>
      <w:marTop w:val="0"/>
      <w:marBottom w:val="0"/>
      <w:divBdr>
        <w:top w:val="none" w:sz="0" w:space="0" w:color="auto"/>
        <w:left w:val="none" w:sz="0" w:space="0" w:color="auto"/>
        <w:bottom w:val="none" w:sz="0" w:space="0" w:color="auto"/>
        <w:right w:val="none" w:sz="0" w:space="0" w:color="auto"/>
      </w:divBdr>
    </w:div>
    <w:div w:id="922295423">
      <w:bodyDiv w:val="1"/>
      <w:marLeft w:val="0"/>
      <w:marRight w:val="0"/>
      <w:marTop w:val="0"/>
      <w:marBottom w:val="0"/>
      <w:divBdr>
        <w:top w:val="none" w:sz="0" w:space="0" w:color="auto"/>
        <w:left w:val="none" w:sz="0" w:space="0" w:color="auto"/>
        <w:bottom w:val="none" w:sz="0" w:space="0" w:color="auto"/>
        <w:right w:val="none" w:sz="0" w:space="0" w:color="auto"/>
      </w:divBdr>
      <w:divsChild>
        <w:div w:id="190074688">
          <w:marLeft w:val="0"/>
          <w:marRight w:val="0"/>
          <w:marTop w:val="15"/>
          <w:marBottom w:val="0"/>
          <w:divBdr>
            <w:top w:val="none" w:sz="0" w:space="0" w:color="auto"/>
            <w:left w:val="none" w:sz="0" w:space="0" w:color="auto"/>
            <w:bottom w:val="none" w:sz="0" w:space="0" w:color="auto"/>
            <w:right w:val="none" w:sz="0" w:space="0" w:color="auto"/>
          </w:divBdr>
          <w:divsChild>
            <w:div w:id="636030500">
              <w:marLeft w:val="0"/>
              <w:marRight w:val="0"/>
              <w:marTop w:val="0"/>
              <w:marBottom w:val="0"/>
              <w:divBdr>
                <w:top w:val="none" w:sz="0" w:space="0" w:color="auto"/>
                <w:left w:val="none" w:sz="0" w:space="0" w:color="auto"/>
                <w:bottom w:val="none" w:sz="0" w:space="0" w:color="auto"/>
                <w:right w:val="none" w:sz="0" w:space="0" w:color="auto"/>
              </w:divBdr>
              <w:divsChild>
                <w:div w:id="83109269">
                  <w:marLeft w:val="0"/>
                  <w:marRight w:val="0"/>
                  <w:marTop w:val="0"/>
                  <w:marBottom w:val="0"/>
                  <w:divBdr>
                    <w:top w:val="none" w:sz="0" w:space="0" w:color="auto"/>
                    <w:left w:val="none" w:sz="0" w:space="0" w:color="auto"/>
                    <w:bottom w:val="none" w:sz="0" w:space="0" w:color="auto"/>
                    <w:right w:val="none" w:sz="0" w:space="0" w:color="auto"/>
                  </w:divBdr>
                </w:div>
                <w:div w:id="87236605">
                  <w:marLeft w:val="0"/>
                  <w:marRight w:val="0"/>
                  <w:marTop w:val="0"/>
                  <w:marBottom w:val="0"/>
                  <w:divBdr>
                    <w:top w:val="none" w:sz="0" w:space="0" w:color="auto"/>
                    <w:left w:val="none" w:sz="0" w:space="0" w:color="auto"/>
                    <w:bottom w:val="none" w:sz="0" w:space="0" w:color="auto"/>
                    <w:right w:val="none" w:sz="0" w:space="0" w:color="auto"/>
                  </w:divBdr>
                </w:div>
                <w:div w:id="343094227">
                  <w:marLeft w:val="0"/>
                  <w:marRight w:val="0"/>
                  <w:marTop w:val="0"/>
                  <w:marBottom w:val="0"/>
                  <w:divBdr>
                    <w:top w:val="none" w:sz="0" w:space="0" w:color="auto"/>
                    <w:left w:val="none" w:sz="0" w:space="0" w:color="auto"/>
                    <w:bottom w:val="none" w:sz="0" w:space="0" w:color="auto"/>
                    <w:right w:val="none" w:sz="0" w:space="0" w:color="auto"/>
                  </w:divBdr>
                </w:div>
                <w:div w:id="349841787">
                  <w:marLeft w:val="0"/>
                  <w:marRight w:val="0"/>
                  <w:marTop w:val="0"/>
                  <w:marBottom w:val="0"/>
                  <w:divBdr>
                    <w:top w:val="none" w:sz="0" w:space="0" w:color="auto"/>
                    <w:left w:val="none" w:sz="0" w:space="0" w:color="auto"/>
                    <w:bottom w:val="none" w:sz="0" w:space="0" w:color="auto"/>
                    <w:right w:val="none" w:sz="0" w:space="0" w:color="auto"/>
                  </w:divBdr>
                </w:div>
                <w:div w:id="473260839">
                  <w:marLeft w:val="0"/>
                  <w:marRight w:val="0"/>
                  <w:marTop w:val="0"/>
                  <w:marBottom w:val="0"/>
                  <w:divBdr>
                    <w:top w:val="none" w:sz="0" w:space="0" w:color="auto"/>
                    <w:left w:val="none" w:sz="0" w:space="0" w:color="auto"/>
                    <w:bottom w:val="none" w:sz="0" w:space="0" w:color="auto"/>
                    <w:right w:val="none" w:sz="0" w:space="0" w:color="auto"/>
                  </w:divBdr>
                </w:div>
                <w:div w:id="534274777">
                  <w:marLeft w:val="0"/>
                  <w:marRight w:val="0"/>
                  <w:marTop w:val="0"/>
                  <w:marBottom w:val="0"/>
                  <w:divBdr>
                    <w:top w:val="none" w:sz="0" w:space="0" w:color="auto"/>
                    <w:left w:val="none" w:sz="0" w:space="0" w:color="auto"/>
                    <w:bottom w:val="none" w:sz="0" w:space="0" w:color="auto"/>
                    <w:right w:val="none" w:sz="0" w:space="0" w:color="auto"/>
                  </w:divBdr>
                </w:div>
                <w:div w:id="534926855">
                  <w:marLeft w:val="0"/>
                  <w:marRight w:val="0"/>
                  <w:marTop w:val="0"/>
                  <w:marBottom w:val="0"/>
                  <w:divBdr>
                    <w:top w:val="none" w:sz="0" w:space="0" w:color="auto"/>
                    <w:left w:val="none" w:sz="0" w:space="0" w:color="auto"/>
                    <w:bottom w:val="none" w:sz="0" w:space="0" w:color="auto"/>
                    <w:right w:val="none" w:sz="0" w:space="0" w:color="auto"/>
                  </w:divBdr>
                </w:div>
                <w:div w:id="574825365">
                  <w:marLeft w:val="0"/>
                  <w:marRight w:val="0"/>
                  <w:marTop w:val="0"/>
                  <w:marBottom w:val="0"/>
                  <w:divBdr>
                    <w:top w:val="none" w:sz="0" w:space="0" w:color="auto"/>
                    <w:left w:val="none" w:sz="0" w:space="0" w:color="auto"/>
                    <w:bottom w:val="none" w:sz="0" w:space="0" w:color="auto"/>
                    <w:right w:val="none" w:sz="0" w:space="0" w:color="auto"/>
                  </w:divBdr>
                </w:div>
                <w:div w:id="599022087">
                  <w:marLeft w:val="0"/>
                  <w:marRight w:val="0"/>
                  <w:marTop w:val="0"/>
                  <w:marBottom w:val="0"/>
                  <w:divBdr>
                    <w:top w:val="none" w:sz="0" w:space="0" w:color="auto"/>
                    <w:left w:val="none" w:sz="0" w:space="0" w:color="auto"/>
                    <w:bottom w:val="none" w:sz="0" w:space="0" w:color="auto"/>
                    <w:right w:val="none" w:sz="0" w:space="0" w:color="auto"/>
                  </w:divBdr>
                </w:div>
                <w:div w:id="801188230">
                  <w:marLeft w:val="0"/>
                  <w:marRight w:val="0"/>
                  <w:marTop w:val="0"/>
                  <w:marBottom w:val="0"/>
                  <w:divBdr>
                    <w:top w:val="none" w:sz="0" w:space="0" w:color="auto"/>
                    <w:left w:val="none" w:sz="0" w:space="0" w:color="auto"/>
                    <w:bottom w:val="none" w:sz="0" w:space="0" w:color="auto"/>
                    <w:right w:val="none" w:sz="0" w:space="0" w:color="auto"/>
                  </w:divBdr>
                </w:div>
                <w:div w:id="1047221860">
                  <w:marLeft w:val="0"/>
                  <w:marRight w:val="0"/>
                  <w:marTop w:val="0"/>
                  <w:marBottom w:val="0"/>
                  <w:divBdr>
                    <w:top w:val="none" w:sz="0" w:space="0" w:color="auto"/>
                    <w:left w:val="none" w:sz="0" w:space="0" w:color="auto"/>
                    <w:bottom w:val="none" w:sz="0" w:space="0" w:color="auto"/>
                    <w:right w:val="none" w:sz="0" w:space="0" w:color="auto"/>
                  </w:divBdr>
                </w:div>
                <w:div w:id="1091312502">
                  <w:marLeft w:val="0"/>
                  <w:marRight w:val="0"/>
                  <w:marTop w:val="0"/>
                  <w:marBottom w:val="0"/>
                  <w:divBdr>
                    <w:top w:val="none" w:sz="0" w:space="0" w:color="auto"/>
                    <w:left w:val="none" w:sz="0" w:space="0" w:color="auto"/>
                    <w:bottom w:val="none" w:sz="0" w:space="0" w:color="auto"/>
                    <w:right w:val="none" w:sz="0" w:space="0" w:color="auto"/>
                  </w:divBdr>
                </w:div>
                <w:div w:id="1098141532">
                  <w:marLeft w:val="0"/>
                  <w:marRight w:val="0"/>
                  <w:marTop w:val="0"/>
                  <w:marBottom w:val="0"/>
                  <w:divBdr>
                    <w:top w:val="none" w:sz="0" w:space="0" w:color="auto"/>
                    <w:left w:val="none" w:sz="0" w:space="0" w:color="auto"/>
                    <w:bottom w:val="none" w:sz="0" w:space="0" w:color="auto"/>
                    <w:right w:val="none" w:sz="0" w:space="0" w:color="auto"/>
                  </w:divBdr>
                </w:div>
                <w:div w:id="1133330920">
                  <w:marLeft w:val="0"/>
                  <w:marRight w:val="0"/>
                  <w:marTop w:val="0"/>
                  <w:marBottom w:val="0"/>
                  <w:divBdr>
                    <w:top w:val="none" w:sz="0" w:space="0" w:color="auto"/>
                    <w:left w:val="none" w:sz="0" w:space="0" w:color="auto"/>
                    <w:bottom w:val="none" w:sz="0" w:space="0" w:color="auto"/>
                    <w:right w:val="none" w:sz="0" w:space="0" w:color="auto"/>
                  </w:divBdr>
                </w:div>
                <w:div w:id="1170411280">
                  <w:marLeft w:val="0"/>
                  <w:marRight w:val="0"/>
                  <w:marTop w:val="0"/>
                  <w:marBottom w:val="0"/>
                  <w:divBdr>
                    <w:top w:val="none" w:sz="0" w:space="0" w:color="auto"/>
                    <w:left w:val="none" w:sz="0" w:space="0" w:color="auto"/>
                    <w:bottom w:val="none" w:sz="0" w:space="0" w:color="auto"/>
                    <w:right w:val="none" w:sz="0" w:space="0" w:color="auto"/>
                  </w:divBdr>
                </w:div>
                <w:div w:id="1243643774">
                  <w:marLeft w:val="0"/>
                  <w:marRight w:val="0"/>
                  <w:marTop w:val="0"/>
                  <w:marBottom w:val="0"/>
                  <w:divBdr>
                    <w:top w:val="none" w:sz="0" w:space="0" w:color="auto"/>
                    <w:left w:val="none" w:sz="0" w:space="0" w:color="auto"/>
                    <w:bottom w:val="none" w:sz="0" w:space="0" w:color="auto"/>
                    <w:right w:val="none" w:sz="0" w:space="0" w:color="auto"/>
                  </w:divBdr>
                </w:div>
                <w:div w:id="1329332976">
                  <w:marLeft w:val="0"/>
                  <w:marRight w:val="0"/>
                  <w:marTop w:val="0"/>
                  <w:marBottom w:val="0"/>
                  <w:divBdr>
                    <w:top w:val="none" w:sz="0" w:space="0" w:color="auto"/>
                    <w:left w:val="none" w:sz="0" w:space="0" w:color="auto"/>
                    <w:bottom w:val="none" w:sz="0" w:space="0" w:color="auto"/>
                    <w:right w:val="none" w:sz="0" w:space="0" w:color="auto"/>
                  </w:divBdr>
                </w:div>
                <w:div w:id="1416367056">
                  <w:marLeft w:val="0"/>
                  <w:marRight w:val="0"/>
                  <w:marTop w:val="0"/>
                  <w:marBottom w:val="0"/>
                  <w:divBdr>
                    <w:top w:val="none" w:sz="0" w:space="0" w:color="auto"/>
                    <w:left w:val="none" w:sz="0" w:space="0" w:color="auto"/>
                    <w:bottom w:val="none" w:sz="0" w:space="0" w:color="auto"/>
                    <w:right w:val="none" w:sz="0" w:space="0" w:color="auto"/>
                  </w:divBdr>
                </w:div>
                <w:div w:id="1580868942">
                  <w:marLeft w:val="0"/>
                  <w:marRight w:val="0"/>
                  <w:marTop w:val="0"/>
                  <w:marBottom w:val="0"/>
                  <w:divBdr>
                    <w:top w:val="none" w:sz="0" w:space="0" w:color="auto"/>
                    <w:left w:val="none" w:sz="0" w:space="0" w:color="auto"/>
                    <w:bottom w:val="none" w:sz="0" w:space="0" w:color="auto"/>
                    <w:right w:val="none" w:sz="0" w:space="0" w:color="auto"/>
                  </w:divBdr>
                </w:div>
                <w:div w:id="1667633843">
                  <w:marLeft w:val="0"/>
                  <w:marRight w:val="0"/>
                  <w:marTop w:val="0"/>
                  <w:marBottom w:val="0"/>
                  <w:divBdr>
                    <w:top w:val="none" w:sz="0" w:space="0" w:color="auto"/>
                    <w:left w:val="none" w:sz="0" w:space="0" w:color="auto"/>
                    <w:bottom w:val="none" w:sz="0" w:space="0" w:color="auto"/>
                    <w:right w:val="none" w:sz="0" w:space="0" w:color="auto"/>
                  </w:divBdr>
                </w:div>
                <w:div w:id="1686903994">
                  <w:marLeft w:val="0"/>
                  <w:marRight w:val="0"/>
                  <w:marTop w:val="0"/>
                  <w:marBottom w:val="0"/>
                  <w:divBdr>
                    <w:top w:val="none" w:sz="0" w:space="0" w:color="auto"/>
                    <w:left w:val="none" w:sz="0" w:space="0" w:color="auto"/>
                    <w:bottom w:val="none" w:sz="0" w:space="0" w:color="auto"/>
                    <w:right w:val="none" w:sz="0" w:space="0" w:color="auto"/>
                  </w:divBdr>
                </w:div>
                <w:div w:id="1703481583">
                  <w:marLeft w:val="0"/>
                  <w:marRight w:val="0"/>
                  <w:marTop w:val="0"/>
                  <w:marBottom w:val="0"/>
                  <w:divBdr>
                    <w:top w:val="none" w:sz="0" w:space="0" w:color="auto"/>
                    <w:left w:val="none" w:sz="0" w:space="0" w:color="auto"/>
                    <w:bottom w:val="none" w:sz="0" w:space="0" w:color="auto"/>
                    <w:right w:val="none" w:sz="0" w:space="0" w:color="auto"/>
                  </w:divBdr>
                </w:div>
                <w:div w:id="1706445646">
                  <w:marLeft w:val="0"/>
                  <w:marRight w:val="0"/>
                  <w:marTop w:val="0"/>
                  <w:marBottom w:val="0"/>
                  <w:divBdr>
                    <w:top w:val="none" w:sz="0" w:space="0" w:color="auto"/>
                    <w:left w:val="none" w:sz="0" w:space="0" w:color="auto"/>
                    <w:bottom w:val="none" w:sz="0" w:space="0" w:color="auto"/>
                    <w:right w:val="none" w:sz="0" w:space="0" w:color="auto"/>
                  </w:divBdr>
                </w:div>
                <w:div w:id="1853496983">
                  <w:marLeft w:val="0"/>
                  <w:marRight w:val="0"/>
                  <w:marTop w:val="0"/>
                  <w:marBottom w:val="0"/>
                  <w:divBdr>
                    <w:top w:val="none" w:sz="0" w:space="0" w:color="auto"/>
                    <w:left w:val="none" w:sz="0" w:space="0" w:color="auto"/>
                    <w:bottom w:val="none" w:sz="0" w:space="0" w:color="auto"/>
                    <w:right w:val="none" w:sz="0" w:space="0" w:color="auto"/>
                  </w:divBdr>
                </w:div>
                <w:div w:id="1897814300">
                  <w:marLeft w:val="0"/>
                  <w:marRight w:val="0"/>
                  <w:marTop w:val="0"/>
                  <w:marBottom w:val="0"/>
                  <w:divBdr>
                    <w:top w:val="none" w:sz="0" w:space="0" w:color="auto"/>
                    <w:left w:val="none" w:sz="0" w:space="0" w:color="auto"/>
                    <w:bottom w:val="none" w:sz="0" w:space="0" w:color="auto"/>
                    <w:right w:val="none" w:sz="0" w:space="0" w:color="auto"/>
                  </w:divBdr>
                </w:div>
                <w:div w:id="1930698536">
                  <w:marLeft w:val="0"/>
                  <w:marRight w:val="0"/>
                  <w:marTop w:val="0"/>
                  <w:marBottom w:val="0"/>
                  <w:divBdr>
                    <w:top w:val="none" w:sz="0" w:space="0" w:color="auto"/>
                    <w:left w:val="none" w:sz="0" w:space="0" w:color="auto"/>
                    <w:bottom w:val="none" w:sz="0" w:space="0" w:color="auto"/>
                    <w:right w:val="none" w:sz="0" w:space="0" w:color="auto"/>
                  </w:divBdr>
                </w:div>
                <w:div w:id="1934164248">
                  <w:marLeft w:val="0"/>
                  <w:marRight w:val="0"/>
                  <w:marTop w:val="0"/>
                  <w:marBottom w:val="0"/>
                  <w:divBdr>
                    <w:top w:val="none" w:sz="0" w:space="0" w:color="auto"/>
                    <w:left w:val="none" w:sz="0" w:space="0" w:color="auto"/>
                    <w:bottom w:val="none" w:sz="0" w:space="0" w:color="auto"/>
                    <w:right w:val="none" w:sz="0" w:space="0" w:color="auto"/>
                  </w:divBdr>
                </w:div>
                <w:div w:id="1984962895">
                  <w:marLeft w:val="0"/>
                  <w:marRight w:val="0"/>
                  <w:marTop w:val="0"/>
                  <w:marBottom w:val="0"/>
                  <w:divBdr>
                    <w:top w:val="none" w:sz="0" w:space="0" w:color="auto"/>
                    <w:left w:val="none" w:sz="0" w:space="0" w:color="auto"/>
                    <w:bottom w:val="none" w:sz="0" w:space="0" w:color="auto"/>
                    <w:right w:val="none" w:sz="0" w:space="0" w:color="auto"/>
                  </w:divBdr>
                </w:div>
                <w:div w:id="199324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1636">
          <w:marLeft w:val="0"/>
          <w:marRight w:val="0"/>
          <w:marTop w:val="15"/>
          <w:marBottom w:val="0"/>
          <w:divBdr>
            <w:top w:val="none" w:sz="0" w:space="0" w:color="auto"/>
            <w:left w:val="none" w:sz="0" w:space="0" w:color="auto"/>
            <w:bottom w:val="none" w:sz="0" w:space="0" w:color="auto"/>
            <w:right w:val="none" w:sz="0" w:space="0" w:color="auto"/>
          </w:divBdr>
          <w:divsChild>
            <w:div w:id="2058501962">
              <w:marLeft w:val="0"/>
              <w:marRight w:val="0"/>
              <w:marTop w:val="0"/>
              <w:marBottom w:val="0"/>
              <w:divBdr>
                <w:top w:val="none" w:sz="0" w:space="0" w:color="auto"/>
                <w:left w:val="none" w:sz="0" w:space="0" w:color="auto"/>
                <w:bottom w:val="none" w:sz="0" w:space="0" w:color="auto"/>
                <w:right w:val="none" w:sz="0" w:space="0" w:color="auto"/>
              </w:divBdr>
              <w:divsChild>
                <w:div w:id="92821528">
                  <w:marLeft w:val="0"/>
                  <w:marRight w:val="0"/>
                  <w:marTop w:val="0"/>
                  <w:marBottom w:val="0"/>
                  <w:divBdr>
                    <w:top w:val="none" w:sz="0" w:space="0" w:color="auto"/>
                    <w:left w:val="none" w:sz="0" w:space="0" w:color="auto"/>
                    <w:bottom w:val="none" w:sz="0" w:space="0" w:color="auto"/>
                    <w:right w:val="none" w:sz="0" w:space="0" w:color="auto"/>
                  </w:divBdr>
                </w:div>
                <w:div w:id="108092312">
                  <w:marLeft w:val="0"/>
                  <w:marRight w:val="0"/>
                  <w:marTop w:val="0"/>
                  <w:marBottom w:val="0"/>
                  <w:divBdr>
                    <w:top w:val="none" w:sz="0" w:space="0" w:color="auto"/>
                    <w:left w:val="none" w:sz="0" w:space="0" w:color="auto"/>
                    <w:bottom w:val="none" w:sz="0" w:space="0" w:color="auto"/>
                    <w:right w:val="none" w:sz="0" w:space="0" w:color="auto"/>
                  </w:divBdr>
                </w:div>
                <w:div w:id="331686339">
                  <w:marLeft w:val="0"/>
                  <w:marRight w:val="0"/>
                  <w:marTop w:val="0"/>
                  <w:marBottom w:val="0"/>
                  <w:divBdr>
                    <w:top w:val="none" w:sz="0" w:space="0" w:color="auto"/>
                    <w:left w:val="none" w:sz="0" w:space="0" w:color="auto"/>
                    <w:bottom w:val="none" w:sz="0" w:space="0" w:color="auto"/>
                    <w:right w:val="none" w:sz="0" w:space="0" w:color="auto"/>
                  </w:divBdr>
                </w:div>
                <w:div w:id="503789797">
                  <w:marLeft w:val="0"/>
                  <w:marRight w:val="0"/>
                  <w:marTop w:val="0"/>
                  <w:marBottom w:val="0"/>
                  <w:divBdr>
                    <w:top w:val="none" w:sz="0" w:space="0" w:color="auto"/>
                    <w:left w:val="none" w:sz="0" w:space="0" w:color="auto"/>
                    <w:bottom w:val="none" w:sz="0" w:space="0" w:color="auto"/>
                    <w:right w:val="none" w:sz="0" w:space="0" w:color="auto"/>
                  </w:divBdr>
                </w:div>
                <w:div w:id="611715246">
                  <w:marLeft w:val="0"/>
                  <w:marRight w:val="0"/>
                  <w:marTop w:val="0"/>
                  <w:marBottom w:val="0"/>
                  <w:divBdr>
                    <w:top w:val="none" w:sz="0" w:space="0" w:color="auto"/>
                    <w:left w:val="none" w:sz="0" w:space="0" w:color="auto"/>
                    <w:bottom w:val="none" w:sz="0" w:space="0" w:color="auto"/>
                    <w:right w:val="none" w:sz="0" w:space="0" w:color="auto"/>
                  </w:divBdr>
                </w:div>
                <w:div w:id="695081974">
                  <w:marLeft w:val="0"/>
                  <w:marRight w:val="0"/>
                  <w:marTop w:val="0"/>
                  <w:marBottom w:val="0"/>
                  <w:divBdr>
                    <w:top w:val="none" w:sz="0" w:space="0" w:color="auto"/>
                    <w:left w:val="none" w:sz="0" w:space="0" w:color="auto"/>
                    <w:bottom w:val="none" w:sz="0" w:space="0" w:color="auto"/>
                    <w:right w:val="none" w:sz="0" w:space="0" w:color="auto"/>
                  </w:divBdr>
                </w:div>
                <w:div w:id="902716946">
                  <w:marLeft w:val="0"/>
                  <w:marRight w:val="0"/>
                  <w:marTop w:val="0"/>
                  <w:marBottom w:val="0"/>
                  <w:divBdr>
                    <w:top w:val="none" w:sz="0" w:space="0" w:color="auto"/>
                    <w:left w:val="none" w:sz="0" w:space="0" w:color="auto"/>
                    <w:bottom w:val="none" w:sz="0" w:space="0" w:color="auto"/>
                    <w:right w:val="none" w:sz="0" w:space="0" w:color="auto"/>
                  </w:divBdr>
                </w:div>
                <w:div w:id="916324614">
                  <w:marLeft w:val="0"/>
                  <w:marRight w:val="0"/>
                  <w:marTop w:val="0"/>
                  <w:marBottom w:val="0"/>
                  <w:divBdr>
                    <w:top w:val="none" w:sz="0" w:space="0" w:color="auto"/>
                    <w:left w:val="none" w:sz="0" w:space="0" w:color="auto"/>
                    <w:bottom w:val="none" w:sz="0" w:space="0" w:color="auto"/>
                    <w:right w:val="none" w:sz="0" w:space="0" w:color="auto"/>
                  </w:divBdr>
                </w:div>
                <w:div w:id="922185554">
                  <w:marLeft w:val="0"/>
                  <w:marRight w:val="0"/>
                  <w:marTop w:val="0"/>
                  <w:marBottom w:val="0"/>
                  <w:divBdr>
                    <w:top w:val="none" w:sz="0" w:space="0" w:color="auto"/>
                    <w:left w:val="none" w:sz="0" w:space="0" w:color="auto"/>
                    <w:bottom w:val="none" w:sz="0" w:space="0" w:color="auto"/>
                    <w:right w:val="none" w:sz="0" w:space="0" w:color="auto"/>
                  </w:divBdr>
                </w:div>
                <w:div w:id="986860603">
                  <w:marLeft w:val="0"/>
                  <w:marRight w:val="0"/>
                  <w:marTop w:val="0"/>
                  <w:marBottom w:val="0"/>
                  <w:divBdr>
                    <w:top w:val="none" w:sz="0" w:space="0" w:color="auto"/>
                    <w:left w:val="none" w:sz="0" w:space="0" w:color="auto"/>
                    <w:bottom w:val="none" w:sz="0" w:space="0" w:color="auto"/>
                    <w:right w:val="none" w:sz="0" w:space="0" w:color="auto"/>
                  </w:divBdr>
                </w:div>
                <w:div w:id="999773202">
                  <w:marLeft w:val="0"/>
                  <w:marRight w:val="0"/>
                  <w:marTop w:val="0"/>
                  <w:marBottom w:val="0"/>
                  <w:divBdr>
                    <w:top w:val="none" w:sz="0" w:space="0" w:color="auto"/>
                    <w:left w:val="none" w:sz="0" w:space="0" w:color="auto"/>
                    <w:bottom w:val="none" w:sz="0" w:space="0" w:color="auto"/>
                    <w:right w:val="none" w:sz="0" w:space="0" w:color="auto"/>
                  </w:divBdr>
                </w:div>
                <w:div w:id="1042251097">
                  <w:marLeft w:val="0"/>
                  <w:marRight w:val="0"/>
                  <w:marTop w:val="0"/>
                  <w:marBottom w:val="0"/>
                  <w:divBdr>
                    <w:top w:val="none" w:sz="0" w:space="0" w:color="auto"/>
                    <w:left w:val="none" w:sz="0" w:space="0" w:color="auto"/>
                    <w:bottom w:val="none" w:sz="0" w:space="0" w:color="auto"/>
                    <w:right w:val="none" w:sz="0" w:space="0" w:color="auto"/>
                  </w:divBdr>
                </w:div>
                <w:div w:id="1271430995">
                  <w:marLeft w:val="0"/>
                  <w:marRight w:val="0"/>
                  <w:marTop w:val="0"/>
                  <w:marBottom w:val="0"/>
                  <w:divBdr>
                    <w:top w:val="none" w:sz="0" w:space="0" w:color="auto"/>
                    <w:left w:val="none" w:sz="0" w:space="0" w:color="auto"/>
                    <w:bottom w:val="none" w:sz="0" w:space="0" w:color="auto"/>
                    <w:right w:val="none" w:sz="0" w:space="0" w:color="auto"/>
                  </w:divBdr>
                </w:div>
                <w:div w:id="1354108320">
                  <w:marLeft w:val="0"/>
                  <w:marRight w:val="0"/>
                  <w:marTop w:val="0"/>
                  <w:marBottom w:val="0"/>
                  <w:divBdr>
                    <w:top w:val="none" w:sz="0" w:space="0" w:color="auto"/>
                    <w:left w:val="none" w:sz="0" w:space="0" w:color="auto"/>
                    <w:bottom w:val="none" w:sz="0" w:space="0" w:color="auto"/>
                    <w:right w:val="none" w:sz="0" w:space="0" w:color="auto"/>
                  </w:divBdr>
                </w:div>
                <w:div w:id="1437677142">
                  <w:marLeft w:val="0"/>
                  <w:marRight w:val="0"/>
                  <w:marTop w:val="0"/>
                  <w:marBottom w:val="0"/>
                  <w:divBdr>
                    <w:top w:val="none" w:sz="0" w:space="0" w:color="auto"/>
                    <w:left w:val="none" w:sz="0" w:space="0" w:color="auto"/>
                    <w:bottom w:val="none" w:sz="0" w:space="0" w:color="auto"/>
                    <w:right w:val="none" w:sz="0" w:space="0" w:color="auto"/>
                  </w:divBdr>
                </w:div>
                <w:div w:id="1438132483">
                  <w:marLeft w:val="0"/>
                  <w:marRight w:val="0"/>
                  <w:marTop w:val="0"/>
                  <w:marBottom w:val="0"/>
                  <w:divBdr>
                    <w:top w:val="none" w:sz="0" w:space="0" w:color="auto"/>
                    <w:left w:val="none" w:sz="0" w:space="0" w:color="auto"/>
                    <w:bottom w:val="none" w:sz="0" w:space="0" w:color="auto"/>
                    <w:right w:val="none" w:sz="0" w:space="0" w:color="auto"/>
                  </w:divBdr>
                </w:div>
                <w:div w:id="1479224349">
                  <w:marLeft w:val="0"/>
                  <w:marRight w:val="0"/>
                  <w:marTop w:val="0"/>
                  <w:marBottom w:val="0"/>
                  <w:divBdr>
                    <w:top w:val="none" w:sz="0" w:space="0" w:color="auto"/>
                    <w:left w:val="none" w:sz="0" w:space="0" w:color="auto"/>
                    <w:bottom w:val="none" w:sz="0" w:space="0" w:color="auto"/>
                    <w:right w:val="none" w:sz="0" w:space="0" w:color="auto"/>
                  </w:divBdr>
                </w:div>
                <w:div w:id="1541556055">
                  <w:marLeft w:val="0"/>
                  <w:marRight w:val="0"/>
                  <w:marTop w:val="0"/>
                  <w:marBottom w:val="0"/>
                  <w:divBdr>
                    <w:top w:val="none" w:sz="0" w:space="0" w:color="auto"/>
                    <w:left w:val="none" w:sz="0" w:space="0" w:color="auto"/>
                    <w:bottom w:val="none" w:sz="0" w:space="0" w:color="auto"/>
                    <w:right w:val="none" w:sz="0" w:space="0" w:color="auto"/>
                  </w:divBdr>
                </w:div>
                <w:div w:id="1587767230">
                  <w:marLeft w:val="0"/>
                  <w:marRight w:val="0"/>
                  <w:marTop w:val="0"/>
                  <w:marBottom w:val="0"/>
                  <w:divBdr>
                    <w:top w:val="none" w:sz="0" w:space="0" w:color="auto"/>
                    <w:left w:val="none" w:sz="0" w:space="0" w:color="auto"/>
                    <w:bottom w:val="none" w:sz="0" w:space="0" w:color="auto"/>
                    <w:right w:val="none" w:sz="0" w:space="0" w:color="auto"/>
                  </w:divBdr>
                </w:div>
                <w:div w:id="1609042464">
                  <w:marLeft w:val="0"/>
                  <w:marRight w:val="0"/>
                  <w:marTop w:val="0"/>
                  <w:marBottom w:val="0"/>
                  <w:divBdr>
                    <w:top w:val="none" w:sz="0" w:space="0" w:color="auto"/>
                    <w:left w:val="none" w:sz="0" w:space="0" w:color="auto"/>
                    <w:bottom w:val="none" w:sz="0" w:space="0" w:color="auto"/>
                    <w:right w:val="none" w:sz="0" w:space="0" w:color="auto"/>
                  </w:divBdr>
                </w:div>
                <w:div w:id="1897162162">
                  <w:marLeft w:val="0"/>
                  <w:marRight w:val="0"/>
                  <w:marTop w:val="0"/>
                  <w:marBottom w:val="0"/>
                  <w:divBdr>
                    <w:top w:val="none" w:sz="0" w:space="0" w:color="auto"/>
                    <w:left w:val="none" w:sz="0" w:space="0" w:color="auto"/>
                    <w:bottom w:val="none" w:sz="0" w:space="0" w:color="auto"/>
                    <w:right w:val="none" w:sz="0" w:space="0" w:color="auto"/>
                  </w:divBdr>
                </w:div>
                <w:div w:id="1921061955">
                  <w:marLeft w:val="0"/>
                  <w:marRight w:val="0"/>
                  <w:marTop w:val="0"/>
                  <w:marBottom w:val="0"/>
                  <w:divBdr>
                    <w:top w:val="none" w:sz="0" w:space="0" w:color="auto"/>
                    <w:left w:val="none" w:sz="0" w:space="0" w:color="auto"/>
                    <w:bottom w:val="none" w:sz="0" w:space="0" w:color="auto"/>
                    <w:right w:val="none" w:sz="0" w:space="0" w:color="auto"/>
                  </w:divBdr>
                </w:div>
                <w:div w:id="1923029918">
                  <w:marLeft w:val="0"/>
                  <w:marRight w:val="0"/>
                  <w:marTop w:val="0"/>
                  <w:marBottom w:val="0"/>
                  <w:divBdr>
                    <w:top w:val="none" w:sz="0" w:space="0" w:color="auto"/>
                    <w:left w:val="none" w:sz="0" w:space="0" w:color="auto"/>
                    <w:bottom w:val="none" w:sz="0" w:space="0" w:color="auto"/>
                    <w:right w:val="none" w:sz="0" w:space="0" w:color="auto"/>
                  </w:divBdr>
                </w:div>
                <w:div w:id="1933199784">
                  <w:marLeft w:val="0"/>
                  <w:marRight w:val="0"/>
                  <w:marTop w:val="0"/>
                  <w:marBottom w:val="0"/>
                  <w:divBdr>
                    <w:top w:val="none" w:sz="0" w:space="0" w:color="auto"/>
                    <w:left w:val="none" w:sz="0" w:space="0" w:color="auto"/>
                    <w:bottom w:val="none" w:sz="0" w:space="0" w:color="auto"/>
                    <w:right w:val="none" w:sz="0" w:space="0" w:color="auto"/>
                  </w:divBdr>
                </w:div>
                <w:div w:id="1960405579">
                  <w:marLeft w:val="0"/>
                  <w:marRight w:val="0"/>
                  <w:marTop w:val="0"/>
                  <w:marBottom w:val="0"/>
                  <w:divBdr>
                    <w:top w:val="none" w:sz="0" w:space="0" w:color="auto"/>
                    <w:left w:val="none" w:sz="0" w:space="0" w:color="auto"/>
                    <w:bottom w:val="none" w:sz="0" w:space="0" w:color="auto"/>
                    <w:right w:val="none" w:sz="0" w:space="0" w:color="auto"/>
                  </w:divBdr>
                </w:div>
                <w:div w:id="1963999495">
                  <w:marLeft w:val="0"/>
                  <w:marRight w:val="0"/>
                  <w:marTop w:val="0"/>
                  <w:marBottom w:val="0"/>
                  <w:divBdr>
                    <w:top w:val="none" w:sz="0" w:space="0" w:color="auto"/>
                    <w:left w:val="none" w:sz="0" w:space="0" w:color="auto"/>
                    <w:bottom w:val="none" w:sz="0" w:space="0" w:color="auto"/>
                    <w:right w:val="none" w:sz="0" w:space="0" w:color="auto"/>
                  </w:divBdr>
                </w:div>
                <w:div w:id="2050761248">
                  <w:marLeft w:val="0"/>
                  <w:marRight w:val="0"/>
                  <w:marTop w:val="0"/>
                  <w:marBottom w:val="0"/>
                  <w:divBdr>
                    <w:top w:val="none" w:sz="0" w:space="0" w:color="auto"/>
                    <w:left w:val="none" w:sz="0" w:space="0" w:color="auto"/>
                    <w:bottom w:val="none" w:sz="0" w:space="0" w:color="auto"/>
                    <w:right w:val="none" w:sz="0" w:space="0" w:color="auto"/>
                  </w:divBdr>
                </w:div>
                <w:div w:id="211185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538596">
          <w:marLeft w:val="0"/>
          <w:marRight w:val="0"/>
          <w:marTop w:val="15"/>
          <w:marBottom w:val="0"/>
          <w:divBdr>
            <w:top w:val="none" w:sz="0" w:space="0" w:color="auto"/>
            <w:left w:val="none" w:sz="0" w:space="0" w:color="auto"/>
            <w:bottom w:val="none" w:sz="0" w:space="0" w:color="auto"/>
            <w:right w:val="none" w:sz="0" w:space="0" w:color="auto"/>
          </w:divBdr>
          <w:divsChild>
            <w:div w:id="982127062">
              <w:marLeft w:val="0"/>
              <w:marRight w:val="0"/>
              <w:marTop w:val="0"/>
              <w:marBottom w:val="0"/>
              <w:divBdr>
                <w:top w:val="none" w:sz="0" w:space="0" w:color="auto"/>
                <w:left w:val="none" w:sz="0" w:space="0" w:color="auto"/>
                <w:bottom w:val="none" w:sz="0" w:space="0" w:color="auto"/>
                <w:right w:val="none" w:sz="0" w:space="0" w:color="auto"/>
              </w:divBdr>
              <w:divsChild>
                <w:div w:id="152528800">
                  <w:marLeft w:val="0"/>
                  <w:marRight w:val="0"/>
                  <w:marTop w:val="0"/>
                  <w:marBottom w:val="0"/>
                  <w:divBdr>
                    <w:top w:val="none" w:sz="0" w:space="0" w:color="auto"/>
                    <w:left w:val="none" w:sz="0" w:space="0" w:color="auto"/>
                    <w:bottom w:val="none" w:sz="0" w:space="0" w:color="auto"/>
                    <w:right w:val="none" w:sz="0" w:space="0" w:color="auto"/>
                  </w:divBdr>
                </w:div>
                <w:div w:id="241069300">
                  <w:marLeft w:val="0"/>
                  <w:marRight w:val="0"/>
                  <w:marTop w:val="0"/>
                  <w:marBottom w:val="0"/>
                  <w:divBdr>
                    <w:top w:val="none" w:sz="0" w:space="0" w:color="auto"/>
                    <w:left w:val="none" w:sz="0" w:space="0" w:color="auto"/>
                    <w:bottom w:val="none" w:sz="0" w:space="0" w:color="auto"/>
                    <w:right w:val="none" w:sz="0" w:space="0" w:color="auto"/>
                  </w:divBdr>
                </w:div>
                <w:div w:id="258803256">
                  <w:marLeft w:val="0"/>
                  <w:marRight w:val="0"/>
                  <w:marTop w:val="0"/>
                  <w:marBottom w:val="0"/>
                  <w:divBdr>
                    <w:top w:val="none" w:sz="0" w:space="0" w:color="auto"/>
                    <w:left w:val="none" w:sz="0" w:space="0" w:color="auto"/>
                    <w:bottom w:val="none" w:sz="0" w:space="0" w:color="auto"/>
                    <w:right w:val="none" w:sz="0" w:space="0" w:color="auto"/>
                  </w:divBdr>
                </w:div>
                <w:div w:id="259993751">
                  <w:marLeft w:val="0"/>
                  <w:marRight w:val="0"/>
                  <w:marTop w:val="0"/>
                  <w:marBottom w:val="0"/>
                  <w:divBdr>
                    <w:top w:val="none" w:sz="0" w:space="0" w:color="auto"/>
                    <w:left w:val="none" w:sz="0" w:space="0" w:color="auto"/>
                    <w:bottom w:val="none" w:sz="0" w:space="0" w:color="auto"/>
                    <w:right w:val="none" w:sz="0" w:space="0" w:color="auto"/>
                  </w:divBdr>
                </w:div>
                <w:div w:id="341205308">
                  <w:marLeft w:val="0"/>
                  <w:marRight w:val="0"/>
                  <w:marTop w:val="0"/>
                  <w:marBottom w:val="0"/>
                  <w:divBdr>
                    <w:top w:val="none" w:sz="0" w:space="0" w:color="auto"/>
                    <w:left w:val="none" w:sz="0" w:space="0" w:color="auto"/>
                    <w:bottom w:val="none" w:sz="0" w:space="0" w:color="auto"/>
                    <w:right w:val="none" w:sz="0" w:space="0" w:color="auto"/>
                  </w:divBdr>
                </w:div>
                <w:div w:id="535197736">
                  <w:marLeft w:val="0"/>
                  <w:marRight w:val="0"/>
                  <w:marTop w:val="0"/>
                  <w:marBottom w:val="0"/>
                  <w:divBdr>
                    <w:top w:val="none" w:sz="0" w:space="0" w:color="auto"/>
                    <w:left w:val="none" w:sz="0" w:space="0" w:color="auto"/>
                    <w:bottom w:val="none" w:sz="0" w:space="0" w:color="auto"/>
                    <w:right w:val="none" w:sz="0" w:space="0" w:color="auto"/>
                  </w:divBdr>
                </w:div>
                <w:div w:id="693653678">
                  <w:marLeft w:val="0"/>
                  <w:marRight w:val="0"/>
                  <w:marTop w:val="0"/>
                  <w:marBottom w:val="0"/>
                  <w:divBdr>
                    <w:top w:val="none" w:sz="0" w:space="0" w:color="auto"/>
                    <w:left w:val="none" w:sz="0" w:space="0" w:color="auto"/>
                    <w:bottom w:val="none" w:sz="0" w:space="0" w:color="auto"/>
                    <w:right w:val="none" w:sz="0" w:space="0" w:color="auto"/>
                  </w:divBdr>
                </w:div>
                <w:div w:id="712536662">
                  <w:marLeft w:val="0"/>
                  <w:marRight w:val="0"/>
                  <w:marTop w:val="0"/>
                  <w:marBottom w:val="0"/>
                  <w:divBdr>
                    <w:top w:val="none" w:sz="0" w:space="0" w:color="auto"/>
                    <w:left w:val="none" w:sz="0" w:space="0" w:color="auto"/>
                    <w:bottom w:val="none" w:sz="0" w:space="0" w:color="auto"/>
                    <w:right w:val="none" w:sz="0" w:space="0" w:color="auto"/>
                  </w:divBdr>
                </w:div>
                <w:div w:id="712845179">
                  <w:marLeft w:val="0"/>
                  <w:marRight w:val="0"/>
                  <w:marTop w:val="0"/>
                  <w:marBottom w:val="0"/>
                  <w:divBdr>
                    <w:top w:val="none" w:sz="0" w:space="0" w:color="auto"/>
                    <w:left w:val="none" w:sz="0" w:space="0" w:color="auto"/>
                    <w:bottom w:val="none" w:sz="0" w:space="0" w:color="auto"/>
                    <w:right w:val="none" w:sz="0" w:space="0" w:color="auto"/>
                  </w:divBdr>
                </w:div>
                <w:div w:id="923874051">
                  <w:marLeft w:val="0"/>
                  <w:marRight w:val="0"/>
                  <w:marTop w:val="0"/>
                  <w:marBottom w:val="0"/>
                  <w:divBdr>
                    <w:top w:val="none" w:sz="0" w:space="0" w:color="auto"/>
                    <w:left w:val="none" w:sz="0" w:space="0" w:color="auto"/>
                    <w:bottom w:val="none" w:sz="0" w:space="0" w:color="auto"/>
                    <w:right w:val="none" w:sz="0" w:space="0" w:color="auto"/>
                  </w:divBdr>
                </w:div>
                <w:div w:id="966860342">
                  <w:marLeft w:val="0"/>
                  <w:marRight w:val="0"/>
                  <w:marTop w:val="0"/>
                  <w:marBottom w:val="0"/>
                  <w:divBdr>
                    <w:top w:val="none" w:sz="0" w:space="0" w:color="auto"/>
                    <w:left w:val="none" w:sz="0" w:space="0" w:color="auto"/>
                    <w:bottom w:val="none" w:sz="0" w:space="0" w:color="auto"/>
                    <w:right w:val="none" w:sz="0" w:space="0" w:color="auto"/>
                  </w:divBdr>
                </w:div>
                <w:div w:id="1091661074">
                  <w:marLeft w:val="0"/>
                  <w:marRight w:val="0"/>
                  <w:marTop w:val="0"/>
                  <w:marBottom w:val="0"/>
                  <w:divBdr>
                    <w:top w:val="none" w:sz="0" w:space="0" w:color="auto"/>
                    <w:left w:val="none" w:sz="0" w:space="0" w:color="auto"/>
                    <w:bottom w:val="none" w:sz="0" w:space="0" w:color="auto"/>
                    <w:right w:val="none" w:sz="0" w:space="0" w:color="auto"/>
                  </w:divBdr>
                </w:div>
                <w:div w:id="1147435169">
                  <w:marLeft w:val="0"/>
                  <w:marRight w:val="0"/>
                  <w:marTop w:val="0"/>
                  <w:marBottom w:val="0"/>
                  <w:divBdr>
                    <w:top w:val="none" w:sz="0" w:space="0" w:color="auto"/>
                    <w:left w:val="none" w:sz="0" w:space="0" w:color="auto"/>
                    <w:bottom w:val="none" w:sz="0" w:space="0" w:color="auto"/>
                    <w:right w:val="none" w:sz="0" w:space="0" w:color="auto"/>
                  </w:divBdr>
                </w:div>
                <w:div w:id="1396466678">
                  <w:marLeft w:val="0"/>
                  <w:marRight w:val="0"/>
                  <w:marTop w:val="0"/>
                  <w:marBottom w:val="0"/>
                  <w:divBdr>
                    <w:top w:val="none" w:sz="0" w:space="0" w:color="auto"/>
                    <w:left w:val="none" w:sz="0" w:space="0" w:color="auto"/>
                    <w:bottom w:val="none" w:sz="0" w:space="0" w:color="auto"/>
                    <w:right w:val="none" w:sz="0" w:space="0" w:color="auto"/>
                  </w:divBdr>
                </w:div>
                <w:div w:id="1632638433">
                  <w:marLeft w:val="0"/>
                  <w:marRight w:val="0"/>
                  <w:marTop w:val="0"/>
                  <w:marBottom w:val="0"/>
                  <w:divBdr>
                    <w:top w:val="none" w:sz="0" w:space="0" w:color="auto"/>
                    <w:left w:val="none" w:sz="0" w:space="0" w:color="auto"/>
                    <w:bottom w:val="none" w:sz="0" w:space="0" w:color="auto"/>
                    <w:right w:val="none" w:sz="0" w:space="0" w:color="auto"/>
                  </w:divBdr>
                </w:div>
                <w:div w:id="1678581233">
                  <w:marLeft w:val="0"/>
                  <w:marRight w:val="0"/>
                  <w:marTop w:val="0"/>
                  <w:marBottom w:val="0"/>
                  <w:divBdr>
                    <w:top w:val="none" w:sz="0" w:space="0" w:color="auto"/>
                    <w:left w:val="none" w:sz="0" w:space="0" w:color="auto"/>
                    <w:bottom w:val="none" w:sz="0" w:space="0" w:color="auto"/>
                    <w:right w:val="none" w:sz="0" w:space="0" w:color="auto"/>
                  </w:divBdr>
                </w:div>
                <w:div w:id="1764571875">
                  <w:marLeft w:val="0"/>
                  <w:marRight w:val="0"/>
                  <w:marTop w:val="0"/>
                  <w:marBottom w:val="0"/>
                  <w:divBdr>
                    <w:top w:val="none" w:sz="0" w:space="0" w:color="auto"/>
                    <w:left w:val="none" w:sz="0" w:space="0" w:color="auto"/>
                    <w:bottom w:val="none" w:sz="0" w:space="0" w:color="auto"/>
                    <w:right w:val="none" w:sz="0" w:space="0" w:color="auto"/>
                  </w:divBdr>
                </w:div>
                <w:div w:id="1852261215">
                  <w:marLeft w:val="0"/>
                  <w:marRight w:val="0"/>
                  <w:marTop w:val="0"/>
                  <w:marBottom w:val="0"/>
                  <w:divBdr>
                    <w:top w:val="none" w:sz="0" w:space="0" w:color="auto"/>
                    <w:left w:val="none" w:sz="0" w:space="0" w:color="auto"/>
                    <w:bottom w:val="none" w:sz="0" w:space="0" w:color="auto"/>
                    <w:right w:val="none" w:sz="0" w:space="0" w:color="auto"/>
                  </w:divBdr>
                </w:div>
                <w:div w:id="1888836074">
                  <w:marLeft w:val="0"/>
                  <w:marRight w:val="0"/>
                  <w:marTop w:val="0"/>
                  <w:marBottom w:val="0"/>
                  <w:divBdr>
                    <w:top w:val="none" w:sz="0" w:space="0" w:color="auto"/>
                    <w:left w:val="none" w:sz="0" w:space="0" w:color="auto"/>
                    <w:bottom w:val="none" w:sz="0" w:space="0" w:color="auto"/>
                    <w:right w:val="none" w:sz="0" w:space="0" w:color="auto"/>
                  </w:divBdr>
                </w:div>
                <w:div w:id="1910460705">
                  <w:marLeft w:val="0"/>
                  <w:marRight w:val="0"/>
                  <w:marTop w:val="0"/>
                  <w:marBottom w:val="0"/>
                  <w:divBdr>
                    <w:top w:val="none" w:sz="0" w:space="0" w:color="auto"/>
                    <w:left w:val="none" w:sz="0" w:space="0" w:color="auto"/>
                    <w:bottom w:val="none" w:sz="0" w:space="0" w:color="auto"/>
                    <w:right w:val="none" w:sz="0" w:space="0" w:color="auto"/>
                  </w:divBdr>
                </w:div>
                <w:div w:id="1912809931">
                  <w:marLeft w:val="0"/>
                  <w:marRight w:val="0"/>
                  <w:marTop w:val="0"/>
                  <w:marBottom w:val="0"/>
                  <w:divBdr>
                    <w:top w:val="none" w:sz="0" w:space="0" w:color="auto"/>
                    <w:left w:val="none" w:sz="0" w:space="0" w:color="auto"/>
                    <w:bottom w:val="none" w:sz="0" w:space="0" w:color="auto"/>
                    <w:right w:val="none" w:sz="0" w:space="0" w:color="auto"/>
                  </w:divBdr>
                </w:div>
                <w:div w:id="1954941450">
                  <w:marLeft w:val="0"/>
                  <w:marRight w:val="0"/>
                  <w:marTop w:val="0"/>
                  <w:marBottom w:val="0"/>
                  <w:divBdr>
                    <w:top w:val="none" w:sz="0" w:space="0" w:color="auto"/>
                    <w:left w:val="none" w:sz="0" w:space="0" w:color="auto"/>
                    <w:bottom w:val="none" w:sz="0" w:space="0" w:color="auto"/>
                    <w:right w:val="none" w:sz="0" w:space="0" w:color="auto"/>
                  </w:divBdr>
                </w:div>
                <w:div w:id="2068524794">
                  <w:marLeft w:val="0"/>
                  <w:marRight w:val="0"/>
                  <w:marTop w:val="0"/>
                  <w:marBottom w:val="0"/>
                  <w:divBdr>
                    <w:top w:val="none" w:sz="0" w:space="0" w:color="auto"/>
                    <w:left w:val="none" w:sz="0" w:space="0" w:color="auto"/>
                    <w:bottom w:val="none" w:sz="0" w:space="0" w:color="auto"/>
                    <w:right w:val="none" w:sz="0" w:space="0" w:color="auto"/>
                  </w:divBdr>
                </w:div>
                <w:div w:id="213667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3084">
          <w:marLeft w:val="0"/>
          <w:marRight w:val="0"/>
          <w:marTop w:val="15"/>
          <w:marBottom w:val="0"/>
          <w:divBdr>
            <w:top w:val="none" w:sz="0" w:space="0" w:color="auto"/>
            <w:left w:val="none" w:sz="0" w:space="0" w:color="auto"/>
            <w:bottom w:val="none" w:sz="0" w:space="0" w:color="auto"/>
            <w:right w:val="none" w:sz="0" w:space="0" w:color="auto"/>
          </w:divBdr>
          <w:divsChild>
            <w:div w:id="550580776">
              <w:marLeft w:val="0"/>
              <w:marRight w:val="0"/>
              <w:marTop w:val="0"/>
              <w:marBottom w:val="0"/>
              <w:divBdr>
                <w:top w:val="none" w:sz="0" w:space="0" w:color="auto"/>
                <w:left w:val="none" w:sz="0" w:space="0" w:color="auto"/>
                <w:bottom w:val="none" w:sz="0" w:space="0" w:color="auto"/>
                <w:right w:val="none" w:sz="0" w:space="0" w:color="auto"/>
              </w:divBdr>
              <w:divsChild>
                <w:div w:id="55864487">
                  <w:marLeft w:val="0"/>
                  <w:marRight w:val="0"/>
                  <w:marTop w:val="0"/>
                  <w:marBottom w:val="0"/>
                  <w:divBdr>
                    <w:top w:val="none" w:sz="0" w:space="0" w:color="auto"/>
                    <w:left w:val="none" w:sz="0" w:space="0" w:color="auto"/>
                    <w:bottom w:val="none" w:sz="0" w:space="0" w:color="auto"/>
                    <w:right w:val="none" w:sz="0" w:space="0" w:color="auto"/>
                  </w:divBdr>
                </w:div>
                <w:div w:id="389504769">
                  <w:marLeft w:val="0"/>
                  <w:marRight w:val="0"/>
                  <w:marTop w:val="0"/>
                  <w:marBottom w:val="0"/>
                  <w:divBdr>
                    <w:top w:val="none" w:sz="0" w:space="0" w:color="auto"/>
                    <w:left w:val="none" w:sz="0" w:space="0" w:color="auto"/>
                    <w:bottom w:val="none" w:sz="0" w:space="0" w:color="auto"/>
                    <w:right w:val="none" w:sz="0" w:space="0" w:color="auto"/>
                  </w:divBdr>
                </w:div>
                <w:div w:id="433869218">
                  <w:marLeft w:val="0"/>
                  <w:marRight w:val="0"/>
                  <w:marTop w:val="0"/>
                  <w:marBottom w:val="0"/>
                  <w:divBdr>
                    <w:top w:val="none" w:sz="0" w:space="0" w:color="auto"/>
                    <w:left w:val="none" w:sz="0" w:space="0" w:color="auto"/>
                    <w:bottom w:val="none" w:sz="0" w:space="0" w:color="auto"/>
                    <w:right w:val="none" w:sz="0" w:space="0" w:color="auto"/>
                  </w:divBdr>
                </w:div>
                <w:div w:id="551891028">
                  <w:marLeft w:val="0"/>
                  <w:marRight w:val="0"/>
                  <w:marTop w:val="0"/>
                  <w:marBottom w:val="0"/>
                  <w:divBdr>
                    <w:top w:val="none" w:sz="0" w:space="0" w:color="auto"/>
                    <w:left w:val="none" w:sz="0" w:space="0" w:color="auto"/>
                    <w:bottom w:val="none" w:sz="0" w:space="0" w:color="auto"/>
                    <w:right w:val="none" w:sz="0" w:space="0" w:color="auto"/>
                  </w:divBdr>
                </w:div>
                <w:div w:id="587349399">
                  <w:marLeft w:val="0"/>
                  <w:marRight w:val="0"/>
                  <w:marTop w:val="0"/>
                  <w:marBottom w:val="0"/>
                  <w:divBdr>
                    <w:top w:val="none" w:sz="0" w:space="0" w:color="auto"/>
                    <w:left w:val="none" w:sz="0" w:space="0" w:color="auto"/>
                    <w:bottom w:val="none" w:sz="0" w:space="0" w:color="auto"/>
                    <w:right w:val="none" w:sz="0" w:space="0" w:color="auto"/>
                  </w:divBdr>
                </w:div>
                <w:div w:id="702826340">
                  <w:marLeft w:val="0"/>
                  <w:marRight w:val="0"/>
                  <w:marTop w:val="0"/>
                  <w:marBottom w:val="0"/>
                  <w:divBdr>
                    <w:top w:val="none" w:sz="0" w:space="0" w:color="auto"/>
                    <w:left w:val="none" w:sz="0" w:space="0" w:color="auto"/>
                    <w:bottom w:val="none" w:sz="0" w:space="0" w:color="auto"/>
                    <w:right w:val="none" w:sz="0" w:space="0" w:color="auto"/>
                  </w:divBdr>
                </w:div>
                <w:div w:id="949119219">
                  <w:marLeft w:val="0"/>
                  <w:marRight w:val="0"/>
                  <w:marTop w:val="0"/>
                  <w:marBottom w:val="0"/>
                  <w:divBdr>
                    <w:top w:val="none" w:sz="0" w:space="0" w:color="auto"/>
                    <w:left w:val="none" w:sz="0" w:space="0" w:color="auto"/>
                    <w:bottom w:val="none" w:sz="0" w:space="0" w:color="auto"/>
                    <w:right w:val="none" w:sz="0" w:space="0" w:color="auto"/>
                  </w:divBdr>
                </w:div>
                <w:div w:id="953251915">
                  <w:marLeft w:val="0"/>
                  <w:marRight w:val="0"/>
                  <w:marTop w:val="0"/>
                  <w:marBottom w:val="0"/>
                  <w:divBdr>
                    <w:top w:val="none" w:sz="0" w:space="0" w:color="auto"/>
                    <w:left w:val="none" w:sz="0" w:space="0" w:color="auto"/>
                    <w:bottom w:val="none" w:sz="0" w:space="0" w:color="auto"/>
                    <w:right w:val="none" w:sz="0" w:space="0" w:color="auto"/>
                  </w:divBdr>
                </w:div>
                <w:div w:id="1010915996">
                  <w:marLeft w:val="0"/>
                  <w:marRight w:val="0"/>
                  <w:marTop w:val="0"/>
                  <w:marBottom w:val="0"/>
                  <w:divBdr>
                    <w:top w:val="none" w:sz="0" w:space="0" w:color="auto"/>
                    <w:left w:val="none" w:sz="0" w:space="0" w:color="auto"/>
                    <w:bottom w:val="none" w:sz="0" w:space="0" w:color="auto"/>
                    <w:right w:val="none" w:sz="0" w:space="0" w:color="auto"/>
                  </w:divBdr>
                </w:div>
                <w:div w:id="1093863139">
                  <w:marLeft w:val="0"/>
                  <w:marRight w:val="0"/>
                  <w:marTop w:val="0"/>
                  <w:marBottom w:val="0"/>
                  <w:divBdr>
                    <w:top w:val="none" w:sz="0" w:space="0" w:color="auto"/>
                    <w:left w:val="none" w:sz="0" w:space="0" w:color="auto"/>
                    <w:bottom w:val="none" w:sz="0" w:space="0" w:color="auto"/>
                    <w:right w:val="none" w:sz="0" w:space="0" w:color="auto"/>
                  </w:divBdr>
                </w:div>
                <w:div w:id="1141921266">
                  <w:marLeft w:val="0"/>
                  <w:marRight w:val="0"/>
                  <w:marTop w:val="0"/>
                  <w:marBottom w:val="0"/>
                  <w:divBdr>
                    <w:top w:val="none" w:sz="0" w:space="0" w:color="auto"/>
                    <w:left w:val="none" w:sz="0" w:space="0" w:color="auto"/>
                    <w:bottom w:val="none" w:sz="0" w:space="0" w:color="auto"/>
                    <w:right w:val="none" w:sz="0" w:space="0" w:color="auto"/>
                  </w:divBdr>
                </w:div>
                <w:div w:id="1181314778">
                  <w:marLeft w:val="0"/>
                  <w:marRight w:val="0"/>
                  <w:marTop w:val="0"/>
                  <w:marBottom w:val="0"/>
                  <w:divBdr>
                    <w:top w:val="none" w:sz="0" w:space="0" w:color="auto"/>
                    <w:left w:val="none" w:sz="0" w:space="0" w:color="auto"/>
                    <w:bottom w:val="none" w:sz="0" w:space="0" w:color="auto"/>
                    <w:right w:val="none" w:sz="0" w:space="0" w:color="auto"/>
                  </w:divBdr>
                </w:div>
                <w:div w:id="1248884105">
                  <w:marLeft w:val="0"/>
                  <w:marRight w:val="0"/>
                  <w:marTop w:val="0"/>
                  <w:marBottom w:val="0"/>
                  <w:divBdr>
                    <w:top w:val="none" w:sz="0" w:space="0" w:color="auto"/>
                    <w:left w:val="none" w:sz="0" w:space="0" w:color="auto"/>
                    <w:bottom w:val="none" w:sz="0" w:space="0" w:color="auto"/>
                    <w:right w:val="none" w:sz="0" w:space="0" w:color="auto"/>
                  </w:divBdr>
                </w:div>
                <w:div w:id="1300575293">
                  <w:marLeft w:val="0"/>
                  <w:marRight w:val="0"/>
                  <w:marTop w:val="0"/>
                  <w:marBottom w:val="0"/>
                  <w:divBdr>
                    <w:top w:val="none" w:sz="0" w:space="0" w:color="auto"/>
                    <w:left w:val="none" w:sz="0" w:space="0" w:color="auto"/>
                    <w:bottom w:val="none" w:sz="0" w:space="0" w:color="auto"/>
                    <w:right w:val="none" w:sz="0" w:space="0" w:color="auto"/>
                  </w:divBdr>
                </w:div>
                <w:div w:id="1302615378">
                  <w:marLeft w:val="0"/>
                  <w:marRight w:val="0"/>
                  <w:marTop w:val="0"/>
                  <w:marBottom w:val="0"/>
                  <w:divBdr>
                    <w:top w:val="none" w:sz="0" w:space="0" w:color="auto"/>
                    <w:left w:val="none" w:sz="0" w:space="0" w:color="auto"/>
                    <w:bottom w:val="none" w:sz="0" w:space="0" w:color="auto"/>
                    <w:right w:val="none" w:sz="0" w:space="0" w:color="auto"/>
                  </w:divBdr>
                </w:div>
                <w:div w:id="1426345471">
                  <w:marLeft w:val="0"/>
                  <w:marRight w:val="0"/>
                  <w:marTop w:val="0"/>
                  <w:marBottom w:val="0"/>
                  <w:divBdr>
                    <w:top w:val="none" w:sz="0" w:space="0" w:color="auto"/>
                    <w:left w:val="none" w:sz="0" w:space="0" w:color="auto"/>
                    <w:bottom w:val="none" w:sz="0" w:space="0" w:color="auto"/>
                    <w:right w:val="none" w:sz="0" w:space="0" w:color="auto"/>
                  </w:divBdr>
                </w:div>
                <w:div w:id="1483737276">
                  <w:marLeft w:val="0"/>
                  <w:marRight w:val="0"/>
                  <w:marTop w:val="0"/>
                  <w:marBottom w:val="0"/>
                  <w:divBdr>
                    <w:top w:val="none" w:sz="0" w:space="0" w:color="auto"/>
                    <w:left w:val="none" w:sz="0" w:space="0" w:color="auto"/>
                    <w:bottom w:val="none" w:sz="0" w:space="0" w:color="auto"/>
                    <w:right w:val="none" w:sz="0" w:space="0" w:color="auto"/>
                  </w:divBdr>
                </w:div>
                <w:div w:id="1524903583">
                  <w:marLeft w:val="0"/>
                  <w:marRight w:val="0"/>
                  <w:marTop w:val="0"/>
                  <w:marBottom w:val="0"/>
                  <w:divBdr>
                    <w:top w:val="none" w:sz="0" w:space="0" w:color="auto"/>
                    <w:left w:val="none" w:sz="0" w:space="0" w:color="auto"/>
                    <w:bottom w:val="none" w:sz="0" w:space="0" w:color="auto"/>
                    <w:right w:val="none" w:sz="0" w:space="0" w:color="auto"/>
                  </w:divBdr>
                </w:div>
                <w:div w:id="1666736133">
                  <w:marLeft w:val="0"/>
                  <w:marRight w:val="0"/>
                  <w:marTop w:val="0"/>
                  <w:marBottom w:val="0"/>
                  <w:divBdr>
                    <w:top w:val="none" w:sz="0" w:space="0" w:color="auto"/>
                    <w:left w:val="none" w:sz="0" w:space="0" w:color="auto"/>
                    <w:bottom w:val="none" w:sz="0" w:space="0" w:color="auto"/>
                    <w:right w:val="none" w:sz="0" w:space="0" w:color="auto"/>
                  </w:divBdr>
                </w:div>
                <w:div w:id="1840656726">
                  <w:marLeft w:val="0"/>
                  <w:marRight w:val="0"/>
                  <w:marTop w:val="0"/>
                  <w:marBottom w:val="0"/>
                  <w:divBdr>
                    <w:top w:val="none" w:sz="0" w:space="0" w:color="auto"/>
                    <w:left w:val="none" w:sz="0" w:space="0" w:color="auto"/>
                    <w:bottom w:val="none" w:sz="0" w:space="0" w:color="auto"/>
                    <w:right w:val="none" w:sz="0" w:space="0" w:color="auto"/>
                  </w:divBdr>
                </w:div>
                <w:div w:id="1898856760">
                  <w:marLeft w:val="0"/>
                  <w:marRight w:val="0"/>
                  <w:marTop w:val="0"/>
                  <w:marBottom w:val="0"/>
                  <w:divBdr>
                    <w:top w:val="none" w:sz="0" w:space="0" w:color="auto"/>
                    <w:left w:val="none" w:sz="0" w:space="0" w:color="auto"/>
                    <w:bottom w:val="none" w:sz="0" w:space="0" w:color="auto"/>
                    <w:right w:val="none" w:sz="0" w:space="0" w:color="auto"/>
                  </w:divBdr>
                </w:div>
                <w:div w:id="205253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18994">
          <w:marLeft w:val="0"/>
          <w:marRight w:val="0"/>
          <w:marTop w:val="15"/>
          <w:marBottom w:val="0"/>
          <w:divBdr>
            <w:top w:val="none" w:sz="0" w:space="0" w:color="auto"/>
            <w:left w:val="none" w:sz="0" w:space="0" w:color="auto"/>
            <w:bottom w:val="none" w:sz="0" w:space="0" w:color="auto"/>
            <w:right w:val="none" w:sz="0" w:space="0" w:color="auto"/>
          </w:divBdr>
          <w:divsChild>
            <w:div w:id="223948702">
              <w:marLeft w:val="0"/>
              <w:marRight w:val="0"/>
              <w:marTop w:val="0"/>
              <w:marBottom w:val="0"/>
              <w:divBdr>
                <w:top w:val="none" w:sz="0" w:space="0" w:color="auto"/>
                <w:left w:val="none" w:sz="0" w:space="0" w:color="auto"/>
                <w:bottom w:val="none" w:sz="0" w:space="0" w:color="auto"/>
                <w:right w:val="none" w:sz="0" w:space="0" w:color="auto"/>
              </w:divBdr>
              <w:divsChild>
                <w:div w:id="92287336">
                  <w:marLeft w:val="0"/>
                  <w:marRight w:val="0"/>
                  <w:marTop w:val="0"/>
                  <w:marBottom w:val="0"/>
                  <w:divBdr>
                    <w:top w:val="none" w:sz="0" w:space="0" w:color="auto"/>
                    <w:left w:val="none" w:sz="0" w:space="0" w:color="auto"/>
                    <w:bottom w:val="none" w:sz="0" w:space="0" w:color="auto"/>
                    <w:right w:val="none" w:sz="0" w:space="0" w:color="auto"/>
                  </w:divBdr>
                </w:div>
                <w:div w:id="210000533">
                  <w:marLeft w:val="0"/>
                  <w:marRight w:val="0"/>
                  <w:marTop w:val="0"/>
                  <w:marBottom w:val="0"/>
                  <w:divBdr>
                    <w:top w:val="none" w:sz="0" w:space="0" w:color="auto"/>
                    <w:left w:val="none" w:sz="0" w:space="0" w:color="auto"/>
                    <w:bottom w:val="none" w:sz="0" w:space="0" w:color="auto"/>
                    <w:right w:val="none" w:sz="0" w:space="0" w:color="auto"/>
                  </w:divBdr>
                </w:div>
                <w:div w:id="247346622">
                  <w:marLeft w:val="0"/>
                  <w:marRight w:val="0"/>
                  <w:marTop w:val="0"/>
                  <w:marBottom w:val="0"/>
                  <w:divBdr>
                    <w:top w:val="none" w:sz="0" w:space="0" w:color="auto"/>
                    <w:left w:val="none" w:sz="0" w:space="0" w:color="auto"/>
                    <w:bottom w:val="none" w:sz="0" w:space="0" w:color="auto"/>
                    <w:right w:val="none" w:sz="0" w:space="0" w:color="auto"/>
                  </w:divBdr>
                </w:div>
                <w:div w:id="261963569">
                  <w:marLeft w:val="0"/>
                  <w:marRight w:val="0"/>
                  <w:marTop w:val="0"/>
                  <w:marBottom w:val="0"/>
                  <w:divBdr>
                    <w:top w:val="none" w:sz="0" w:space="0" w:color="auto"/>
                    <w:left w:val="none" w:sz="0" w:space="0" w:color="auto"/>
                    <w:bottom w:val="none" w:sz="0" w:space="0" w:color="auto"/>
                    <w:right w:val="none" w:sz="0" w:space="0" w:color="auto"/>
                  </w:divBdr>
                </w:div>
                <w:div w:id="305088536">
                  <w:marLeft w:val="0"/>
                  <w:marRight w:val="0"/>
                  <w:marTop w:val="0"/>
                  <w:marBottom w:val="0"/>
                  <w:divBdr>
                    <w:top w:val="none" w:sz="0" w:space="0" w:color="auto"/>
                    <w:left w:val="none" w:sz="0" w:space="0" w:color="auto"/>
                    <w:bottom w:val="none" w:sz="0" w:space="0" w:color="auto"/>
                    <w:right w:val="none" w:sz="0" w:space="0" w:color="auto"/>
                  </w:divBdr>
                </w:div>
                <w:div w:id="545068077">
                  <w:marLeft w:val="0"/>
                  <w:marRight w:val="0"/>
                  <w:marTop w:val="0"/>
                  <w:marBottom w:val="0"/>
                  <w:divBdr>
                    <w:top w:val="none" w:sz="0" w:space="0" w:color="auto"/>
                    <w:left w:val="none" w:sz="0" w:space="0" w:color="auto"/>
                    <w:bottom w:val="none" w:sz="0" w:space="0" w:color="auto"/>
                    <w:right w:val="none" w:sz="0" w:space="0" w:color="auto"/>
                  </w:divBdr>
                </w:div>
                <w:div w:id="626549650">
                  <w:marLeft w:val="0"/>
                  <w:marRight w:val="0"/>
                  <w:marTop w:val="0"/>
                  <w:marBottom w:val="0"/>
                  <w:divBdr>
                    <w:top w:val="none" w:sz="0" w:space="0" w:color="auto"/>
                    <w:left w:val="none" w:sz="0" w:space="0" w:color="auto"/>
                    <w:bottom w:val="none" w:sz="0" w:space="0" w:color="auto"/>
                    <w:right w:val="none" w:sz="0" w:space="0" w:color="auto"/>
                  </w:divBdr>
                </w:div>
                <w:div w:id="629287678">
                  <w:marLeft w:val="0"/>
                  <w:marRight w:val="0"/>
                  <w:marTop w:val="0"/>
                  <w:marBottom w:val="0"/>
                  <w:divBdr>
                    <w:top w:val="none" w:sz="0" w:space="0" w:color="auto"/>
                    <w:left w:val="none" w:sz="0" w:space="0" w:color="auto"/>
                    <w:bottom w:val="none" w:sz="0" w:space="0" w:color="auto"/>
                    <w:right w:val="none" w:sz="0" w:space="0" w:color="auto"/>
                  </w:divBdr>
                </w:div>
                <w:div w:id="638922688">
                  <w:marLeft w:val="0"/>
                  <w:marRight w:val="0"/>
                  <w:marTop w:val="0"/>
                  <w:marBottom w:val="0"/>
                  <w:divBdr>
                    <w:top w:val="none" w:sz="0" w:space="0" w:color="auto"/>
                    <w:left w:val="none" w:sz="0" w:space="0" w:color="auto"/>
                    <w:bottom w:val="none" w:sz="0" w:space="0" w:color="auto"/>
                    <w:right w:val="none" w:sz="0" w:space="0" w:color="auto"/>
                  </w:divBdr>
                </w:div>
                <w:div w:id="671377598">
                  <w:marLeft w:val="0"/>
                  <w:marRight w:val="0"/>
                  <w:marTop w:val="0"/>
                  <w:marBottom w:val="0"/>
                  <w:divBdr>
                    <w:top w:val="none" w:sz="0" w:space="0" w:color="auto"/>
                    <w:left w:val="none" w:sz="0" w:space="0" w:color="auto"/>
                    <w:bottom w:val="none" w:sz="0" w:space="0" w:color="auto"/>
                    <w:right w:val="none" w:sz="0" w:space="0" w:color="auto"/>
                  </w:divBdr>
                </w:div>
                <w:div w:id="686177378">
                  <w:marLeft w:val="0"/>
                  <w:marRight w:val="0"/>
                  <w:marTop w:val="0"/>
                  <w:marBottom w:val="0"/>
                  <w:divBdr>
                    <w:top w:val="none" w:sz="0" w:space="0" w:color="auto"/>
                    <w:left w:val="none" w:sz="0" w:space="0" w:color="auto"/>
                    <w:bottom w:val="none" w:sz="0" w:space="0" w:color="auto"/>
                    <w:right w:val="none" w:sz="0" w:space="0" w:color="auto"/>
                  </w:divBdr>
                </w:div>
                <w:div w:id="704717884">
                  <w:marLeft w:val="0"/>
                  <w:marRight w:val="0"/>
                  <w:marTop w:val="0"/>
                  <w:marBottom w:val="0"/>
                  <w:divBdr>
                    <w:top w:val="none" w:sz="0" w:space="0" w:color="auto"/>
                    <w:left w:val="none" w:sz="0" w:space="0" w:color="auto"/>
                    <w:bottom w:val="none" w:sz="0" w:space="0" w:color="auto"/>
                    <w:right w:val="none" w:sz="0" w:space="0" w:color="auto"/>
                  </w:divBdr>
                </w:div>
                <w:div w:id="834952669">
                  <w:marLeft w:val="0"/>
                  <w:marRight w:val="0"/>
                  <w:marTop w:val="0"/>
                  <w:marBottom w:val="0"/>
                  <w:divBdr>
                    <w:top w:val="none" w:sz="0" w:space="0" w:color="auto"/>
                    <w:left w:val="none" w:sz="0" w:space="0" w:color="auto"/>
                    <w:bottom w:val="none" w:sz="0" w:space="0" w:color="auto"/>
                    <w:right w:val="none" w:sz="0" w:space="0" w:color="auto"/>
                  </w:divBdr>
                </w:div>
                <w:div w:id="917329746">
                  <w:marLeft w:val="0"/>
                  <w:marRight w:val="0"/>
                  <w:marTop w:val="0"/>
                  <w:marBottom w:val="0"/>
                  <w:divBdr>
                    <w:top w:val="none" w:sz="0" w:space="0" w:color="auto"/>
                    <w:left w:val="none" w:sz="0" w:space="0" w:color="auto"/>
                    <w:bottom w:val="none" w:sz="0" w:space="0" w:color="auto"/>
                    <w:right w:val="none" w:sz="0" w:space="0" w:color="auto"/>
                  </w:divBdr>
                </w:div>
                <w:div w:id="1294018068">
                  <w:marLeft w:val="0"/>
                  <w:marRight w:val="0"/>
                  <w:marTop w:val="0"/>
                  <w:marBottom w:val="0"/>
                  <w:divBdr>
                    <w:top w:val="none" w:sz="0" w:space="0" w:color="auto"/>
                    <w:left w:val="none" w:sz="0" w:space="0" w:color="auto"/>
                    <w:bottom w:val="none" w:sz="0" w:space="0" w:color="auto"/>
                    <w:right w:val="none" w:sz="0" w:space="0" w:color="auto"/>
                  </w:divBdr>
                </w:div>
                <w:div w:id="1328244508">
                  <w:marLeft w:val="0"/>
                  <w:marRight w:val="0"/>
                  <w:marTop w:val="0"/>
                  <w:marBottom w:val="0"/>
                  <w:divBdr>
                    <w:top w:val="none" w:sz="0" w:space="0" w:color="auto"/>
                    <w:left w:val="none" w:sz="0" w:space="0" w:color="auto"/>
                    <w:bottom w:val="none" w:sz="0" w:space="0" w:color="auto"/>
                    <w:right w:val="none" w:sz="0" w:space="0" w:color="auto"/>
                  </w:divBdr>
                </w:div>
                <w:div w:id="1423331212">
                  <w:marLeft w:val="0"/>
                  <w:marRight w:val="0"/>
                  <w:marTop w:val="0"/>
                  <w:marBottom w:val="0"/>
                  <w:divBdr>
                    <w:top w:val="none" w:sz="0" w:space="0" w:color="auto"/>
                    <w:left w:val="none" w:sz="0" w:space="0" w:color="auto"/>
                    <w:bottom w:val="none" w:sz="0" w:space="0" w:color="auto"/>
                    <w:right w:val="none" w:sz="0" w:space="0" w:color="auto"/>
                  </w:divBdr>
                </w:div>
                <w:div w:id="1439521295">
                  <w:marLeft w:val="0"/>
                  <w:marRight w:val="0"/>
                  <w:marTop w:val="0"/>
                  <w:marBottom w:val="0"/>
                  <w:divBdr>
                    <w:top w:val="none" w:sz="0" w:space="0" w:color="auto"/>
                    <w:left w:val="none" w:sz="0" w:space="0" w:color="auto"/>
                    <w:bottom w:val="none" w:sz="0" w:space="0" w:color="auto"/>
                    <w:right w:val="none" w:sz="0" w:space="0" w:color="auto"/>
                  </w:divBdr>
                </w:div>
                <w:div w:id="1441611647">
                  <w:marLeft w:val="0"/>
                  <w:marRight w:val="0"/>
                  <w:marTop w:val="0"/>
                  <w:marBottom w:val="0"/>
                  <w:divBdr>
                    <w:top w:val="none" w:sz="0" w:space="0" w:color="auto"/>
                    <w:left w:val="none" w:sz="0" w:space="0" w:color="auto"/>
                    <w:bottom w:val="none" w:sz="0" w:space="0" w:color="auto"/>
                    <w:right w:val="none" w:sz="0" w:space="0" w:color="auto"/>
                  </w:divBdr>
                </w:div>
                <w:div w:id="1446997096">
                  <w:marLeft w:val="0"/>
                  <w:marRight w:val="0"/>
                  <w:marTop w:val="0"/>
                  <w:marBottom w:val="0"/>
                  <w:divBdr>
                    <w:top w:val="none" w:sz="0" w:space="0" w:color="auto"/>
                    <w:left w:val="none" w:sz="0" w:space="0" w:color="auto"/>
                    <w:bottom w:val="none" w:sz="0" w:space="0" w:color="auto"/>
                    <w:right w:val="none" w:sz="0" w:space="0" w:color="auto"/>
                  </w:divBdr>
                </w:div>
                <w:div w:id="1493568535">
                  <w:marLeft w:val="0"/>
                  <w:marRight w:val="0"/>
                  <w:marTop w:val="0"/>
                  <w:marBottom w:val="0"/>
                  <w:divBdr>
                    <w:top w:val="none" w:sz="0" w:space="0" w:color="auto"/>
                    <w:left w:val="none" w:sz="0" w:space="0" w:color="auto"/>
                    <w:bottom w:val="none" w:sz="0" w:space="0" w:color="auto"/>
                    <w:right w:val="none" w:sz="0" w:space="0" w:color="auto"/>
                  </w:divBdr>
                </w:div>
                <w:div w:id="1504322721">
                  <w:marLeft w:val="0"/>
                  <w:marRight w:val="0"/>
                  <w:marTop w:val="0"/>
                  <w:marBottom w:val="0"/>
                  <w:divBdr>
                    <w:top w:val="none" w:sz="0" w:space="0" w:color="auto"/>
                    <w:left w:val="none" w:sz="0" w:space="0" w:color="auto"/>
                    <w:bottom w:val="none" w:sz="0" w:space="0" w:color="auto"/>
                    <w:right w:val="none" w:sz="0" w:space="0" w:color="auto"/>
                  </w:divBdr>
                </w:div>
                <w:div w:id="1585869482">
                  <w:marLeft w:val="0"/>
                  <w:marRight w:val="0"/>
                  <w:marTop w:val="0"/>
                  <w:marBottom w:val="0"/>
                  <w:divBdr>
                    <w:top w:val="none" w:sz="0" w:space="0" w:color="auto"/>
                    <w:left w:val="none" w:sz="0" w:space="0" w:color="auto"/>
                    <w:bottom w:val="none" w:sz="0" w:space="0" w:color="auto"/>
                    <w:right w:val="none" w:sz="0" w:space="0" w:color="auto"/>
                  </w:divBdr>
                </w:div>
                <w:div w:id="1598177392">
                  <w:marLeft w:val="0"/>
                  <w:marRight w:val="0"/>
                  <w:marTop w:val="0"/>
                  <w:marBottom w:val="0"/>
                  <w:divBdr>
                    <w:top w:val="none" w:sz="0" w:space="0" w:color="auto"/>
                    <w:left w:val="none" w:sz="0" w:space="0" w:color="auto"/>
                    <w:bottom w:val="none" w:sz="0" w:space="0" w:color="auto"/>
                    <w:right w:val="none" w:sz="0" w:space="0" w:color="auto"/>
                  </w:divBdr>
                </w:div>
                <w:div w:id="1692417076">
                  <w:marLeft w:val="0"/>
                  <w:marRight w:val="0"/>
                  <w:marTop w:val="0"/>
                  <w:marBottom w:val="0"/>
                  <w:divBdr>
                    <w:top w:val="none" w:sz="0" w:space="0" w:color="auto"/>
                    <w:left w:val="none" w:sz="0" w:space="0" w:color="auto"/>
                    <w:bottom w:val="none" w:sz="0" w:space="0" w:color="auto"/>
                    <w:right w:val="none" w:sz="0" w:space="0" w:color="auto"/>
                  </w:divBdr>
                </w:div>
                <w:div w:id="1756975799">
                  <w:marLeft w:val="0"/>
                  <w:marRight w:val="0"/>
                  <w:marTop w:val="0"/>
                  <w:marBottom w:val="0"/>
                  <w:divBdr>
                    <w:top w:val="none" w:sz="0" w:space="0" w:color="auto"/>
                    <w:left w:val="none" w:sz="0" w:space="0" w:color="auto"/>
                    <w:bottom w:val="none" w:sz="0" w:space="0" w:color="auto"/>
                    <w:right w:val="none" w:sz="0" w:space="0" w:color="auto"/>
                  </w:divBdr>
                </w:div>
                <w:div w:id="1809785490">
                  <w:marLeft w:val="0"/>
                  <w:marRight w:val="0"/>
                  <w:marTop w:val="0"/>
                  <w:marBottom w:val="0"/>
                  <w:divBdr>
                    <w:top w:val="none" w:sz="0" w:space="0" w:color="auto"/>
                    <w:left w:val="none" w:sz="0" w:space="0" w:color="auto"/>
                    <w:bottom w:val="none" w:sz="0" w:space="0" w:color="auto"/>
                    <w:right w:val="none" w:sz="0" w:space="0" w:color="auto"/>
                  </w:divBdr>
                </w:div>
                <w:div w:id="1922833694">
                  <w:marLeft w:val="0"/>
                  <w:marRight w:val="0"/>
                  <w:marTop w:val="0"/>
                  <w:marBottom w:val="0"/>
                  <w:divBdr>
                    <w:top w:val="none" w:sz="0" w:space="0" w:color="auto"/>
                    <w:left w:val="none" w:sz="0" w:space="0" w:color="auto"/>
                    <w:bottom w:val="none" w:sz="0" w:space="0" w:color="auto"/>
                    <w:right w:val="none" w:sz="0" w:space="0" w:color="auto"/>
                  </w:divBdr>
                </w:div>
                <w:div w:id="1950551199">
                  <w:marLeft w:val="0"/>
                  <w:marRight w:val="0"/>
                  <w:marTop w:val="0"/>
                  <w:marBottom w:val="0"/>
                  <w:divBdr>
                    <w:top w:val="none" w:sz="0" w:space="0" w:color="auto"/>
                    <w:left w:val="none" w:sz="0" w:space="0" w:color="auto"/>
                    <w:bottom w:val="none" w:sz="0" w:space="0" w:color="auto"/>
                    <w:right w:val="none" w:sz="0" w:space="0" w:color="auto"/>
                  </w:divBdr>
                </w:div>
                <w:div w:id="2004816135">
                  <w:marLeft w:val="0"/>
                  <w:marRight w:val="0"/>
                  <w:marTop w:val="0"/>
                  <w:marBottom w:val="0"/>
                  <w:divBdr>
                    <w:top w:val="none" w:sz="0" w:space="0" w:color="auto"/>
                    <w:left w:val="none" w:sz="0" w:space="0" w:color="auto"/>
                    <w:bottom w:val="none" w:sz="0" w:space="0" w:color="auto"/>
                    <w:right w:val="none" w:sz="0" w:space="0" w:color="auto"/>
                  </w:divBdr>
                </w:div>
                <w:div w:id="2062946786">
                  <w:marLeft w:val="0"/>
                  <w:marRight w:val="0"/>
                  <w:marTop w:val="0"/>
                  <w:marBottom w:val="0"/>
                  <w:divBdr>
                    <w:top w:val="none" w:sz="0" w:space="0" w:color="auto"/>
                    <w:left w:val="none" w:sz="0" w:space="0" w:color="auto"/>
                    <w:bottom w:val="none" w:sz="0" w:space="0" w:color="auto"/>
                    <w:right w:val="none" w:sz="0" w:space="0" w:color="auto"/>
                  </w:divBdr>
                </w:div>
                <w:div w:id="2067292990">
                  <w:marLeft w:val="0"/>
                  <w:marRight w:val="0"/>
                  <w:marTop w:val="0"/>
                  <w:marBottom w:val="0"/>
                  <w:divBdr>
                    <w:top w:val="none" w:sz="0" w:space="0" w:color="auto"/>
                    <w:left w:val="none" w:sz="0" w:space="0" w:color="auto"/>
                    <w:bottom w:val="none" w:sz="0" w:space="0" w:color="auto"/>
                    <w:right w:val="none" w:sz="0" w:space="0" w:color="auto"/>
                  </w:divBdr>
                </w:div>
                <w:div w:id="2077312812">
                  <w:marLeft w:val="0"/>
                  <w:marRight w:val="0"/>
                  <w:marTop w:val="0"/>
                  <w:marBottom w:val="0"/>
                  <w:divBdr>
                    <w:top w:val="none" w:sz="0" w:space="0" w:color="auto"/>
                    <w:left w:val="none" w:sz="0" w:space="0" w:color="auto"/>
                    <w:bottom w:val="none" w:sz="0" w:space="0" w:color="auto"/>
                    <w:right w:val="none" w:sz="0" w:space="0" w:color="auto"/>
                  </w:divBdr>
                </w:div>
                <w:div w:id="209374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924480">
          <w:marLeft w:val="0"/>
          <w:marRight w:val="0"/>
          <w:marTop w:val="15"/>
          <w:marBottom w:val="0"/>
          <w:divBdr>
            <w:top w:val="none" w:sz="0" w:space="0" w:color="auto"/>
            <w:left w:val="none" w:sz="0" w:space="0" w:color="auto"/>
            <w:bottom w:val="none" w:sz="0" w:space="0" w:color="auto"/>
            <w:right w:val="none" w:sz="0" w:space="0" w:color="auto"/>
          </w:divBdr>
          <w:divsChild>
            <w:div w:id="893270753">
              <w:marLeft w:val="0"/>
              <w:marRight w:val="0"/>
              <w:marTop w:val="0"/>
              <w:marBottom w:val="0"/>
              <w:divBdr>
                <w:top w:val="none" w:sz="0" w:space="0" w:color="auto"/>
                <w:left w:val="none" w:sz="0" w:space="0" w:color="auto"/>
                <w:bottom w:val="none" w:sz="0" w:space="0" w:color="auto"/>
                <w:right w:val="none" w:sz="0" w:space="0" w:color="auto"/>
              </w:divBdr>
              <w:divsChild>
                <w:div w:id="788308">
                  <w:marLeft w:val="0"/>
                  <w:marRight w:val="0"/>
                  <w:marTop w:val="0"/>
                  <w:marBottom w:val="0"/>
                  <w:divBdr>
                    <w:top w:val="none" w:sz="0" w:space="0" w:color="auto"/>
                    <w:left w:val="none" w:sz="0" w:space="0" w:color="auto"/>
                    <w:bottom w:val="none" w:sz="0" w:space="0" w:color="auto"/>
                    <w:right w:val="none" w:sz="0" w:space="0" w:color="auto"/>
                  </w:divBdr>
                </w:div>
                <w:div w:id="36781531">
                  <w:marLeft w:val="0"/>
                  <w:marRight w:val="0"/>
                  <w:marTop w:val="0"/>
                  <w:marBottom w:val="0"/>
                  <w:divBdr>
                    <w:top w:val="none" w:sz="0" w:space="0" w:color="auto"/>
                    <w:left w:val="none" w:sz="0" w:space="0" w:color="auto"/>
                    <w:bottom w:val="none" w:sz="0" w:space="0" w:color="auto"/>
                    <w:right w:val="none" w:sz="0" w:space="0" w:color="auto"/>
                  </w:divBdr>
                </w:div>
                <w:div w:id="379060250">
                  <w:marLeft w:val="0"/>
                  <w:marRight w:val="0"/>
                  <w:marTop w:val="0"/>
                  <w:marBottom w:val="0"/>
                  <w:divBdr>
                    <w:top w:val="none" w:sz="0" w:space="0" w:color="auto"/>
                    <w:left w:val="none" w:sz="0" w:space="0" w:color="auto"/>
                    <w:bottom w:val="none" w:sz="0" w:space="0" w:color="auto"/>
                    <w:right w:val="none" w:sz="0" w:space="0" w:color="auto"/>
                  </w:divBdr>
                </w:div>
                <w:div w:id="387456674">
                  <w:marLeft w:val="0"/>
                  <w:marRight w:val="0"/>
                  <w:marTop w:val="0"/>
                  <w:marBottom w:val="0"/>
                  <w:divBdr>
                    <w:top w:val="none" w:sz="0" w:space="0" w:color="auto"/>
                    <w:left w:val="none" w:sz="0" w:space="0" w:color="auto"/>
                    <w:bottom w:val="none" w:sz="0" w:space="0" w:color="auto"/>
                    <w:right w:val="none" w:sz="0" w:space="0" w:color="auto"/>
                  </w:divBdr>
                </w:div>
                <w:div w:id="389622605">
                  <w:marLeft w:val="0"/>
                  <w:marRight w:val="0"/>
                  <w:marTop w:val="0"/>
                  <w:marBottom w:val="0"/>
                  <w:divBdr>
                    <w:top w:val="none" w:sz="0" w:space="0" w:color="auto"/>
                    <w:left w:val="none" w:sz="0" w:space="0" w:color="auto"/>
                    <w:bottom w:val="none" w:sz="0" w:space="0" w:color="auto"/>
                    <w:right w:val="none" w:sz="0" w:space="0" w:color="auto"/>
                  </w:divBdr>
                </w:div>
                <w:div w:id="396631645">
                  <w:marLeft w:val="0"/>
                  <w:marRight w:val="0"/>
                  <w:marTop w:val="0"/>
                  <w:marBottom w:val="0"/>
                  <w:divBdr>
                    <w:top w:val="none" w:sz="0" w:space="0" w:color="auto"/>
                    <w:left w:val="none" w:sz="0" w:space="0" w:color="auto"/>
                    <w:bottom w:val="none" w:sz="0" w:space="0" w:color="auto"/>
                    <w:right w:val="none" w:sz="0" w:space="0" w:color="auto"/>
                  </w:divBdr>
                </w:div>
                <w:div w:id="431048597">
                  <w:marLeft w:val="0"/>
                  <w:marRight w:val="0"/>
                  <w:marTop w:val="0"/>
                  <w:marBottom w:val="0"/>
                  <w:divBdr>
                    <w:top w:val="none" w:sz="0" w:space="0" w:color="auto"/>
                    <w:left w:val="none" w:sz="0" w:space="0" w:color="auto"/>
                    <w:bottom w:val="none" w:sz="0" w:space="0" w:color="auto"/>
                    <w:right w:val="none" w:sz="0" w:space="0" w:color="auto"/>
                  </w:divBdr>
                </w:div>
                <w:div w:id="494809401">
                  <w:marLeft w:val="0"/>
                  <w:marRight w:val="0"/>
                  <w:marTop w:val="0"/>
                  <w:marBottom w:val="0"/>
                  <w:divBdr>
                    <w:top w:val="none" w:sz="0" w:space="0" w:color="auto"/>
                    <w:left w:val="none" w:sz="0" w:space="0" w:color="auto"/>
                    <w:bottom w:val="none" w:sz="0" w:space="0" w:color="auto"/>
                    <w:right w:val="none" w:sz="0" w:space="0" w:color="auto"/>
                  </w:divBdr>
                </w:div>
                <w:div w:id="628512921">
                  <w:marLeft w:val="0"/>
                  <w:marRight w:val="0"/>
                  <w:marTop w:val="0"/>
                  <w:marBottom w:val="0"/>
                  <w:divBdr>
                    <w:top w:val="none" w:sz="0" w:space="0" w:color="auto"/>
                    <w:left w:val="none" w:sz="0" w:space="0" w:color="auto"/>
                    <w:bottom w:val="none" w:sz="0" w:space="0" w:color="auto"/>
                    <w:right w:val="none" w:sz="0" w:space="0" w:color="auto"/>
                  </w:divBdr>
                </w:div>
                <w:div w:id="638264849">
                  <w:marLeft w:val="0"/>
                  <w:marRight w:val="0"/>
                  <w:marTop w:val="0"/>
                  <w:marBottom w:val="0"/>
                  <w:divBdr>
                    <w:top w:val="none" w:sz="0" w:space="0" w:color="auto"/>
                    <w:left w:val="none" w:sz="0" w:space="0" w:color="auto"/>
                    <w:bottom w:val="none" w:sz="0" w:space="0" w:color="auto"/>
                    <w:right w:val="none" w:sz="0" w:space="0" w:color="auto"/>
                  </w:divBdr>
                </w:div>
                <w:div w:id="794952207">
                  <w:marLeft w:val="0"/>
                  <w:marRight w:val="0"/>
                  <w:marTop w:val="0"/>
                  <w:marBottom w:val="0"/>
                  <w:divBdr>
                    <w:top w:val="none" w:sz="0" w:space="0" w:color="auto"/>
                    <w:left w:val="none" w:sz="0" w:space="0" w:color="auto"/>
                    <w:bottom w:val="none" w:sz="0" w:space="0" w:color="auto"/>
                    <w:right w:val="none" w:sz="0" w:space="0" w:color="auto"/>
                  </w:divBdr>
                </w:div>
                <w:div w:id="825169960">
                  <w:marLeft w:val="0"/>
                  <w:marRight w:val="0"/>
                  <w:marTop w:val="0"/>
                  <w:marBottom w:val="0"/>
                  <w:divBdr>
                    <w:top w:val="none" w:sz="0" w:space="0" w:color="auto"/>
                    <w:left w:val="none" w:sz="0" w:space="0" w:color="auto"/>
                    <w:bottom w:val="none" w:sz="0" w:space="0" w:color="auto"/>
                    <w:right w:val="none" w:sz="0" w:space="0" w:color="auto"/>
                  </w:divBdr>
                </w:div>
                <w:div w:id="867721202">
                  <w:marLeft w:val="0"/>
                  <w:marRight w:val="0"/>
                  <w:marTop w:val="0"/>
                  <w:marBottom w:val="0"/>
                  <w:divBdr>
                    <w:top w:val="none" w:sz="0" w:space="0" w:color="auto"/>
                    <w:left w:val="none" w:sz="0" w:space="0" w:color="auto"/>
                    <w:bottom w:val="none" w:sz="0" w:space="0" w:color="auto"/>
                    <w:right w:val="none" w:sz="0" w:space="0" w:color="auto"/>
                  </w:divBdr>
                </w:div>
                <w:div w:id="1025716508">
                  <w:marLeft w:val="0"/>
                  <w:marRight w:val="0"/>
                  <w:marTop w:val="0"/>
                  <w:marBottom w:val="0"/>
                  <w:divBdr>
                    <w:top w:val="none" w:sz="0" w:space="0" w:color="auto"/>
                    <w:left w:val="none" w:sz="0" w:space="0" w:color="auto"/>
                    <w:bottom w:val="none" w:sz="0" w:space="0" w:color="auto"/>
                    <w:right w:val="none" w:sz="0" w:space="0" w:color="auto"/>
                  </w:divBdr>
                </w:div>
                <w:div w:id="1152719517">
                  <w:marLeft w:val="0"/>
                  <w:marRight w:val="0"/>
                  <w:marTop w:val="0"/>
                  <w:marBottom w:val="0"/>
                  <w:divBdr>
                    <w:top w:val="none" w:sz="0" w:space="0" w:color="auto"/>
                    <w:left w:val="none" w:sz="0" w:space="0" w:color="auto"/>
                    <w:bottom w:val="none" w:sz="0" w:space="0" w:color="auto"/>
                    <w:right w:val="none" w:sz="0" w:space="0" w:color="auto"/>
                  </w:divBdr>
                </w:div>
                <w:div w:id="1275751517">
                  <w:marLeft w:val="0"/>
                  <w:marRight w:val="0"/>
                  <w:marTop w:val="0"/>
                  <w:marBottom w:val="0"/>
                  <w:divBdr>
                    <w:top w:val="none" w:sz="0" w:space="0" w:color="auto"/>
                    <w:left w:val="none" w:sz="0" w:space="0" w:color="auto"/>
                    <w:bottom w:val="none" w:sz="0" w:space="0" w:color="auto"/>
                    <w:right w:val="none" w:sz="0" w:space="0" w:color="auto"/>
                  </w:divBdr>
                </w:div>
                <w:div w:id="1322613543">
                  <w:marLeft w:val="0"/>
                  <w:marRight w:val="0"/>
                  <w:marTop w:val="0"/>
                  <w:marBottom w:val="0"/>
                  <w:divBdr>
                    <w:top w:val="none" w:sz="0" w:space="0" w:color="auto"/>
                    <w:left w:val="none" w:sz="0" w:space="0" w:color="auto"/>
                    <w:bottom w:val="none" w:sz="0" w:space="0" w:color="auto"/>
                    <w:right w:val="none" w:sz="0" w:space="0" w:color="auto"/>
                  </w:divBdr>
                </w:div>
                <w:div w:id="1328247273">
                  <w:marLeft w:val="0"/>
                  <w:marRight w:val="0"/>
                  <w:marTop w:val="0"/>
                  <w:marBottom w:val="0"/>
                  <w:divBdr>
                    <w:top w:val="none" w:sz="0" w:space="0" w:color="auto"/>
                    <w:left w:val="none" w:sz="0" w:space="0" w:color="auto"/>
                    <w:bottom w:val="none" w:sz="0" w:space="0" w:color="auto"/>
                    <w:right w:val="none" w:sz="0" w:space="0" w:color="auto"/>
                  </w:divBdr>
                </w:div>
                <w:div w:id="1401976837">
                  <w:marLeft w:val="0"/>
                  <w:marRight w:val="0"/>
                  <w:marTop w:val="0"/>
                  <w:marBottom w:val="0"/>
                  <w:divBdr>
                    <w:top w:val="none" w:sz="0" w:space="0" w:color="auto"/>
                    <w:left w:val="none" w:sz="0" w:space="0" w:color="auto"/>
                    <w:bottom w:val="none" w:sz="0" w:space="0" w:color="auto"/>
                    <w:right w:val="none" w:sz="0" w:space="0" w:color="auto"/>
                  </w:divBdr>
                </w:div>
                <w:div w:id="1425998356">
                  <w:marLeft w:val="0"/>
                  <w:marRight w:val="0"/>
                  <w:marTop w:val="0"/>
                  <w:marBottom w:val="0"/>
                  <w:divBdr>
                    <w:top w:val="none" w:sz="0" w:space="0" w:color="auto"/>
                    <w:left w:val="none" w:sz="0" w:space="0" w:color="auto"/>
                    <w:bottom w:val="none" w:sz="0" w:space="0" w:color="auto"/>
                    <w:right w:val="none" w:sz="0" w:space="0" w:color="auto"/>
                  </w:divBdr>
                </w:div>
                <w:div w:id="1482769640">
                  <w:marLeft w:val="0"/>
                  <w:marRight w:val="0"/>
                  <w:marTop w:val="0"/>
                  <w:marBottom w:val="0"/>
                  <w:divBdr>
                    <w:top w:val="none" w:sz="0" w:space="0" w:color="auto"/>
                    <w:left w:val="none" w:sz="0" w:space="0" w:color="auto"/>
                    <w:bottom w:val="none" w:sz="0" w:space="0" w:color="auto"/>
                    <w:right w:val="none" w:sz="0" w:space="0" w:color="auto"/>
                  </w:divBdr>
                </w:div>
                <w:div w:id="1495030051">
                  <w:marLeft w:val="0"/>
                  <w:marRight w:val="0"/>
                  <w:marTop w:val="0"/>
                  <w:marBottom w:val="0"/>
                  <w:divBdr>
                    <w:top w:val="none" w:sz="0" w:space="0" w:color="auto"/>
                    <w:left w:val="none" w:sz="0" w:space="0" w:color="auto"/>
                    <w:bottom w:val="none" w:sz="0" w:space="0" w:color="auto"/>
                    <w:right w:val="none" w:sz="0" w:space="0" w:color="auto"/>
                  </w:divBdr>
                </w:div>
                <w:div w:id="1672828739">
                  <w:marLeft w:val="0"/>
                  <w:marRight w:val="0"/>
                  <w:marTop w:val="0"/>
                  <w:marBottom w:val="0"/>
                  <w:divBdr>
                    <w:top w:val="none" w:sz="0" w:space="0" w:color="auto"/>
                    <w:left w:val="none" w:sz="0" w:space="0" w:color="auto"/>
                    <w:bottom w:val="none" w:sz="0" w:space="0" w:color="auto"/>
                    <w:right w:val="none" w:sz="0" w:space="0" w:color="auto"/>
                  </w:divBdr>
                </w:div>
                <w:div w:id="1702705098">
                  <w:marLeft w:val="0"/>
                  <w:marRight w:val="0"/>
                  <w:marTop w:val="0"/>
                  <w:marBottom w:val="0"/>
                  <w:divBdr>
                    <w:top w:val="none" w:sz="0" w:space="0" w:color="auto"/>
                    <w:left w:val="none" w:sz="0" w:space="0" w:color="auto"/>
                    <w:bottom w:val="none" w:sz="0" w:space="0" w:color="auto"/>
                    <w:right w:val="none" w:sz="0" w:space="0" w:color="auto"/>
                  </w:divBdr>
                </w:div>
                <w:div w:id="1934237855">
                  <w:marLeft w:val="0"/>
                  <w:marRight w:val="0"/>
                  <w:marTop w:val="0"/>
                  <w:marBottom w:val="0"/>
                  <w:divBdr>
                    <w:top w:val="none" w:sz="0" w:space="0" w:color="auto"/>
                    <w:left w:val="none" w:sz="0" w:space="0" w:color="auto"/>
                    <w:bottom w:val="none" w:sz="0" w:space="0" w:color="auto"/>
                    <w:right w:val="none" w:sz="0" w:space="0" w:color="auto"/>
                  </w:divBdr>
                </w:div>
                <w:div w:id="1958901874">
                  <w:marLeft w:val="0"/>
                  <w:marRight w:val="0"/>
                  <w:marTop w:val="0"/>
                  <w:marBottom w:val="0"/>
                  <w:divBdr>
                    <w:top w:val="none" w:sz="0" w:space="0" w:color="auto"/>
                    <w:left w:val="none" w:sz="0" w:space="0" w:color="auto"/>
                    <w:bottom w:val="none" w:sz="0" w:space="0" w:color="auto"/>
                    <w:right w:val="none" w:sz="0" w:space="0" w:color="auto"/>
                  </w:divBdr>
                </w:div>
                <w:div w:id="20612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965">
          <w:marLeft w:val="0"/>
          <w:marRight w:val="0"/>
          <w:marTop w:val="15"/>
          <w:marBottom w:val="0"/>
          <w:divBdr>
            <w:top w:val="none" w:sz="0" w:space="0" w:color="auto"/>
            <w:left w:val="none" w:sz="0" w:space="0" w:color="auto"/>
            <w:bottom w:val="none" w:sz="0" w:space="0" w:color="auto"/>
            <w:right w:val="none" w:sz="0" w:space="0" w:color="auto"/>
          </w:divBdr>
          <w:divsChild>
            <w:div w:id="86315415">
              <w:marLeft w:val="0"/>
              <w:marRight w:val="0"/>
              <w:marTop w:val="0"/>
              <w:marBottom w:val="0"/>
              <w:divBdr>
                <w:top w:val="none" w:sz="0" w:space="0" w:color="auto"/>
                <w:left w:val="none" w:sz="0" w:space="0" w:color="auto"/>
                <w:bottom w:val="none" w:sz="0" w:space="0" w:color="auto"/>
                <w:right w:val="none" w:sz="0" w:space="0" w:color="auto"/>
              </w:divBdr>
              <w:divsChild>
                <w:div w:id="114253285">
                  <w:marLeft w:val="0"/>
                  <w:marRight w:val="0"/>
                  <w:marTop w:val="0"/>
                  <w:marBottom w:val="0"/>
                  <w:divBdr>
                    <w:top w:val="none" w:sz="0" w:space="0" w:color="auto"/>
                    <w:left w:val="none" w:sz="0" w:space="0" w:color="auto"/>
                    <w:bottom w:val="none" w:sz="0" w:space="0" w:color="auto"/>
                    <w:right w:val="none" w:sz="0" w:space="0" w:color="auto"/>
                  </w:divBdr>
                </w:div>
                <w:div w:id="139538171">
                  <w:marLeft w:val="0"/>
                  <w:marRight w:val="0"/>
                  <w:marTop w:val="0"/>
                  <w:marBottom w:val="0"/>
                  <w:divBdr>
                    <w:top w:val="none" w:sz="0" w:space="0" w:color="auto"/>
                    <w:left w:val="none" w:sz="0" w:space="0" w:color="auto"/>
                    <w:bottom w:val="none" w:sz="0" w:space="0" w:color="auto"/>
                    <w:right w:val="none" w:sz="0" w:space="0" w:color="auto"/>
                  </w:divBdr>
                </w:div>
                <w:div w:id="159203540">
                  <w:marLeft w:val="0"/>
                  <w:marRight w:val="0"/>
                  <w:marTop w:val="0"/>
                  <w:marBottom w:val="0"/>
                  <w:divBdr>
                    <w:top w:val="none" w:sz="0" w:space="0" w:color="auto"/>
                    <w:left w:val="none" w:sz="0" w:space="0" w:color="auto"/>
                    <w:bottom w:val="none" w:sz="0" w:space="0" w:color="auto"/>
                    <w:right w:val="none" w:sz="0" w:space="0" w:color="auto"/>
                  </w:divBdr>
                </w:div>
                <w:div w:id="315762454">
                  <w:marLeft w:val="0"/>
                  <w:marRight w:val="0"/>
                  <w:marTop w:val="0"/>
                  <w:marBottom w:val="0"/>
                  <w:divBdr>
                    <w:top w:val="none" w:sz="0" w:space="0" w:color="auto"/>
                    <w:left w:val="none" w:sz="0" w:space="0" w:color="auto"/>
                    <w:bottom w:val="none" w:sz="0" w:space="0" w:color="auto"/>
                    <w:right w:val="none" w:sz="0" w:space="0" w:color="auto"/>
                  </w:divBdr>
                </w:div>
                <w:div w:id="379325849">
                  <w:marLeft w:val="0"/>
                  <w:marRight w:val="0"/>
                  <w:marTop w:val="0"/>
                  <w:marBottom w:val="0"/>
                  <w:divBdr>
                    <w:top w:val="none" w:sz="0" w:space="0" w:color="auto"/>
                    <w:left w:val="none" w:sz="0" w:space="0" w:color="auto"/>
                    <w:bottom w:val="none" w:sz="0" w:space="0" w:color="auto"/>
                    <w:right w:val="none" w:sz="0" w:space="0" w:color="auto"/>
                  </w:divBdr>
                </w:div>
                <w:div w:id="387803027">
                  <w:marLeft w:val="0"/>
                  <w:marRight w:val="0"/>
                  <w:marTop w:val="0"/>
                  <w:marBottom w:val="0"/>
                  <w:divBdr>
                    <w:top w:val="none" w:sz="0" w:space="0" w:color="auto"/>
                    <w:left w:val="none" w:sz="0" w:space="0" w:color="auto"/>
                    <w:bottom w:val="none" w:sz="0" w:space="0" w:color="auto"/>
                    <w:right w:val="none" w:sz="0" w:space="0" w:color="auto"/>
                  </w:divBdr>
                </w:div>
                <w:div w:id="559294820">
                  <w:marLeft w:val="0"/>
                  <w:marRight w:val="0"/>
                  <w:marTop w:val="0"/>
                  <w:marBottom w:val="0"/>
                  <w:divBdr>
                    <w:top w:val="none" w:sz="0" w:space="0" w:color="auto"/>
                    <w:left w:val="none" w:sz="0" w:space="0" w:color="auto"/>
                    <w:bottom w:val="none" w:sz="0" w:space="0" w:color="auto"/>
                    <w:right w:val="none" w:sz="0" w:space="0" w:color="auto"/>
                  </w:divBdr>
                </w:div>
                <w:div w:id="598102228">
                  <w:marLeft w:val="0"/>
                  <w:marRight w:val="0"/>
                  <w:marTop w:val="0"/>
                  <w:marBottom w:val="0"/>
                  <w:divBdr>
                    <w:top w:val="none" w:sz="0" w:space="0" w:color="auto"/>
                    <w:left w:val="none" w:sz="0" w:space="0" w:color="auto"/>
                    <w:bottom w:val="none" w:sz="0" w:space="0" w:color="auto"/>
                    <w:right w:val="none" w:sz="0" w:space="0" w:color="auto"/>
                  </w:divBdr>
                </w:div>
                <w:div w:id="741879302">
                  <w:marLeft w:val="0"/>
                  <w:marRight w:val="0"/>
                  <w:marTop w:val="0"/>
                  <w:marBottom w:val="0"/>
                  <w:divBdr>
                    <w:top w:val="none" w:sz="0" w:space="0" w:color="auto"/>
                    <w:left w:val="none" w:sz="0" w:space="0" w:color="auto"/>
                    <w:bottom w:val="none" w:sz="0" w:space="0" w:color="auto"/>
                    <w:right w:val="none" w:sz="0" w:space="0" w:color="auto"/>
                  </w:divBdr>
                </w:div>
                <w:div w:id="935361533">
                  <w:marLeft w:val="0"/>
                  <w:marRight w:val="0"/>
                  <w:marTop w:val="0"/>
                  <w:marBottom w:val="0"/>
                  <w:divBdr>
                    <w:top w:val="none" w:sz="0" w:space="0" w:color="auto"/>
                    <w:left w:val="none" w:sz="0" w:space="0" w:color="auto"/>
                    <w:bottom w:val="none" w:sz="0" w:space="0" w:color="auto"/>
                    <w:right w:val="none" w:sz="0" w:space="0" w:color="auto"/>
                  </w:divBdr>
                </w:div>
                <w:div w:id="1076777806">
                  <w:marLeft w:val="0"/>
                  <w:marRight w:val="0"/>
                  <w:marTop w:val="0"/>
                  <w:marBottom w:val="0"/>
                  <w:divBdr>
                    <w:top w:val="none" w:sz="0" w:space="0" w:color="auto"/>
                    <w:left w:val="none" w:sz="0" w:space="0" w:color="auto"/>
                    <w:bottom w:val="none" w:sz="0" w:space="0" w:color="auto"/>
                    <w:right w:val="none" w:sz="0" w:space="0" w:color="auto"/>
                  </w:divBdr>
                </w:div>
                <w:div w:id="1261644021">
                  <w:marLeft w:val="0"/>
                  <w:marRight w:val="0"/>
                  <w:marTop w:val="0"/>
                  <w:marBottom w:val="0"/>
                  <w:divBdr>
                    <w:top w:val="none" w:sz="0" w:space="0" w:color="auto"/>
                    <w:left w:val="none" w:sz="0" w:space="0" w:color="auto"/>
                    <w:bottom w:val="none" w:sz="0" w:space="0" w:color="auto"/>
                    <w:right w:val="none" w:sz="0" w:space="0" w:color="auto"/>
                  </w:divBdr>
                </w:div>
                <w:div w:id="1262566805">
                  <w:marLeft w:val="0"/>
                  <w:marRight w:val="0"/>
                  <w:marTop w:val="0"/>
                  <w:marBottom w:val="0"/>
                  <w:divBdr>
                    <w:top w:val="none" w:sz="0" w:space="0" w:color="auto"/>
                    <w:left w:val="none" w:sz="0" w:space="0" w:color="auto"/>
                    <w:bottom w:val="none" w:sz="0" w:space="0" w:color="auto"/>
                    <w:right w:val="none" w:sz="0" w:space="0" w:color="auto"/>
                  </w:divBdr>
                </w:div>
                <w:div w:id="1385061546">
                  <w:marLeft w:val="0"/>
                  <w:marRight w:val="0"/>
                  <w:marTop w:val="0"/>
                  <w:marBottom w:val="0"/>
                  <w:divBdr>
                    <w:top w:val="none" w:sz="0" w:space="0" w:color="auto"/>
                    <w:left w:val="none" w:sz="0" w:space="0" w:color="auto"/>
                    <w:bottom w:val="none" w:sz="0" w:space="0" w:color="auto"/>
                    <w:right w:val="none" w:sz="0" w:space="0" w:color="auto"/>
                  </w:divBdr>
                </w:div>
                <w:div w:id="1751660016">
                  <w:marLeft w:val="0"/>
                  <w:marRight w:val="0"/>
                  <w:marTop w:val="0"/>
                  <w:marBottom w:val="0"/>
                  <w:divBdr>
                    <w:top w:val="none" w:sz="0" w:space="0" w:color="auto"/>
                    <w:left w:val="none" w:sz="0" w:space="0" w:color="auto"/>
                    <w:bottom w:val="none" w:sz="0" w:space="0" w:color="auto"/>
                    <w:right w:val="none" w:sz="0" w:space="0" w:color="auto"/>
                  </w:divBdr>
                </w:div>
                <w:div w:id="1764178128">
                  <w:marLeft w:val="0"/>
                  <w:marRight w:val="0"/>
                  <w:marTop w:val="0"/>
                  <w:marBottom w:val="0"/>
                  <w:divBdr>
                    <w:top w:val="none" w:sz="0" w:space="0" w:color="auto"/>
                    <w:left w:val="none" w:sz="0" w:space="0" w:color="auto"/>
                    <w:bottom w:val="none" w:sz="0" w:space="0" w:color="auto"/>
                    <w:right w:val="none" w:sz="0" w:space="0" w:color="auto"/>
                  </w:divBdr>
                </w:div>
                <w:div w:id="1889221606">
                  <w:marLeft w:val="0"/>
                  <w:marRight w:val="0"/>
                  <w:marTop w:val="0"/>
                  <w:marBottom w:val="0"/>
                  <w:divBdr>
                    <w:top w:val="none" w:sz="0" w:space="0" w:color="auto"/>
                    <w:left w:val="none" w:sz="0" w:space="0" w:color="auto"/>
                    <w:bottom w:val="none" w:sz="0" w:space="0" w:color="auto"/>
                    <w:right w:val="none" w:sz="0" w:space="0" w:color="auto"/>
                  </w:divBdr>
                </w:div>
                <w:div w:id="19710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6701">
          <w:marLeft w:val="0"/>
          <w:marRight w:val="0"/>
          <w:marTop w:val="15"/>
          <w:marBottom w:val="0"/>
          <w:divBdr>
            <w:top w:val="none" w:sz="0" w:space="0" w:color="auto"/>
            <w:left w:val="none" w:sz="0" w:space="0" w:color="auto"/>
            <w:bottom w:val="none" w:sz="0" w:space="0" w:color="auto"/>
            <w:right w:val="none" w:sz="0" w:space="0" w:color="auto"/>
          </w:divBdr>
          <w:divsChild>
            <w:div w:id="437994684">
              <w:marLeft w:val="0"/>
              <w:marRight w:val="0"/>
              <w:marTop w:val="0"/>
              <w:marBottom w:val="0"/>
              <w:divBdr>
                <w:top w:val="none" w:sz="0" w:space="0" w:color="auto"/>
                <w:left w:val="none" w:sz="0" w:space="0" w:color="auto"/>
                <w:bottom w:val="none" w:sz="0" w:space="0" w:color="auto"/>
                <w:right w:val="none" w:sz="0" w:space="0" w:color="auto"/>
              </w:divBdr>
              <w:divsChild>
                <w:div w:id="45881440">
                  <w:marLeft w:val="0"/>
                  <w:marRight w:val="0"/>
                  <w:marTop w:val="0"/>
                  <w:marBottom w:val="0"/>
                  <w:divBdr>
                    <w:top w:val="none" w:sz="0" w:space="0" w:color="auto"/>
                    <w:left w:val="none" w:sz="0" w:space="0" w:color="auto"/>
                    <w:bottom w:val="none" w:sz="0" w:space="0" w:color="auto"/>
                    <w:right w:val="none" w:sz="0" w:space="0" w:color="auto"/>
                  </w:divBdr>
                </w:div>
                <w:div w:id="46269894">
                  <w:marLeft w:val="0"/>
                  <w:marRight w:val="0"/>
                  <w:marTop w:val="0"/>
                  <w:marBottom w:val="0"/>
                  <w:divBdr>
                    <w:top w:val="none" w:sz="0" w:space="0" w:color="auto"/>
                    <w:left w:val="none" w:sz="0" w:space="0" w:color="auto"/>
                    <w:bottom w:val="none" w:sz="0" w:space="0" w:color="auto"/>
                    <w:right w:val="none" w:sz="0" w:space="0" w:color="auto"/>
                  </w:divBdr>
                </w:div>
                <w:div w:id="203256245">
                  <w:marLeft w:val="0"/>
                  <w:marRight w:val="0"/>
                  <w:marTop w:val="0"/>
                  <w:marBottom w:val="0"/>
                  <w:divBdr>
                    <w:top w:val="none" w:sz="0" w:space="0" w:color="auto"/>
                    <w:left w:val="none" w:sz="0" w:space="0" w:color="auto"/>
                    <w:bottom w:val="none" w:sz="0" w:space="0" w:color="auto"/>
                    <w:right w:val="none" w:sz="0" w:space="0" w:color="auto"/>
                  </w:divBdr>
                </w:div>
                <w:div w:id="550574665">
                  <w:marLeft w:val="0"/>
                  <w:marRight w:val="0"/>
                  <w:marTop w:val="0"/>
                  <w:marBottom w:val="0"/>
                  <w:divBdr>
                    <w:top w:val="none" w:sz="0" w:space="0" w:color="auto"/>
                    <w:left w:val="none" w:sz="0" w:space="0" w:color="auto"/>
                    <w:bottom w:val="none" w:sz="0" w:space="0" w:color="auto"/>
                    <w:right w:val="none" w:sz="0" w:space="0" w:color="auto"/>
                  </w:divBdr>
                </w:div>
                <w:div w:id="597786307">
                  <w:marLeft w:val="0"/>
                  <w:marRight w:val="0"/>
                  <w:marTop w:val="0"/>
                  <w:marBottom w:val="0"/>
                  <w:divBdr>
                    <w:top w:val="none" w:sz="0" w:space="0" w:color="auto"/>
                    <w:left w:val="none" w:sz="0" w:space="0" w:color="auto"/>
                    <w:bottom w:val="none" w:sz="0" w:space="0" w:color="auto"/>
                    <w:right w:val="none" w:sz="0" w:space="0" w:color="auto"/>
                  </w:divBdr>
                </w:div>
                <w:div w:id="718237511">
                  <w:marLeft w:val="0"/>
                  <w:marRight w:val="0"/>
                  <w:marTop w:val="0"/>
                  <w:marBottom w:val="0"/>
                  <w:divBdr>
                    <w:top w:val="none" w:sz="0" w:space="0" w:color="auto"/>
                    <w:left w:val="none" w:sz="0" w:space="0" w:color="auto"/>
                    <w:bottom w:val="none" w:sz="0" w:space="0" w:color="auto"/>
                    <w:right w:val="none" w:sz="0" w:space="0" w:color="auto"/>
                  </w:divBdr>
                </w:div>
                <w:div w:id="727612448">
                  <w:marLeft w:val="0"/>
                  <w:marRight w:val="0"/>
                  <w:marTop w:val="0"/>
                  <w:marBottom w:val="0"/>
                  <w:divBdr>
                    <w:top w:val="none" w:sz="0" w:space="0" w:color="auto"/>
                    <w:left w:val="none" w:sz="0" w:space="0" w:color="auto"/>
                    <w:bottom w:val="none" w:sz="0" w:space="0" w:color="auto"/>
                    <w:right w:val="none" w:sz="0" w:space="0" w:color="auto"/>
                  </w:divBdr>
                </w:div>
                <w:div w:id="733510099">
                  <w:marLeft w:val="0"/>
                  <w:marRight w:val="0"/>
                  <w:marTop w:val="0"/>
                  <w:marBottom w:val="0"/>
                  <w:divBdr>
                    <w:top w:val="none" w:sz="0" w:space="0" w:color="auto"/>
                    <w:left w:val="none" w:sz="0" w:space="0" w:color="auto"/>
                    <w:bottom w:val="none" w:sz="0" w:space="0" w:color="auto"/>
                    <w:right w:val="none" w:sz="0" w:space="0" w:color="auto"/>
                  </w:divBdr>
                </w:div>
                <w:div w:id="1000347888">
                  <w:marLeft w:val="0"/>
                  <w:marRight w:val="0"/>
                  <w:marTop w:val="0"/>
                  <w:marBottom w:val="0"/>
                  <w:divBdr>
                    <w:top w:val="none" w:sz="0" w:space="0" w:color="auto"/>
                    <w:left w:val="none" w:sz="0" w:space="0" w:color="auto"/>
                    <w:bottom w:val="none" w:sz="0" w:space="0" w:color="auto"/>
                    <w:right w:val="none" w:sz="0" w:space="0" w:color="auto"/>
                  </w:divBdr>
                </w:div>
                <w:div w:id="1107388749">
                  <w:marLeft w:val="0"/>
                  <w:marRight w:val="0"/>
                  <w:marTop w:val="0"/>
                  <w:marBottom w:val="0"/>
                  <w:divBdr>
                    <w:top w:val="none" w:sz="0" w:space="0" w:color="auto"/>
                    <w:left w:val="none" w:sz="0" w:space="0" w:color="auto"/>
                    <w:bottom w:val="none" w:sz="0" w:space="0" w:color="auto"/>
                    <w:right w:val="none" w:sz="0" w:space="0" w:color="auto"/>
                  </w:divBdr>
                </w:div>
                <w:div w:id="1142622038">
                  <w:marLeft w:val="0"/>
                  <w:marRight w:val="0"/>
                  <w:marTop w:val="0"/>
                  <w:marBottom w:val="0"/>
                  <w:divBdr>
                    <w:top w:val="none" w:sz="0" w:space="0" w:color="auto"/>
                    <w:left w:val="none" w:sz="0" w:space="0" w:color="auto"/>
                    <w:bottom w:val="none" w:sz="0" w:space="0" w:color="auto"/>
                    <w:right w:val="none" w:sz="0" w:space="0" w:color="auto"/>
                  </w:divBdr>
                </w:div>
                <w:div w:id="1176113122">
                  <w:marLeft w:val="0"/>
                  <w:marRight w:val="0"/>
                  <w:marTop w:val="0"/>
                  <w:marBottom w:val="0"/>
                  <w:divBdr>
                    <w:top w:val="none" w:sz="0" w:space="0" w:color="auto"/>
                    <w:left w:val="none" w:sz="0" w:space="0" w:color="auto"/>
                    <w:bottom w:val="none" w:sz="0" w:space="0" w:color="auto"/>
                    <w:right w:val="none" w:sz="0" w:space="0" w:color="auto"/>
                  </w:divBdr>
                </w:div>
                <w:div w:id="1183789079">
                  <w:marLeft w:val="0"/>
                  <w:marRight w:val="0"/>
                  <w:marTop w:val="0"/>
                  <w:marBottom w:val="0"/>
                  <w:divBdr>
                    <w:top w:val="none" w:sz="0" w:space="0" w:color="auto"/>
                    <w:left w:val="none" w:sz="0" w:space="0" w:color="auto"/>
                    <w:bottom w:val="none" w:sz="0" w:space="0" w:color="auto"/>
                    <w:right w:val="none" w:sz="0" w:space="0" w:color="auto"/>
                  </w:divBdr>
                </w:div>
                <w:div w:id="1281842008">
                  <w:marLeft w:val="0"/>
                  <w:marRight w:val="0"/>
                  <w:marTop w:val="0"/>
                  <w:marBottom w:val="0"/>
                  <w:divBdr>
                    <w:top w:val="none" w:sz="0" w:space="0" w:color="auto"/>
                    <w:left w:val="none" w:sz="0" w:space="0" w:color="auto"/>
                    <w:bottom w:val="none" w:sz="0" w:space="0" w:color="auto"/>
                    <w:right w:val="none" w:sz="0" w:space="0" w:color="auto"/>
                  </w:divBdr>
                </w:div>
                <w:div w:id="1448425173">
                  <w:marLeft w:val="0"/>
                  <w:marRight w:val="0"/>
                  <w:marTop w:val="0"/>
                  <w:marBottom w:val="0"/>
                  <w:divBdr>
                    <w:top w:val="none" w:sz="0" w:space="0" w:color="auto"/>
                    <w:left w:val="none" w:sz="0" w:space="0" w:color="auto"/>
                    <w:bottom w:val="none" w:sz="0" w:space="0" w:color="auto"/>
                    <w:right w:val="none" w:sz="0" w:space="0" w:color="auto"/>
                  </w:divBdr>
                </w:div>
                <w:div w:id="1561595400">
                  <w:marLeft w:val="0"/>
                  <w:marRight w:val="0"/>
                  <w:marTop w:val="0"/>
                  <w:marBottom w:val="0"/>
                  <w:divBdr>
                    <w:top w:val="none" w:sz="0" w:space="0" w:color="auto"/>
                    <w:left w:val="none" w:sz="0" w:space="0" w:color="auto"/>
                    <w:bottom w:val="none" w:sz="0" w:space="0" w:color="auto"/>
                    <w:right w:val="none" w:sz="0" w:space="0" w:color="auto"/>
                  </w:divBdr>
                </w:div>
                <w:div w:id="1634285516">
                  <w:marLeft w:val="0"/>
                  <w:marRight w:val="0"/>
                  <w:marTop w:val="0"/>
                  <w:marBottom w:val="0"/>
                  <w:divBdr>
                    <w:top w:val="none" w:sz="0" w:space="0" w:color="auto"/>
                    <w:left w:val="none" w:sz="0" w:space="0" w:color="auto"/>
                    <w:bottom w:val="none" w:sz="0" w:space="0" w:color="auto"/>
                    <w:right w:val="none" w:sz="0" w:space="0" w:color="auto"/>
                  </w:divBdr>
                </w:div>
                <w:div w:id="1681934654">
                  <w:marLeft w:val="0"/>
                  <w:marRight w:val="0"/>
                  <w:marTop w:val="0"/>
                  <w:marBottom w:val="0"/>
                  <w:divBdr>
                    <w:top w:val="none" w:sz="0" w:space="0" w:color="auto"/>
                    <w:left w:val="none" w:sz="0" w:space="0" w:color="auto"/>
                    <w:bottom w:val="none" w:sz="0" w:space="0" w:color="auto"/>
                    <w:right w:val="none" w:sz="0" w:space="0" w:color="auto"/>
                  </w:divBdr>
                </w:div>
                <w:div w:id="1700083124">
                  <w:marLeft w:val="0"/>
                  <w:marRight w:val="0"/>
                  <w:marTop w:val="0"/>
                  <w:marBottom w:val="0"/>
                  <w:divBdr>
                    <w:top w:val="none" w:sz="0" w:space="0" w:color="auto"/>
                    <w:left w:val="none" w:sz="0" w:space="0" w:color="auto"/>
                    <w:bottom w:val="none" w:sz="0" w:space="0" w:color="auto"/>
                    <w:right w:val="none" w:sz="0" w:space="0" w:color="auto"/>
                  </w:divBdr>
                </w:div>
                <w:div w:id="1738358484">
                  <w:marLeft w:val="0"/>
                  <w:marRight w:val="0"/>
                  <w:marTop w:val="0"/>
                  <w:marBottom w:val="0"/>
                  <w:divBdr>
                    <w:top w:val="none" w:sz="0" w:space="0" w:color="auto"/>
                    <w:left w:val="none" w:sz="0" w:space="0" w:color="auto"/>
                    <w:bottom w:val="none" w:sz="0" w:space="0" w:color="auto"/>
                    <w:right w:val="none" w:sz="0" w:space="0" w:color="auto"/>
                  </w:divBdr>
                </w:div>
                <w:div w:id="1827160467">
                  <w:marLeft w:val="0"/>
                  <w:marRight w:val="0"/>
                  <w:marTop w:val="0"/>
                  <w:marBottom w:val="0"/>
                  <w:divBdr>
                    <w:top w:val="none" w:sz="0" w:space="0" w:color="auto"/>
                    <w:left w:val="none" w:sz="0" w:space="0" w:color="auto"/>
                    <w:bottom w:val="none" w:sz="0" w:space="0" w:color="auto"/>
                    <w:right w:val="none" w:sz="0" w:space="0" w:color="auto"/>
                  </w:divBdr>
                </w:div>
                <w:div w:id="1907376277">
                  <w:marLeft w:val="0"/>
                  <w:marRight w:val="0"/>
                  <w:marTop w:val="0"/>
                  <w:marBottom w:val="0"/>
                  <w:divBdr>
                    <w:top w:val="none" w:sz="0" w:space="0" w:color="auto"/>
                    <w:left w:val="none" w:sz="0" w:space="0" w:color="auto"/>
                    <w:bottom w:val="none" w:sz="0" w:space="0" w:color="auto"/>
                    <w:right w:val="none" w:sz="0" w:space="0" w:color="auto"/>
                  </w:divBdr>
                </w:div>
                <w:div w:id="1909535917">
                  <w:marLeft w:val="0"/>
                  <w:marRight w:val="0"/>
                  <w:marTop w:val="0"/>
                  <w:marBottom w:val="0"/>
                  <w:divBdr>
                    <w:top w:val="none" w:sz="0" w:space="0" w:color="auto"/>
                    <w:left w:val="none" w:sz="0" w:space="0" w:color="auto"/>
                    <w:bottom w:val="none" w:sz="0" w:space="0" w:color="auto"/>
                    <w:right w:val="none" w:sz="0" w:space="0" w:color="auto"/>
                  </w:divBdr>
                </w:div>
                <w:div w:id="1913272186">
                  <w:marLeft w:val="0"/>
                  <w:marRight w:val="0"/>
                  <w:marTop w:val="0"/>
                  <w:marBottom w:val="0"/>
                  <w:divBdr>
                    <w:top w:val="none" w:sz="0" w:space="0" w:color="auto"/>
                    <w:left w:val="none" w:sz="0" w:space="0" w:color="auto"/>
                    <w:bottom w:val="none" w:sz="0" w:space="0" w:color="auto"/>
                    <w:right w:val="none" w:sz="0" w:space="0" w:color="auto"/>
                  </w:divBdr>
                </w:div>
                <w:div w:id="199008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9373">
          <w:marLeft w:val="0"/>
          <w:marRight w:val="0"/>
          <w:marTop w:val="15"/>
          <w:marBottom w:val="0"/>
          <w:divBdr>
            <w:top w:val="none" w:sz="0" w:space="0" w:color="auto"/>
            <w:left w:val="none" w:sz="0" w:space="0" w:color="auto"/>
            <w:bottom w:val="none" w:sz="0" w:space="0" w:color="auto"/>
            <w:right w:val="none" w:sz="0" w:space="0" w:color="auto"/>
          </w:divBdr>
          <w:divsChild>
            <w:div w:id="312178556">
              <w:marLeft w:val="0"/>
              <w:marRight w:val="0"/>
              <w:marTop w:val="0"/>
              <w:marBottom w:val="0"/>
              <w:divBdr>
                <w:top w:val="none" w:sz="0" w:space="0" w:color="auto"/>
                <w:left w:val="none" w:sz="0" w:space="0" w:color="auto"/>
                <w:bottom w:val="none" w:sz="0" w:space="0" w:color="auto"/>
                <w:right w:val="none" w:sz="0" w:space="0" w:color="auto"/>
              </w:divBdr>
              <w:divsChild>
                <w:div w:id="17052832">
                  <w:marLeft w:val="0"/>
                  <w:marRight w:val="0"/>
                  <w:marTop w:val="0"/>
                  <w:marBottom w:val="0"/>
                  <w:divBdr>
                    <w:top w:val="none" w:sz="0" w:space="0" w:color="auto"/>
                    <w:left w:val="none" w:sz="0" w:space="0" w:color="auto"/>
                    <w:bottom w:val="none" w:sz="0" w:space="0" w:color="auto"/>
                    <w:right w:val="none" w:sz="0" w:space="0" w:color="auto"/>
                  </w:divBdr>
                </w:div>
                <w:div w:id="251087336">
                  <w:marLeft w:val="0"/>
                  <w:marRight w:val="0"/>
                  <w:marTop w:val="0"/>
                  <w:marBottom w:val="0"/>
                  <w:divBdr>
                    <w:top w:val="none" w:sz="0" w:space="0" w:color="auto"/>
                    <w:left w:val="none" w:sz="0" w:space="0" w:color="auto"/>
                    <w:bottom w:val="none" w:sz="0" w:space="0" w:color="auto"/>
                    <w:right w:val="none" w:sz="0" w:space="0" w:color="auto"/>
                  </w:divBdr>
                </w:div>
                <w:div w:id="397627844">
                  <w:marLeft w:val="0"/>
                  <w:marRight w:val="0"/>
                  <w:marTop w:val="0"/>
                  <w:marBottom w:val="0"/>
                  <w:divBdr>
                    <w:top w:val="none" w:sz="0" w:space="0" w:color="auto"/>
                    <w:left w:val="none" w:sz="0" w:space="0" w:color="auto"/>
                    <w:bottom w:val="none" w:sz="0" w:space="0" w:color="auto"/>
                    <w:right w:val="none" w:sz="0" w:space="0" w:color="auto"/>
                  </w:divBdr>
                </w:div>
                <w:div w:id="653488949">
                  <w:marLeft w:val="0"/>
                  <w:marRight w:val="0"/>
                  <w:marTop w:val="0"/>
                  <w:marBottom w:val="0"/>
                  <w:divBdr>
                    <w:top w:val="none" w:sz="0" w:space="0" w:color="auto"/>
                    <w:left w:val="none" w:sz="0" w:space="0" w:color="auto"/>
                    <w:bottom w:val="none" w:sz="0" w:space="0" w:color="auto"/>
                    <w:right w:val="none" w:sz="0" w:space="0" w:color="auto"/>
                  </w:divBdr>
                </w:div>
                <w:div w:id="680669651">
                  <w:marLeft w:val="0"/>
                  <w:marRight w:val="0"/>
                  <w:marTop w:val="0"/>
                  <w:marBottom w:val="0"/>
                  <w:divBdr>
                    <w:top w:val="none" w:sz="0" w:space="0" w:color="auto"/>
                    <w:left w:val="none" w:sz="0" w:space="0" w:color="auto"/>
                    <w:bottom w:val="none" w:sz="0" w:space="0" w:color="auto"/>
                    <w:right w:val="none" w:sz="0" w:space="0" w:color="auto"/>
                  </w:divBdr>
                </w:div>
                <w:div w:id="701131708">
                  <w:marLeft w:val="0"/>
                  <w:marRight w:val="0"/>
                  <w:marTop w:val="0"/>
                  <w:marBottom w:val="0"/>
                  <w:divBdr>
                    <w:top w:val="none" w:sz="0" w:space="0" w:color="auto"/>
                    <w:left w:val="none" w:sz="0" w:space="0" w:color="auto"/>
                    <w:bottom w:val="none" w:sz="0" w:space="0" w:color="auto"/>
                    <w:right w:val="none" w:sz="0" w:space="0" w:color="auto"/>
                  </w:divBdr>
                </w:div>
                <w:div w:id="756947762">
                  <w:marLeft w:val="0"/>
                  <w:marRight w:val="0"/>
                  <w:marTop w:val="0"/>
                  <w:marBottom w:val="0"/>
                  <w:divBdr>
                    <w:top w:val="none" w:sz="0" w:space="0" w:color="auto"/>
                    <w:left w:val="none" w:sz="0" w:space="0" w:color="auto"/>
                    <w:bottom w:val="none" w:sz="0" w:space="0" w:color="auto"/>
                    <w:right w:val="none" w:sz="0" w:space="0" w:color="auto"/>
                  </w:divBdr>
                </w:div>
                <w:div w:id="793402165">
                  <w:marLeft w:val="0"/>
                  <w:marRight w:val="0"/>
                  <w:marTop w:val="0"/>
                  <w:marBottom w:val="0"/>
                  <w:divBdr>
                    <w:top w:val="none" w:sz="0" w:space="0" w:color="auto"/>
                    <w:left w:val="none" w:sz="0" w:space="0" w:color="auto"/>
                    <w:bottom w:val="none" w:sz="0" w:space="0" w:color="auto"/>
                    <w:right w:val="none" w:sz="0" w:space="0" w:color="auto"/>
                  </w:divBdr>
                </w:div>
                <w:div w:id="1002123109">
                  <w:marLeft w:val="0"/>
                  <w:marRight w:val="0"/>
                  <w:marTop w:val="0"/>
                  <w:marBottom w:val="0"/>
                  <w:divBdr>
                    <w:top w:val="none" w:sz="0" w:space="0" w:color="auto"/>
                    <w:left w:val="none" w:sz="0" w:space="0" w:color="auto"/>
                    <w:bottom w:val="none" w:sz="0" w:space="0" w:color="auto"/>
                    <w:right w:val="none" w:sz="0" w:space="0" w:color="auto"/>
                  </w:divBdr>
                </w:div>
                <w:div w:id="1003627499">
                  <w:marLeft w:val="0"/>
                  <w:marRight w:val="0"/>
                  <w:marTop w:val="0"/>
                  <w:marBottom w:val="0"/>
                  <w:divBdr>
                    <w:top w:val="none" w:sz="0" w:space="0" w:color="auto"/>
                    <w:left w:val="none" w:sz="0" w:space="0" w:color="auto"/>
                    <w:bottom w:val="none" w:sz="0" w:space="0" w:color="auto"/>
                    <w:right w:val="none" w:sz="0" w:space="0" w:color="auto"/>
                  </w:divBdr>
                </w:div>
                <w:div w:id="1049647589">
                  <w:marLeft w:val="0"/>
                  <w:marRight w:val="0"/>
                  <w:marTop w:val="0"/>
                  <w:marBottom w:val="0"/>
                  <w:divBdr>
                    <w:top w:val="none" w:sz="0" w:space="0" w:color="auto"/>
                    <w:left w:val="none" w:sz="0" w:space="0" w:color="auto"/>
                    <w:bottom w:val="none" w:sz="0" w:space="0" w:color="auto"/>
                    <w:right w:val="none" w:sz="0" w:space="0" w:color="auto"/>
                  </w:divBdr>
                </w:div>
                <w:div w:id="1166091187">
                  <w:marLeft w:val="0"/>
                  <w:marRight w:val="0"/>
                  <w:marTop w:val="0"/>
                  <w:marBottom w:val="0"/>
                  <w:divBdr>
                    <w:top w:val="none" w:sz="0" w:space="0" w:color="auto"/>
                    <w:left w:val="none" w:sz="0" w:space="0" w:color="auto"/>
                    <w:bottom w:val="none" w:sz="0" w:space="0" w:color="auto"/>
                    <w:right w:val="none" w:sz="0" w:space="0" w:color="auto"/>
                  </w:divBdr>
                </w:div>
                <w:div w:id="1230000124">
                  <w:marLeft w:val="0"/>
                  <w:marRight w:val="0"/>
                  <w:marTop w:val="0"/>
                  <w:marBottom w:val="0"/>
                  <w:divBdr>
                    <w:top w:val="none" w:sz="0" w:space="0" w:color="auto"/>
                    <w:left w:val="none" w:sz="0" w:space="0" w:color="auto"/>
                    <w:bottom w:val="none" w:sz="0" w:space="0" w:color="auto"/>
                    <w:right w:val="none" w:sz="0" w:space="0" w:color="auto"/>
                  </w:divBdr>
                </w:div>
                <w:div w:id="1317153219">
                  <w:marLeft w:val="0"/>
                  <w:marRight w:val="0"/>
                  <w:marTop w:val="0"/>
                  <w:marBottom w:val="0"/>
                  <w:divBdr>
                    <w:top w:val="none" w:sz="0" w:space="0" w:color="auto"/>
                    <w:left w:val="none" w:sz="0" w:space="0" w:color="auto"/>
                    <w:bottom w:val="none" w:sz="0" w:space="0" w:color="auto"/>
                    <w:right w:val="none" w:sz="0" w:space="0" w:color="auto"/>
                  </w:divBdr>
                </w:div>
                <w:div w:id="1369993013">
                  <w:marLeft w:val="0"/>
                  <w:marRight w:val="0"/>
                  <w:marTop w:val="0"/>
                  <w:marBottom w:val="0"/>
                  <w:divBdr>
                    <w:top w:val="none" w:sz="0" w:space="0" w:color="auto"/>
                    <w:left w:val="none" w:sz="0" w:space="0" w:color="auto"/>
                    <w:bottom w:val="none" w:sz="0" w:space="0" w:color="auto"/>
                    <w:right w:val="none" w:sz="0" w:space="0" w:color="auto"/>
                  </w:divBdr>
                </w:div>
                <w:div w:id="1469126431">
                  <w:marLeft w:val="0"/>
                  <w:marRight w:val="0"/>
                  <w:marTop w:val="0"/>
                  <w:marBottom w:val="0"/>
                  <w:divBdr>
                    <w:top w:val="none" w:sz="0" w:space="0" w:color="auto"/>
                    <w:left w:val="none" w:sz="0" w:space="0" w:color="auto"/>
                    <w:bottom w:val="none" w:sz="0" w:space="0" w:color="auto"/>
                    <w:right w:val="none" w:sz="0" w:space="0" w:color="auto"/>
                  </w:divBdr>
                </w:div>
                <w:div w:id="1497722466">
                  <w:marLeft w:val="0"/>
                  <w:marRight w:val="0"/>
                  <w:marTop w:val="0"/>
                  <w:marBottom w:val="0"/>
                  <w:divBdr>
                    <w:top w:val="none" w:sz="0" w:space="0" w:color="auto"/>
                    <w:left w:val="none" w:sz="0" w:space="0" w:color="auto"/>
                    <w:bottom w:val="none" w:sz="0" w:space="0" w:color="auto"/>
                    <w:right w:val="none" w:sz="0" w:space="0" w:color="auto"/>
                  </w:divBdr>
                </w:div>
                <w:div w:id="1685671536">
                  <w:marLeft w:val="0"/>
                  <w:marRight w:val="0"/>
                  <w:marTop w:val="0"/>
                  <w:marBottom w:val="0"/>
                  <w:divBdr>
                    <w:top w:val="none" w:sz="0" w:space="0" w:color="auto"/>
                    <w:left w:val="none" w:sz="0" w:space="0" w:color="auto"/>
                    <w:bottom w:val="none" w:sz="0" w:space="0" w:color="auto"/>
                    <w:right w:val="none" w:sz="0" w:space="0" w:color="auto"/>
                  </w:divBdr>
                </w:div>
                <w:div w:id="1822194408">
                  <w:marLeft w:val="0"/>
                  <w:marRight w:val="0"/>
                  <w:marTop w:val="0"/>
                  <w:marBottom w:val="0"/>
                  <w:divBdr>
                    <w:top w:val="none" w:sz="0" w:space="0" w:color="auto"/>
                    <w:left w:val="none" w:sz="0" w:space="0" w:color="auto"/>
                    <w:bottom w:val="none" w:sz="0" w:space="0" w:color="auto"/>
                    <w:right w:val="none" w:sz="0" w:space="0" w:color="auto"/>
                  </w:divBdr>
                </w:div>
                <w:div w:id="1843232272">
                  <w:marLeft w:val="0"/>
                  <w:marRight w:val="0"/>
                  <w:marTop w:val="0"/>
                  <w:marBottom w:val="0"/>
                  <w:divBdr>
                    <w:top w:val="none" w:sz="0" w:space="0" w:color="auto"/>
                    <w:left w:val="none" w:sz="0" w:space="0" w:color="auto"/>
                    <w:bottom w:val="none" w:sz="0" w:space="0" w:color="auto"/>
                    <w:right w:val="none" w:sz="0" w:space="0" w:color="auto"/>
                  </w:divBdr>
                </w:div>
                <w:div w:id="1844319728">
                  <w:marLeft w:val="0"/>
                  <w:marRight w:val="0"/>
                  <w:marTop w:val="0"/>
                  <w:marBottom w:val="0"/>
                  <w:divBdr>
                    <w:top w:val="none" w:sz="0" w:space="0" w:color="auto"/>
                    <w:left w:val="none" w:sz="0" w:space="0" w:color="auto"/>
                    <w:bottom w:val="none" w:sz="0" w:space="0" w:color="auto"/>
                    <w:right w:val="none" w:sz="0" w:space="0" w:color="auto"/>
                  </w:divBdr>
                </w:div>
                <w:div w:id="1897010033">
                  <w:marLeft w:val="0"/>
                  <w:marRight w:val="0"/>
                  <w:marTop w:val="0"/>
                  <w:marBottom w:val="0"/>
                  <w:divBdr>
                    <w:top w:val="none" w:sz="0" w:space="0" w:color="auto"/>
                    <w:left w:val="none" w:sz="0" w:space="0" w:color="auto"/>
                    <w:bottom w:val="none" w:sz="0" w:space="0" w:color="auto"/>
                    <w:right w:val="none" w:sz="0" w:space="0" w:color="auto"/>
                  </w:divBdr>
                </w:div>
                <w:div w:id="1966038926">
                  <w:marLeft w:val="0"/>
                  <w:marRight w:val="0"/>
                  <w:marTop w:val="0"/>
                  <w:marBottom w:val="0"/>
                  <w:divBdr>
                    <w:top w:val="none" w:sz="0" w:space="0" w:color="auto"/>
                    <w:left w:val="none" w:sz="0" w:space="0" w:color="auto"/>
                    <w:bottom w:val="none" w:sz="0" w:space="0" w:color="auto"/>
                    <w:right w:val="none" w:sz="0" w:space="0" w:color="auto"/>
                  </w:divBdr>
                </w:div>
                <w:div w:id="1977443385">
                  <w:marLeft w:val="0"/>
                  <w:marRight w:val="0"/>
                  <w:marTop w:val="0"/>
                  <w:marBottom w:val="0"/>
                  <w:divBdr>
                    <w:top w:val="none" w:sz="0" w:space="0" w:color="auto"/>
                    <w:left w:val="none" w:sz="0" w:space="0" w:color="auto"/>
                    <w:bottom w:val="none" w:sz="0" w:space="0" w:color="auto"/>
                    <w:right w:val="none" w:sz="0" w:space="0" w:color="auto"/>
                  </w:divBdr>
                </w:div>
                <w:div w:id="2005234891">
                  <w:marLeft w:val="0"/>
                  <w:marRight w:val="0"/>
                  <w:marTop w:val="0"/>
                  <w:marBottom w:val="0"/>
                  <w:divBdr>
                    <w:top w:val="none" w:sz="0" w:space="0" w:color="auto"/>
                    <w:left w:val="none" w:sz="0" w:space="0" w:color="auto"/>
                    <w:bottom w:val="none" w:sz="0" w:space="0" w:color="auto"/>
                    <w:right w:val="none" w:sz="0" w:space="0" w:color="auto"/>
                  </w:divBdr>
                </w:div>
                <w:div w:id="2008706402">
                  <w:marLeft w:val="0"/>
                  <w:marRight w:val="0"/>
                  <w:marTop w:val="0"/>
                  <w:marBottom w:val="0"/>
                  <w:divBdr>
                    <w:top w:val="none" w:sz="0" w:space="0" w:color="auto"/>
                    <w:left w:val="none" w:sz="0" w:space="0" w:color="auto"/>
                    <w:bottom w:val="none" w:sz="0" w:space="0" w:color="auto"/>
                    <w:right w:val="none" w:sz="0" w:space="0" w:color="auto"/>
                  </w:divBdr>
                </w:div>
                <w:div w:id="2029869359">
                  <w:marLeft w:val="0"/>
                  <w:marRight w:val="0"/>
                  <w:marTop w:val="0"/>
                  <w:marBottom w:val="0"/>
                  <w:divBdr>
                    <w:top w:val="none" w:sz="0" w:space="0" w:color="auto"/>
                    <w:left w:val="none" w:sz="0" w:space="0" w:color="auto"/>
                    <w:bottom w:val="none" w:sz="0" w:space="0" w:color="auto"/>
                    <w:right w:val="none" w:sz="0" w:space="0" w:color="auto"/>
                  </w:divBdr>
                </w:div>
                <w:div w:id="2101677127">
                  <w:marLeft w:val="0"/>
                  <w:marRight w:val="0"/>
                  <w:marTop w:val="0"/>
                  <w:marBottom w:val="0"/>
                  <w:divBdr>
                    <w:top w:val="none" w:sz="0" w:space="0" w:color="auto"/>
                    <w:left w:val="none" w:sz="0" w:space="0" w:color="auto"/>
                    <w:bottom w:val="none" w:sz="0" w:space="0" w:color="auto"/>
                    <w:right w:val="none" w:sz="0" w:space="0" w:color="auto"/>
                  </w:divBdr>
                </w:div>
                <w:div w:id="21351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97547">
          <w:marLeft w:val="0"/>
          <w:marRight w:val="0"/>
          <w:marTop w:val="15"/>
          <w:marBottom w:val="0"/>
          <w:divBdr>
            <w:top w:val="none" w:sz="0" w:space="0" w:color="auto"/>
            <w:left w:val="none" w:sz="0" w:space="0" w:color="auto"/>
            <w:bottom w:val="none" w:sz="0" w:space="0" w:color="auto"/>
            <w:right w:val="none" w:sz="0" w:space="0" w:color="auto"/>
          </w:divBdr>
          <w:divsChild>
            <w:div w:id="603613835">
              <w:marLeft w:val="0"/>
              <w:marRight w:val="0"/>
              <w:marTop w:val="0"/>
              <w:marBottom w:val="0"/>
              <w:divBdr>
                <w:top w:val="none" w:sz="0" w:space="0" w:color="auto"/>
                <w:left w:val="none" w:sz="0" w:space="0" w:color="auto"/>
                <w:bottom w:val="none" w:sz="0" w:space="0" w:color="auto"/>
                <w:right w:val="none" w:sz="0" w:space="0" w:color="auto"/>
              </w:divBdr>
              <w:divsChild>
                <w:div w:id="20208135">
                  <w:marLeft w:val="0"/>
                  <w:marRight w:val="0"/>
                  <w:marTop w:val="0"/>
                  <w:marBottom w:val="0"/>
                  <w:divBdr>
                    <w:top w:val="none" w:sz="0" w:space="0" w:color="auto"/>
                    <w:left w:val="none" w:sz="0" w:space="0" w:color="auto"/>
                    <w:bottom w:val="none" w:sz="0" w:space="0" w:color="auto"/>
                    <w:right w:val="none" w:sz="0" w:space="0" w:color="auto"/>
                  </w:divBdr>
                </w:div>
                <w:div w:id="76749425">
                  <w:marLeft w:val="0"/>
                  <w:marRight w:val="0"/>
                  <w:marTop w:val="0"/>
                  <w:marBottom w:val="0"/>
                  <w:divBdr>
                    <w:top w:val="none" w:sz="0" w:space="0" w:color="auto"/>
                    <w:left w:val="none" w:sz="0" w:space="0" w:color="auto"/>
                    <w:bottom w:val="none" w:sz="0" w:space="0" w:color="auto"/>
                    <w:right w:val="none" w:sz="0" w:space="0" w:color="auto"/>
                  </w:divBdr>
                </w:div>
                <w:div w:id="158927234">
                  <w:marLeft w:val="0"/>
                  <w:marRight w:val="0"/>
                  <w:marTop w:val="0"/>
                  <w:marBottom w:val="0"/>
                  <w:divBdr>
                    <w:top w:val="none" w:sz="0" w:space="0" w:color="auto"/>
                    <w:left w:val="none" w:sz="0" w:space="0" w:color="auto"/>
                    <w:bottom w:val="none" w:sz="0" w:space="0" w:color="auto"/>
                    <w:right w:val="none" w:sz="0" w:space="0" w:color="auto"/>
                  </w:divBdr>
                </w:div>
                <w:div w:id="531192231">
                  <w:marLeft w:val="0"/>
                  <w:marRight w:val="0"/>
                  <w:marTop w:val="0"/>
                  <w:marBottom w:val="0"/>
                  <w:divBdr>
                    <w:top w:val="none" w:sz="0" w:space="0" w:color="auto"/>
                    <w:left w:val="none" w:sz="0" w:space="0" w:color="auto"/>
                    <w:bottom w:val="none" w:sz="0" w:space="0" w:color="auto"/>
                    <w:right w:val="none" w:sz="0" w:space="0" w:color="auto"/>
                  </w:divBdr>
                </w:div>
                <w:div w:id="726030582">
                  <w:marLeft w:val="0"/>
                  <w:marRight w:val="0"/>
                  <w:marTop w:val="0"/>
                  <w:marBottom w:val="0"/>
                  <w:divBdr>
                    <w:top w:val="none" w:sz="0" w:space="0" w:color="auto"/>
                    <w:left w:val="none" w:sz="0" w:space="0" w:color="auto"/>
                    <w:bottom w:val="none" w:sz="0" w:space="0" w:color="auto"/>
                    <w:right w:val="none" w:sz="0" w:space="0" w:color="auto"/>
                  </w:divBdr>
                </w:div>
                <w:div w:id="796096956">
                  <w:marLeft w:val="0"/>
                  <w:marRight w:val="0"/>
                  <w:marTop w:val="0"/>
                  <w:marBottom w:val="0"/>
                  <w:divBdr>
                    <w:top w:val="none" w:sz="0" w:space="0" w:color="auto"/>
                    <w:left w:val="none" w:sz="0" w:space="0" w:color="auto"/>
                    <w:bottom w:val="none" w:sz="0" w:space="0" w:color="auto"/>
                    <w:right w:val="none" w:sz="0" w:space="0" w:color="auto"/>
                  </w:divBdr>
                </w:div>
                <w:div w:id="805702973">
                  <w:marLeft w:val="0"/>
                  <w:marRight w:val="0"/>
                  <w:marTop w:val="0"/>
                  <w:marBottom w:val="0"/>
                  <w:divBdr>
                    <w:top w:val="none" w:sz="0" w:space="0" w:color="auto"/>
                    <w:left w:val="none" w:sz="0" w:space="0" w:color="auto"/>
                    <w:bottom w:val="none" w:sz="0" w:space="0" w:color="auto"/>
                    <w:right w:val="none" w:sz="0" w:space="0" w:color="auto"/>
                  </w:divBdr>
                </w:div>
                <w:div w:id="918099844">
                  <w:marLeft w:val="0"/>
                  <w:marRight w:val="0"/>
                  <w:marTop w:val="0"/>
                  <w:marBottom w:val="0"/>
                  <w:divBdr>
                    <w:top w:val="none" w:sz="0" w:space="0" w:color="auto"/>
                    <w:left w:val="none" w:sz="0" w:space="0" w:color="auto"/>
                    <w:bottom w:val="none" w:sz="0" w:space="0" w:color="auto"/>
                    <w:right w:val="none" w:sz="0" w:space="0" w:color="auto"/>
                  </w:divBdr>
                </w:div>
                <w:div w:id="948270527">
                  <w:marLeft w:val="0"/>
                  <w:marRight w:val="0"/>
                  <w:marTop w:val="0"/>
                  <w:marBottom w:val="0"/>
                  <w:divBdr>
                    <w:top w:val="none" w:sz="0" w:space="0" w:color="auto"/>
                    <w:left w:val="none" w:sz="0" w:space="0" w:color="auto"/>
                    <w:bottom w:val="none" w:sz="0" w:space="0" w:color="auto"/>
                    <w:right w:val="none" w:sz="0" w:space="0" w:color="auto"/>
                  </w:divBdr>
                </w:div>
                <w:div w:id="1004865513">
                  <w:marLeft w:val="0"/>
                  <w:marRight w:val="0"/>
                  <w:marTop w:val="0"/>
                  <w:marBottom w:val="0"/>
                  <w:divBdr>
                    <w:top w:val="none" w:sz="0" w:space="0" w:color="auto"/>
                    <w:left w:val="none" w:sz="0" w:space="0" w:color="auto"/>
                    <w:bottom w:val="none" w:sz="0" w:space="0" w:color="auto"/>
                    <w:right w:val="none" w:sz="0" w:space="0" w:color="auto"/>
                  </w:divBdr>
                </w:div>
                <w:div w:id="1016924480">
                  <w:marLeft w:val="0"/>
                  <w:marRight w:val="0"/>
                  <w:marTop w:val="0"/>
                  <w:marBottom w:val="0"/>
                  <w:divBdr>
                    <w:top w:val="none" w:sz="0" w:space="0" w:color="auto"/>
                    <w:left w:val="none" w:sz="0" w:space="0" w:color="auto"/>
                    <w:bottom w:val="none" w:sz="0" w:space="0" w:color="auto"/>
                    <w:right w:val="none" w:sz="0" w:space="0" w:color="auto"/>
                  </w:divBdr>
                </w:div>
                <w:div w:id="1151558857">
                  <w:marLeft w:val="0"/>
                  <w:marRight w:val="0"/>
                  <w:marTop w:val="0"/>
                  <w:marBottom w:val="0"/>
                  <w:divBdr>
                    <w:top w:val="none" w:sz="0" w:space="0" w:color="auto"/>
                    <w:left w:val="none" w:sz="0" w:space="0" w:color="auto"/>
                    <w:bottom w:val="none" w:sz="0" w:space="0" w:color="auto"/>
                    <w:right w:val="none" w:sz="0" w:space="0" w:color="auto"/>
                  </w:divBdr>
                </w:div>
                <w:div w:id="1327126999">
                  <w:marLeft w:val="0"/>
                  <w:marRight w:val="0"/>
                  <w:marTop w:val="0"/>
                  <w:marBottom w:val="0"/>
                  <w:divBdr>
                    <w:top w:val="none" w:sz="0" w:space="0" w:color="auto"/>
                    <w:left w:val="none" w:sz="0" w:space="0" w:color="auto"/>
                    <w:bottom w:val="none" w:sz="0" w:space="0" w:color="auto"/>
                    <w:right w:val="none" w:sz="0" w:space="0" w:color="auto"/>
                  </w:divBdr>
                </w:div>
                <w:div w:id="1391424258">
                  <w:marLeft w:val="0"/>
                  <w:marRight w:val="0"/>
                  <w:marTop w:val="0"/>
                  <w:marBottom w:val="0"/>
                  <w:divBdr>
                    <w:top w:val="none" w:sz="0" w:space="0" w:color="auto"/>
                    <w:left w:val="none" w:sz="0" w:space="0" w:color="auto"/>
                    <w:bottom w:val="none" w:sz="0" w:space="0" w:color="auto"/>
                    <w:right w:val="none" w:sz="0" w:space="0" w:color="auto"/>
                  </w:divBdr>
                </w:div>
                <w:div w:id="1404837394">
                  <w:marLeft w:val="0"/>
                  <w:marRight w:val="0"/>
                  <w:marTop w:val="0"/>
                  <w:marBottom w:val="0"/>
                  <w:divBdr>
                    <w:top w:val="none" w:sz="0" w:space="0" w:color="auto"/>
                    <w:left w:val="none" w:sz="0" w:space="0" w:color="auto"/>
                    <w:bottom w:val="none" w:sz="0" w:space="0" w:color="auto"/>
                    <w:right w:val="none" w:sz="0" w:space="0" w:color="auto"/>
                  </w:divBdr>
                </w:div>
                <w:div w:id="1422946004">
                  <w:marLeft w:val="0"/>
                  <w:marRight w:val="0"/>
                  <w:marTop w:val="0"/>
                  <w:marBottom w:val="0"/>
                  <w:divBdr>
                    <w:top w:val="none" w:sz="0" w:space="0" w:color="auto"/>
                    <w:left w:val="none" w:sz="0" w:space="0" w:color="auto"/>
                    <w:bottom w:val="none" w:sz="0" w:space="0" w:color="auto"/>
                    <w:right w:val="none" w:sz="0" w:space="0" w:color="auto"/>
                  </w:divBdr>
                </w:div>
                <w:div w:id="1482885815">
                  <w:marLeft w:val="0"/>
                  <w:marRight w:val="0"/>
                  <w:marTop w:val="0"/>
                  <w:marBottom w:val="0"/>
                  <w:divBdr>
                    <w:top w:val="none" w:sz="0" w:space="0" w:color="auto"/>
                    <w:left w:val="none" w:sz="0" w:space="0" w:color="auto"/>
                    <w:bottom w:val="none" w:sz="0" w:space="0" w:color="auto"/>
                    <w:right w:val="none" w:sz="0" w:space="0" w:color="auto"/>
                  </w:divBdr>
                </w:div>
                <w:div w:id="1509981707">
                  <w:marLeft w:val="0"/>
                  <w:marRight w:val="0"/>
                  <w:marTop w:val="0"/>
                  <w:marBottom w:val="0"/>
                  <w:divBdr>
                    <w:top w:val="none" w:sz="0" w:space="0" w:color="auto"/>
                    <w:left w:val="none" w:sz="0" w:space="0" w:color="auto"/>
                    <w:bottom w:val="none" w:sz="0" w:space="0" w:color="auto"/>
                    <w:right w:val="none" w:sz="0" w:space="0" w:color="auto"/>
                  </w:divBdr>
                </w:div>
                <w:div w:id="1510480687">
                  <w:marLeft w:val="0"/>
                  <w:marRight w:val="0"/>
                  <w:marTop w:val="0"/>
                  <w:marBottom w:val="0"/>
                  <w:divBdr>
                    <w:top w:val="none" w:sz="0" w:space="0" w:color="auto"/>
                    <w:left w:val="none" w:sz="0" w:space="0" w:color="auto"/>
                    <w:bottom w:val="none" w:sz="0" w:space="0" w:color="auto"/>
                    <w:right w:val="none" w:sz="0" w:space="0" w:color="auto"/>
                  </w:divBdr>
                </w:div>
                <w:div w:id="1621565410">
                  <w:marLeft w:val="0"/>
                  <w:marRight w:val="0"/>
                  <w:marTop w:val="0"/>
                  <w:marBottom w:val="0"/>
                  <w:divBdr>
                    <w:top w:val="none" w:sz="0" w:space="0" w:color="auto"/>
                    <w:left w:val="none" w:sz="0" w:space="0" w:color="auto"/>
                    <w:bottom w:val="none" w:sz="0" w:space="0" w:color="auto"/>
                    <w:right w:val="none" w:sz="0" w:space="0" w:color="auto"/>
                  </w:divBdr>
                </w:div>
                <w:div w:id="1721174279">
                  <w:marLeft w:val="0"/>
                  <w:marRight w:val="0"/>
                  <w:marTop w:val="0"/>
                  <w:marBottom w:val="0"/>
                  <w:divBdr>
                    <w:top w:val="none" w:sz="0" w:space="0" w:color="auto"/>
                    <w:left w:val="none" w:sz="0" w:space="0" w:color="auto"/>
                    <w:bottom w:val="none" w:sz="0" w:space="0" w:color="auto"/>
                    <w:right w:val="none" w:sz="0" w:space="0" w:color="auto"/>
                  </w:divBdr>
                </w:div>
                <w:div w:id="1799297358">
                  <w:marLeft w:val="0"/>
                  <w:marRight w:val="0"/>
                  <w:marTop w:val="0"/>
                  <w:marBottom w:val="0"/>
                  <w:divBdr>
                    <w:top w:val="none" w:sz="0" w:space="0" w:color="auto"/>
                    <w:left w:val="none" w:sz="0" w:space="0" w:color="auto"/>
                    <w:bottom w:val="none" w:sz="0" w:space="0" w:color="auto"/>
                    <w:right w:val="none" w:sz="0" w:space="0" w:color="auto"/>
                  </w:divBdr>
                </w:div>
                <w:div w:id="1834948202">
                  <w:marLeft w:val="0"/>
                  <w:marRight w:val="0"/>
                  <w:marTop w:val="0"/>
                  <w:marBottom w:val="0"/>
                  <w:divBdr>
                    <w:top w:val="none" w:sz="0" w:space="0" w:color="auto"/>
                    <w:left w:val="none" w:sz="0" w:space="0" w:color="auto"/>
                    <w:bottom w:val="none" w:sz="0" w:space="0" w:color="auto"/>
                    <w:right w:val="none" w:sz="0" w:space="0" w:color="auto"/>
                  </w:divBdr>
                </w:div>
                <w:div w:id="1874920070">
                  <w:marLeft w:val="0"/>
                  <w:marRight w:val="0"/>
                  <w:marTop w:val="0"/>
                  <w:marBottom w:val="0"/>
                  <w:divBdr>
                    <w:top w:val="none" w:sz="0" w:space="0" w:color="auto"/>
                    <w:left w:val="none" w:sz="0" w:space="0" w:color="auto"/>
                    <w:bottom w:val="none" w:sz="0" w:space="0" w:color="auto"/>
                    <w:right w:val="none" w:sz="0" w:space="0" w:color="auto"/>
                  </w:divBdr>
                </w:div>
                <w:div w:id="1906379276">
                  <w:marLeft w:val="0"/>
                  <w:marRight w:val="0"/>
                  <w:marTop w:val="0"/>
                  <w:marBottom w:val="0"/>
                  <w:divBdr>
                    <w:top w:val="none" w:sz="0" w:space="0" w:color="auto"/>
                    <w:left w:val="none" w:sz="0" w:space="0" w:color="auto"/>
                    <w:bottom w:val="none" w:sz="0" w:space="0" w:color="auto"/>
                    <w:right w:val="none" w:sz="0" w:space="0" w:color="auto"/>
                  </w:divBdr>
                </w:div>
                <w:div w:id="1954945948">
                  <w:marLeft w:val="0"/>
                  <w:marRight w:val="0"/>
                  <w:marTop w:val="0"/>
                  <w:marBottom w:val="0"/>
                  <w:divBdr>
                    <w:top w:val="none" w:sz="0" w:space="0" w:color="auto"/>
                    <w:left w:val="none" w:sz="0" w:space="0" w:color="auto"/>
                    <w:bottom w:val="none" w:sz="0" w:space="0" w:color="auto"/>
                    <w:right w:val="none" w:sz="0" w:space="0" w:color="auto"/>
                  </w:divBdr>
                </w:div>
                <w:div w:id="1990597161">
                  <w:marLeft w:val="0"/>
                  <w:marRight w:val="0"/>
                  <w:marTop w:val="0"/>
                  <w:marBottom w:val="0"/>
                  <w:divBdr>
                    <w:top w:val="none" w:sz="0" w:space="0" w:color="auto"/>
                    <w:left w:val="none" w:sz="0" w:space="0" w:color="auto"/>
                    <w:bottom w:val="none" w:sz="0" w:space="0" w:color="auto"/>
                    <w:right w:val="none" w:sz="0" w:space="0" w:color="auto"/>
                  </w:divBdr>
                </w:div>
                <w:div w:id="2100322186">
                  <w:marLeft w:val="0"/>
                  <w:marRight w:val="0"/>
                  <w:marTop w:val="0"/>
                  <w:marBottom w:val="0"/>
                  <w:divBdr>
                    <w:top w:val="none" w:sz="0" w:space="0" w:color="auto"/>
                    <w:left w:val="none" w:sz="0" w:space="0" w:color="auto"/>
                    <w:bottom w:val="none" w:sz="0" w:space="0" w:color="auto"/>
                    <w:right w:val="none" w:sz="0" w:space="0" w:color="auto"/>
                  </w:divBdr>
                </w:div>
                <w:div w:id="211269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371808">
      <w:bodyDiv w:val="1"/>
      <w:marLeft w:val="0"/>
      <w:marRight w:val="0"/>
      <w:marTop w:val="0"/>
      <w:marBottom w:val="0"/>
      <w:divBdr>
        <w:top w:val="none" w:sz="0" w:space="0" w:color="auto"/>
        <w:left w:val="none" w:sz="0" w:space="0" w:color="auto"/>
        <w:bottom w:val="none" w:sz="0" w:space="0" w:color="auto"/>
        <w:right w:val="none" w:sz="0" w:space="0" w:color="auto"/>
      </w:divBdr>
    </w:div>
    <w:div w:id="924730022">
      <w:bodyDiv w:val="1"/>
      <w:marLeft w:val="0"/>
      <w:marRight w:val="0"/>
      <w:marTop w:val="0"/>
      <w:marBottom w:val="0"/>
      <w:divBdr>
        <w:top w:val="none" w:sz="0" w:space="0" w:color="auto"/>
        <w:left w:val="none" w:sz="0" w:space="0" w:color="auto"/>
        <w:bottom w:val="none" w:sz="0" w:space="0" w:color="auto"/>
        <w:right w:val="none" w:sz="0" w:space="0" w:color="auto"/>
      </w:divBdr>
    </w:div>
    <w:div w:id="925073245">
      <w:bodyDiv w:val="1"/>
      <w:marLeft w:val="0"/>
      <w:marRight w:val="0"/>
      <w:marTop w:val="0"/>
      <w:marBottom w:val="0"/>
      <w:divBdr>
        <w:top w:val="none" w:sz="0" w:space="0" w:color="auto"/>
        <w:left w:val="none" w:sz="0" w:space="0" w:color="auto"/>
        <w:bottom w:val="none" w:sz="0" w:space="0" w:color="auto"/>
        <w:right w:val="none" w:sz="0" w:space="0" w:color="auto"/>
      </w:divBdr>
    </w:div>
    <w:div w:id="927497455">
      <w:bodyDiv w:val="1"/>
      <w:marLeft w:val="0"/>
      <w:marRight w:val="0"/>
      <w:marTop w:val="0"/>
      <w:marBottom w:val="0"/>
      <w:divBdr>
        <w:top w:val="none" w:sz="0" w:space="0" w:color="auto"/>
        <w:left w:val="none" w:sz="0" w:space="0" w:color="auto"/>
        <w:bottom w:val="none" w:sz="0" w:space="0" w:color="auto"/>
        <w:right w:val="none" w:sz="0" w:space="0" w:color="auto"/>
      </w:divBdr>
    </w:div>
    <w:div w:id="927540038">
      <w:bodyDiv w:val="1"/>
      <w:marLeft w:val="0"/>
      <w:marRight w:val="0"/>
      <w:marTop w:val="0"/>
      <w:marBottom w:val="0"/>
      <w:divBdr>
        <w:top w:val="none" w:sz="0" w:space="0" w:color="auto"/>
        <w:left w:val="none" w:sz="0" w:space="0" w:color="auto"/>
        <w:bottom w:val="none" w:sz="0" w:space="0" w:color="auto"/>
        <w:right w:val="none" w:sz="0" w:space="0" w:color="auto"/>
      </w:divBdr>
    </w:div>
    <w:div w:id="928126346">
      <w:bodyDiv w:val="1"/>
      <w:marLeft w:val="0"/>
      <w:marRight w:val="0"/>
      <w:marTop w:val="0"/>
      <w:marBottom w:val="0"/>
      <w:divBdr>
        <w:top w:val="none" w:sz="0" w:space="0" w:color="auto"/>
        <w:left w:val="none" w:sz="0" w:space="0" w:color="auto"/>
        <w:bottom w:val="none" w:sz="0" w:space="0" w:color="auto"/>
        <w:right w:val="none" w:sz="0" w:space="0" w:color="auto"/>
      </w:divBdr>
    </w:div>
    <w:div w:id="932936002">
      <w:bodyDiv w:val="1"/>
      <w:marLeft w:val="0"/>
      <w:marRight w:val="0"/>
      <w:marTop w:val="0"/>
      <w:marBottom w:val="0"/>
      <w:divBdr>
        <w:top w:val="none" w:sz="0" w:space="0" w:color="auto"/>
        <w:left w:val="none" w:sz="0" w:space="0" w:color="auto"/>
        <w:bottom w:val="none" w:sz="0" w:space="0" w:color="auto"/>
        <w:right w:val="none" w:sz="0" w:space="0" w:color="auto"/>
      </w:divBdr>
    </w:div>
    <w:div w:id="934289399">
      <w:bodyDiv w:val="1"/>
      <w:marLeft w:val="0"/>
      <w:marRight w:val="0"/>
      <w:marTop w:val="0"/>
      <w:marBottom w:val="0"/>
      <w:divBdr>
        <w:top w:val="none" w:sz="0" w:space="0" w:color="auto"/>
        <w:left w:val="none" w:sz="0" w:space="0" w:color="auto"/>
        <w:bottom w:val="none" w:sz="0" w:space="0" w:color="auto"/>
        <w:right w:val="none" w:sz="0" w:space="0" w:color="auto"/>
      </w:divBdr>
    </w:div>
    <w:div w:id="934436329">
      <w:bodyDiv w:val="1"/>
      <w:marLeft w:val="0"/>
      <w:marRight w:val="0"/>
      <w:marTop w:val="0"/>
      <w:marBottom w:val="0"/>
      <w:divBdr>
        <w:top w:val="none" w:sz="0" w:space="0" w:color="auto"/>
        <w:left w:val="none" w:sz="0" w:space="0" w:color="auto"/>
        <w:bottom w:val="none" w:sz="0" w:space="0" w:color="auto"/>
        <w:right w:val="none" w:sz="0" w:space="0" w:color="auto"/>
      </w:divBdr>
    </w:div>
    <w:div w:id="935017892">
      <w:bodyDiv w:val="1"/>
      <w:marLeft w:val="0"/>
      <w:marRight w:val="0"/>
      <w:marTop w:val="0"/>
      <w:marBottom w:val="0"/>
      <w:divBdr>
        <w:top w:val="none" w:sz="0" w:space="0" w:color="auto"/>
        <w:left w:val="none" w:sz="0" w:space="0" w:color="auto"/>
        <w:bottom w:val="none" w:sz="0" w:space="0" w:color="auto"/>
        <w:right w:val="none" w:sz="0" w:space="0" w:color="auto"/>
      </w:divBdr>
    </w:div>
    <w:div w:id="937296436">
      <w:bodyDiv w:val="1"/>
      <w:marLeft w:val="0"/>
      <w:marRight w:val="0"/>
      <w:marTop w:val="0"/>
      <w:marBottom w:val="0"/>
      <w:divBdr>
        <w:top w:val="none" w:sz="0" w:space="0" w:color="auto"/>
        <w:left w:val="none" w:sz="0" w:space="0" w:color="auto"/>
        <w:bottom w:val="none" w:sz="0" w:space="0" w:color="auto"/>
        <w:right w:val="none" w:sz="0" w:space="0" w:color="auto"/>
      </w:divBdr>
    </w:div>
    <w:div w:id="938147951">
      <w:bodyDiv w:val="1"/>
      <w:marLeft w:val="0"/>
      <w:marRight w:val="0"/>
      <w:marTop w:val="0"/>
      <w:marBottom w:val="0"/>
      <w:divBdr>
        <w:top w:val="none" w:sz="0" w:space="0" w:color="auto"/>
        <w:left w:val="none" w:sz="0" w:space="0" w:color="auto"/>
        <w:bottom w:val="none" w:sz="0" w:space="0" w:color="auto"/>
        <w:right w:val="none" w:sz="0" w:space="0" w:color="auto"/>
      </w:divBdr>
    </w:div>
    <w:div w:id="939412864">
      <w:bodyDiv w:val="1"/>
      <w:marLeft w:val="0"/>
      <w:marRight w:val="0"/>
      <w:marTop w:val="0"/>
      <w:marBottom w:val="0"/>
      <w:divBdr>
        <w:top w:val="none" w:sz="0" w:space="0" w:color="auto"/>
        <w:left w:val="none" w:sz="0" w:space="0" w:color="auto"/>
        <w:bottom w:val="none" w:sz="0" w:space="0" w:color="auto"/>
        <w:right w:val="none" w:sz="0" w:space="0" w:color="auto"/>
      </w:divBdr>
    </w:div>
    <w:div w:id="941493521">
      <w:bodyDiv w:val="1"/>
      <w:marLeft w:val="0"/>
      <w:marRight w:val="0"/>
      <w:marTop w:val="0"/>
      <w:marBottom w:val="0"/>
      <w:divBdr>
        <w:top w:val="none" w:sz="0" w:space="0" w:color="auto"/>
        <w:left w:val="none" w:sz="0" w:space="0" w:color="auto"/>
        <w:bottom w:val="none" w:sz="0" w:space="0" w:color="auto"/>
        <w:right w:val="none" w:sz="0" w:space="0" w:color="auto"/>
      </w:divBdr>
      <w:divsChild>
        <w:div w:id="1332441888">
          <w:marLeft w:val="0"/>
          <w:marRight w:val="0"/>
          <w:marTop w:val="0"/>
          <w:marBottom w:val="0"/>
          <w:divBdr>
            <w:top w:val="none" w:sz="0" w:space="0" w:color="auto"/>
            <w:left w:val="none" w:sz="0" w:space="0" w:color="auto"/>
            <w:bottom w:val="none" w:sz="0" w:space="0" w:color="auto"/>
            <w:right w:val="none" w:sz="0" w:space="0" w:color="auto"/>
          </w:divBdr>
        </w:div>
      </w:divsChild>
    </w:div>
    <w:div w:id="941570607">
      <w:bodyDiv w:val="1"/>
      <w:marLeft w:val="0"/>
      <w:marRight w:val="0"/>
      <w:marTop w:val="0"/>
      <w:marBottom w:val="0"/>
      <w:divBdr>
        <w:top w:val="none" w:sz="0" w:space="0" w:color="auto"/>
        <w:left w:val="none" w:sz="0" w:space="0" w:color="auto"/>
        <w:bottom w:val="none" w:sz="0" w:space="0" w:color="auto"/>
        <w:right w:val="none" w:sz="0" w:space="0" w:color="auto"/>
      </w:divBdr>
    </w:div>
    <w:div w:id="941759722">
      <w:bodyDiv w:val="1"/>
      <w:marLeft w:val="0"/>
      <w:marRight w:val="0"/>
      <w:marTop w:val="0"/>
      <w:marBottom w:val="0"/>
      <w:divBdr>
        <w:top w:val="none" w:sz="0" w:space="0" w:color="auto"/>
        <w:left w:val="none" w:sz="0" w:space="0" w:color="auto"/>
        <w:bottom w:val="none" w:sz="0" w:space="0" w:color="auto"/>
        <w:right w:val="none" w:sz="0" w:space="0" w:color="auto"/>
      </w:divBdr>
    </w:div>
    <w:div w:id="943807375">
      <w:bodyDiv w:val="1"/>
      <w:marLeft w:val="0"/>
      <w:marRight w:val="0"/>
      <w:marTop w:val="0"/>
      <w:marBottom w:val="0"/>
      <w:divBdr>
        <w:top w:val="none" w:sz="0" w:space="0" w:color="auto"/>
        <w:left w:val="none" w:sz="0" w:space="0" w:color="auto"/>
        <w:bottom w:val="none" w:sz="0" w:space="0" w:color="auto"/>
        <w:right w:val="none" w:sz="0" w:space="0" w:color="auto"/>
      </w:divBdr>
    </w:div>
    <w:div w:id="946035886">
      <w:bodyDiv w:val="1"/>
      <w:marLeft w:val="0"/>
      <w:marRight w:val="0"/>
      <w:marTop w:val="0"/>
      <w:marBottom w:val="0"/>
      <w:divBdr>
        <w:top w:val="none" w:sz="0" w:space="0" w:color="auto"/>
        <w:left w:val="none" w:sz="0" w:space="0" w:color="auto"/>
        <w:bottom w:val="none" w:sz="0" w:space="0" w:color="auto"/>
        <w:right w:val="none" w:sz="0" w:space="0" w:color="auto"/>
      </w:divBdr>
    </w:div>
    <w:div w:id="954940637">
      <w:bodyDiv w:val="1"/>
      <w:marLeft w:val="0"/>
      <w:marRight w:val="0"/>
      <w:marTop w:val="0"/>
      <w:marBottom w:val="0"/>
      <w:divBdr>
        <w:top w:val="none" w:sz="0" w:space="0" w:color="auto"/>
        <w:left w:val="none" w:sz="0" w:space="0" w:color="auto"/>
        <w:bottom w:val="none" w:sz="0" w:space="0" w:color="auto"/>
        <w:right w:val="none" w:sz="0" w:space="0" w:color="auto"/>
      </w:divBdr>
    </w:div>
    <w:div w:id="956327583">
      <w:bodyDiv w:val="1"/>
      <w:marLeft w:val="0"/>
      <w:marRight w:val="0"/>
      <w:marTop w:val="0"/>
      <w:marBottom w:val="0"/>
      <w:divBdr>
        <w:top w:val="none" w:sz="0" w:space="0" w:color="auto"/>
        <w:left w:val="none" w:sz="0" w:space="0" w:color="auto"/>
        <w:bottom w:val="none" w:sz="0" w:space="0" w:color="auto"/>
        <w:right w:val="none" w:sz="0" w:space="0" w:color="auto"/>
      </w:divBdr>
      <w:divsChild>
        <w:div w:id="916594495">
          <w:marLeft w:val="0"/>
          <w:marRight w:val="0"/>
          <w:marTop w:val="0"/>
          <w:marBottom w:val="0"/>
          <w:divBdr>
            <w:top w:val="none" w:sz="0" w:space="0" w:color="auto"/>
            <w:left w:val="none" w:sz="0" w:space="0" w:color="auto"/>
            <w:bottom w:val="none" w:sz="0" w:space="0" w:color="auto"/>
            <w:right w:val="none" w:sz="0" w:space="0" w:color="auto"/>
          </w:divBdr>
        </w:div>
      </w:divsChild>
    </w:div>
    <w:div w:id="957758608">
      <w:bodyDiv w:val="1"/>
      <w:marLeft w:val="0"/>
      <w:marRight w:val="0"/>
      <w:marTop w:val="0"/>
      <w:marBottom w:val="0"/>
      <w:divBdr>
        <w:top w:val="none" w:sz="0" w:space="0" w:color="auto"/>
        <w:left w:val="none" w:sz="0" w:space="0" w:color="auto"/>
        <w:bottom w:val="none" w:sz="0" w:space="0" w:color="auto"/>
        <w:right w:val="none" w:sz="0" w:space="0" w:color="auto"/>
      </w:divBdr>
    </w:div>
    <w:div w:id="960497286">
      <w:bodyDiv w:val="1"/>
      <w:marLeft w:val="0"/>
      <w:marRight w:val="0"/>
      <w:marTop w:val="0"/>
      <w:marBottom w:val="0"/>
      <w:divBdr>
        <w:top w:val="none" w:sz="0" w:space="0" w:color="auto"/>
        <w:left w:val="none" w:sz="0" w:space="0" w:color="auto"/>
        <w:bottom w:val="none" w:sz="0" w:space="0" w:color="auto"/>
        <w:right w:val="none" w:sz="0" w:space="0" w:color="auto"/>
      </w:divBdr>
    </w:div>
    <w:div w:id="960847013">
      <w:bodyDiv w:val="1"/>
      <w:marLeft w:val="0"/>
      <w:marRight w:val="0"/>
      <w:marTop w:val="0"/>
      <w:marBottom w:val="0"/>
      <w:divBdr>
        <w:top w:val="none" w:sz="0" w:space="0" w:color="auto"/>
        <w:left w:val="none" w:sz="0" w:space="0" w:color="auto"/>
        <w:bottom w:val="none" w:sz="0" w:space="0" w:color="auto"/>
        <w:right w:val="none" w:sz="0" w:space="0" w:color="auto"/>
      </w:divBdr>
    </w:div>
    <w:div w:id="961152878">
      <w:bodyDiv w:val="1"/>
      <w:marLeft w:val="0"/>
      <w:marRight w:val="0"/>
      <w:marTop w:val="0"/>
      <w:marBottom w:val="0"/>
      <w:divBdr>
        <w:top w:val="none" w:sz="0" w:space="0" w:color="auto"/>
        <w:left w:val="none" w:sz="0" w:space="0" w:color="auto"/>
        <w:bottom w:val="none" w:sz="0" w:space="0" w:color="auto"/>
        <w:right w:val="none" w:sz="0" w:space="0" w:color="auto"/>
      </w:divBdr>
    </w:div>
    <w:div w:id="967206849">
      <w:bodyDiv w:val="1"/>
      <w:marLeft w:val="0"/>
      <w:marRight w:val="0"/>
      <w:marTop w:val="0"/>
      <w:marBottom w:val="0"/>
      <w:divBdr>
        <w:top w:val="none" w:sz="0" w:space="0" w:color="auto"/>
        <w:left w:val="none" w:sz="0" w:space="0" w:color="auto"/>
        <w:bottom w:val="none" w:sz="0" w:space="0" w:color="auto"/>
        <w:right w:val="none" w:sz="0" w:space="0" w:color="auto"/>
      </w:divBdr>
    </w:div>
    <w:div w:id="971444358">
      <w:bodyDiv w:val="1"/>
      <w:marLeft w:val="0"/>
      <w:marRight w:val="0"/>
      <w:marTop w:val="0"/>
      <w:marBottom w:val="0"/>
      <w:divBdr>
        <w:top w:val="none" w:sz="0" w:space="0" w:color="auto"/>
        <w:left w:val="none" w:sz="0" w:space="0" w:color="auto"/>
        <w:bottom w:val="none" w:sz="0" w:space="0" w:color="auto"/>
        <w:right w:val="none" w:sz="0" w:space="0" w:color="auto"/>
      </w:divBdr>
    </w:div>
    <w:div w:id="973481543">
      <w:bodyDiv w:val="1"/>
      <w:marLeft w:val="0"/>
      <w:marRight w:val="0"/>
      <w:marTop w:val="0"/>
      <w:marBottom w:val="0"/>
      <w:divBdr>
        <w:top w:val="none" w:sz="0" w:space="0" w:color="auto"/>
        <w:left w:val="none" w:sz="0" w:space="0" w:color="auto"/>
        <w:bottom w:val="none" w:sz="0" w:space="0" w:color="auto"/>
        <w:right w:val="none" w:sz="0" w:space="0" w:color="auto"/>
      </w:divBdr>
    </w:div>
    <w:div w:id="974945536">
      <w:bodyDiv w:val="1"/>
      <w:marLeft w:val="0"/>
      <w:marRight w:val="0"/>
      <w:marTop w:val="0"/>
      <w:marBottom w:val="0"/>
      <w:divBdr>
        <w:top w:val="none" w:sz="0" w:space="0" w:color="auto"/>
        <w:left w:val="none" w:sz="0" w:space="0" w:color="auto"/>
        <w:bottom w:val="none" w:sz="0" w:space="0" w:color="auto"/>
        <w:right w:val="none" w:sz="0" w:space="0" w:color="auto"/>
      </w:divBdr>
    </w:div>
    <w:div w:id="977495012">
      <w:bodyDiv w:val="1"/>
      <w:marLeft w:val="0"/>
      <w:marRight w:val="0"/>
      <w:marTop w:val="0"/>
      <w:marBottom w:val="0"/>
      <w:divBdr>
        <w:top w:val="none" w:sz="0" w:space="0" w:color="auto"/>
        <w:left w:val="none" w:sz="0" w:space="0" w:color="auto"/>
        <w:bottom w:val="none" w:sz="0" w:space="0" w:color="auto"/>
        <w:right w:val="none" w:sz="0" w:space="0" w:color="auto"/>
      </w:divBdr>
    </w:div>
    <w:div w:id="981811464">
      <w:bodyDiv w:val="1"/>
      <w:marLeft w:val="0"/>
      <w:marRight w:val="0"/>
      <w:marTop w:val="0"/>
      <w:marBottom w:val="0"/>
      <w:divBdr>
        <w:top w:val="none" w:sz="0" w:space="0" w:color="auto"/>
        <w:left w:val="none" w:sz="0" w:space="0" w:color="auto"/>
        <w:bottom w:val="none" w:sz="0" w:space="0" w:color="auto"/>
        <w:right w:val="none" w:sz="0" w:space="0" w:color="auto"/>
      </w:divBdr>
    </w:div>
    <w:div w:id="985663416">
      <w:bodyDiv w:val="1"/>
      <w:marLeft w:val="0"/>
      <w:marRight w:val="0"/>
      <w:marTop w:val="0"/>
      <w:marBottom w:val="0"/>
      <w:divBdr>
        <w:top w:val="none" w:sz="0" w:space="0" w:color="auto"/>
        <w:left w:val="none" w:sz="0" w:space="0" w:color="auto"/>
        <w:bottom w:val="none" w:sz="0" w:space="0" w:color="auto"/>
        <w:right w:val="none" w:sz="0" w:space="0" w:color="auto"/>
      </w:divBdr>
    </w:div>
    <w:div w:id="985744426">
      <w:bodyDiv w:val="1"/>
      <w:marLeft w:val="0"/>
      <w:marRight w:val="0"/>
      <w:marTop w:val="0"/>
      <w:marBottom w:val="0"/>
      <w:divBdr>
        <w:top w:val="none" w:sz="0" w:space="0" w:color="auto"/>
        <w:left w:val="none" w:sz="0" w:space="0" w:color="auto"/>
        <w:bottom w:val="none" w:sz="0" w:space="0" w:color="auto"/>
        <w:right w:val="none" w:sz="0" w:space="0" w:color="auto"/>
      </w:divBdr>
    </w:div>
    <w:div w:id="986206602">
      <w:bodyDiv w:val="1"/>
      <w:marLeft w:val="0"/>
      <w:marRight w:val="0"/>
      <w:marTop w:val="0"/>
      <w:marBottom w:val="0"/>
      <w:divBdr>
        <w:top w:val="none" w:sz="0" w:space="0" w:color="auto"/>
        <w:left w:val="none" w:sz="0" w:space="0" w:color="auto"/>
        <w:bottom w:val="none" w:sz="0" w:space="0" w:color="auto"/>
        <w:right w:val="none" w:sz="0" w:space="0" w:color="auto"/>
      </w:divBdr>
    </w:div>
    <w:div w:id="989791511">
      <w:bodyDiv w:val="1"/>
      <w:marLeft w:val="0"/>
      <w:marRight w:val="0"/>
      <w:marTop w:val="0"/>
      <w:marBottom w:val="0"/>
      <w:divBdr>
        <w:top w:val="none" w:sz="0" w:space="0" w:color="auto"/>
        <w:left w:val="none" w:sz="0" w:space="0" w:color="auto"/>
        <w:bottom w:val="none" w:sz="0" w:space="0" w:color="auto"/>
        <w:right w:val="none" w:sz="0" w:space="0" w:color="auto"/>
      </w:divBdr>
    </w:div>
    <w:div w:id="994146794">
      <w:bodyDiv w:val="1"/>
      <w:marLeft w:val="0"/>
      <w:marRight w:val="0"/>
      <w:marTop w:val="0"/>
      <w:marBottom w:val="0"/>
      <w:divBdr>
        <w:top w:val="none" w:sz="0" w:space="0" w:color="auto"/>
        <w:left w:val="none" w:sz="0" w:space="0" w:color="auto"/>
        <w:bottom w:val="none" w:sz="0" w:space="0" w:color="auto"/>
        <w:right w:val="none" w:sz="0" w:space="0" w:color="auto"/>
      </w:divBdr>
    </w:div>
    <w:div w:id="994987430">
      <w:bodyDiv w:val="1"/>
      <w:marLeft w:val="0"/>
      <w:marRight w:val="0"/>
      <w:marTop w:val="0"/>
      <w:marBottom w:val="0"/>
      <w:divBdr>
        <w:top w:val="none" w:sz="0" w:space="0" w:color="auto"/>
        <w:left w:val="none" w:sz="0" w:space="0" w:color="auto"/>
        <w:bottom w:val="none" w:sz="0" w:space="0" w:color="auto"/>
        <w:right w:val="none" w:sz="0" w:space="0" w:color="auto"/>
      </w:divBdr>
    </w:div>
    <w:div w:id="996693425">
      <w:bodyDiv w:val="1"/>
      <w:marLeft w:val="0"/>
      <w:marRight w:val="0"/>
      <w:marTop w:val="0"/>
      <w:marBottom w:val="0"/>
      <w:divBdr>
        <w:top w:val="none" w:sz="0" w:space="0" w:color="auto"/>
        <w:left w:val="none" w:sz="0" w:space="0" w:color="auto"/>
        <w:bottom w:val="none" w:sz="0" w:space="0" w:color="auto"/>
        <w:right w:val="none" w:sz="0" w:space="0" w:color="auto"/>
      </w:divBdr>
    </w:div>
    <w:div w:id="1002664294">
      <w:bodyDiv w:val="1"/>
      <w:marLeft w:val="0"/>
      <w:marRight w:val="0"/>
      <w:marTop w:val="0"/>
      <w:marBottom w:val="0"/>
      <w:divBdr>
        <w:top w:val="none" w:sz="0" w:space="0" w:color="auto"/>
        <w:left w:val="none" w:sz="0" w:space="0" w:color="auto"/>
        <w:bottom w:val="none" w:sz="0" w:space="0" w:color="auto"/>
        <w:right w:val="none" w:sz="0" w:space="0" w:color="auto"/>
      </w:divBdr>
    </w:div>
    <w:div w:id="1004237633">
      <w:bodyDiv w:val="1"/>
      <w:marLeft w:val="0"/>
      <w:marRight w:val="0"/>
      <w:marTop w:val="0"/>
      <w:marBottom w:val="0"/>
      <w:divBdr>
        <w:top w:val="none" w:sz="0" w:space="0" w:color="auto"/>
        <w:left w:val="none" w:sz="0" w:space="0" w:color="auto"/>
        <w:bottom w:val="none" w:sz="0" w:space="0" w:color="auto"/>
        <w:right w:val="none" w:sz="0" w:space="0" w:color="auto"/>
      </w:divBdr>
    </w:div>
    <w:div w:id="1007055961">
      <w:bodyDiv w:val="1"/>
      <w:marLeft w:val="0"/>
      <w:marRight w:val="0"/>
      <w:marTop w:val="0"/>
      <w:marBottom w:val="0"/>
      <w:divBdr>
        <w:top w:val="none" w:sz="0" w:space="0" w:color="auto"/>
        <w:left w:val="none" w:sz="0" w:space="0" w:color="auto"/>
        <w:bottom w:val="none" w:sz="0" w:space="0" w:color="auto"/>
        <w:right w:val="none" w:sz="0" w:space="0" w:color="auto"/>
      </w:divBdr>
    </w:div>
    <w:div w:id="1015958542">
      <w:bodyDiv w:val="1"/>
      <w:marLeft w:val="0"/>
      <w:marRight w:val="0"/>
      <w:marTop w:val="0"/>
      <w:marBottom w:val="0"/>
      <w:divBdr>
        <w:top w:val="none" w:sz="0" w:space="0" w:color="auto"/>
        <w:left w:val="none" w:sz="0" w:space="0" w:color="auto"/>
        <w:bottom w:val="none" w:sz="0" w:space="0" w:color="auto"/>
        <w:right w:val="none" w:sz="0" w:space="0" w:color="auto"/>
      </w:divBdr>
    </w:div>
    <w:div w:id="1016736718">
      <w:bodyDiv w:val="1"/>
      <w:marLeft w:val="0"/>
      <w:marRight w:val="0"/>
      <w:marTop w:val="0"/>
      <w:marBottom w:val="0"/>
      <w:divBdr>
        <w:top w:val="none" w:sz="0" w:space="0" w:color="auto"/>
        <w:left w:val="none" w:sz="0" w:space="0" w:color="auto"/>
        <w:bottom w:val="none" w:sz="0" w:space="0" w:color="auto"/>
        <w:right w:val="none" w:sz="0" w:space="0" w:color="auto"/>
      </w:divBdr>
    </w:div>
    <w:div w:id="1017196046">
      <w:bodyDiv w:val="1"/>
      <w:marLeft w:val="0"/>
      <w:marRight w:val="0"/>
      <w:marTop w:val="0"/>
      <w:marBottom w:val="0"/>
      <w:divBdr>
        <w:top w:val="none" w:sz="0" w:space="0" w:color="auto"/>
        <w:left w:val="none" w:sz="0" w:space="0" w:color="auto"/>
        <w:bottom w:val="none" w:sz="0" w:space="0" w:color="auto"/>
        <w:right w:val="none" w:sz="0" w:space="0" w:color="auto"/>
      </w:divBdr>
    </w:div>
    <w:div w:id="1018700594">
      <w:bodyDiv w:val="1"/>
      <w:marLeft w:val="0"/>
      <w:marRight w:val="0"/>
      <w:marTop w:val="0"/>
      <w:marBottom w:val="0"/>
      <w:divBdr>
        <w:top w:val="none" w:sz="0" w:space="0" w:color="auto"/>
        <w:left w:val="none" w:sz="0" w:space="0" w:color="auto"/>
        <w:bottom w:val="none" w:sz="0" w:space="0" w:color="auto"/>
        <w:right w:val="none" w:sz="0" w:space="0" w:color="auto"/>
      </w:divBdr>
    </w:div>
    <w:div w:id="1021054809">
      <w:bodyDiv w:val="1"/>
      <w:marLeft w:val="0"/>
      <w:marRight w:val="0"/>
      <w:marTop w:val="0"/>
      <w:marBottom w:val="0"/>
      <w:divBdr>
        <w:top w:val="none" w:sz="0" w:space="0" w:color="auto"/>
        <w:left w:val="none" w:sz="0" w:space="0" w:color="auto"/>
        <w:bottom w:val="none" w:sz="0" w:space="0" w:color="auto"/>
        <w:right w:val="none" w:sz="0" w:space="0" w:color="auto"/>
      </w:divBdr>
    </w:div>
    <w:div w:id="1025054272">
      <w:bodyDiv w:val="1"/>
      <w:marLeft w:val="0"/>
      <w:marRight w:val="0"/>
      <w:marTop w:val="0"/>
      <w:marBottom w:val="0"/>
      <w:divBdr>
        <w:top w:val="none" w:sz="0" w:space="0" w:color="auto"/>
        <w:left w:val="none" w:sz="0" w:space="0" w:color="auto"/>
        <w:bottom w:val="none" w:sz="0" w:space="0" w:color="auto"/>
        <w:right w:val="none" w:sz="0" w:space="0" w:color="auto"/>
      </w:divBdr>
    </w:div>
    <w:div w:id="1026177838">
      <w:bodyDiv w:val="1"/>
      <w:marLeft w:val="0"/>
      <w:marRight w:val="0"/>
      <w:marTop w:val="0"/>
      <w:marBottom w:val="0"/>
      <w:divBdr>
        <w:top w:val="none" w:sz="0" w:space="0" w:color="auto"/>
        <w:left w:val="none" w:sz="0" w:space="0" w:color="auto"/>
        <w:bottom w:val="none" w:sz="0" w:space="0" w:color="auto"/>
        <w:right w:val="none" w:sz="0" w:space="0" w:color="auto"/>
      </w:divBdr>
    </w:div>
    <w:div w:id="1027100579">
      <w:bodyDiv w:val="1"/>
      <w:marLeft w:val="0"/>
      <w:marRight w:val="0"/>
      <w:marTop w:val="0"/>
      <w:marBottom w:val="0"/>
      <w:divBdr>
        <w:top w:val="none" w:sz="0" w:space="0" w:color="auto"/>
        <w:left w:val="none" w:sz="0" w:space="0" w:color="auto"/>
        <w:bottom w:val="none" w:sz="0" w:space="0" w:color="auto"/>
        <w:right w:val="none" w:sz="0" w:space="0" w:color="auto"/>
      </w:divBdr>
    </w:div>
    <w:div w:id="1027871164">
      <w:bodyDiv w:val="1"/>
      <w:marLeft w:val="0"/>
      <w:marRight w:val="0"/>
      <w:marTop w:val="0"/>
      <w:marBottom w:val="0"/>
      <w:divBdr>
        <w:top w:val="none" w:sz="0" w:space="0" w:color="auto"/>
        <w:left w:val="none" w:sz="0" w:space="0" w:color="auto"/>
        <w:bottom w:val="none" w:sz="0" w:space="0" w:color="auto"/>
        <w:right w:val="none" w:sz="0" w:space="0" w:color="auto"/>
      </w:divBdr>
    </w:div>
    <w:div w:id="1028873105">
      <w:bodyDiv w:val="1"/>
      <w:marLeft w:val="0"/>
      <w:marRight w:val="0"/>
      <w:marTop w:val="0"/>
      <w:marBottom w:val="0"/>
      <w:divBdr>
        <w:top w:val="none" w:sz="0" w:space="0" w:color="auto"/>
        <w:left w:val="none" w:sz="0" w:space="0" w:color="auto"/>
        <w:bottom w:val="none" w:sz="0" w:space="0" w:color="auto"/>
        <w:right w:val="none" w:sz="0" w:space="0" w:color="auto"/>
      </w:divBdr>
    </w:div>
    <w:div w:id="1030183786">
      <w:bodyDiv w:val="1"/>
      <w:marLeft w:val="0"/>
      <w:marRight w:val="0"/>
      <w:marTop w:val="0"/>
      <w:marBottom w:val="0"/>
      <w:divBdr>
        <w:top w:val="none" w:sz="0" w:space="0" w:color="auto"/>
        <w:left w:val="none" w:sz="0" w:space="0" w:color="auto"/>
        <w:bottom w:val="none" w:sz="0" w:space="0" w:color="auto"/>
        <w:right w:val="none" w:sz="0" w:space="0" w:color="auto"/>
      </w:divBdr>
    </w:div>
    <w:div w:id="1031490450">
      <w:bodyDiv w:val="1"/>
      <w:marLeft w:val="0"/>
      <w:marRight w:val="0"/>
      <w:marTop w:val="0"/>
      <w:marBottom w:val="0"/>
      <w:divBdr>
        <w:top w:val="none" w:sz="0" w:space="0" w:color="auto"/>
        <w:left w:val="none" w:sz="0" w:space="0" w:color="auto"/>
        <w:bottom w:val="none" w:sz="0" w:space="0" w:color="auto"/>
        <w:right w:val="none" w:sz="0" w:space="0" w:color="auto"/>
      </w:divBdr>
    </w:div>
    <w:div w:id="1034691123">
      <w:bodyDiv w:val="1"/>
      <w:marLeft w:val="0"/>
      <w:marRight w:val="0"/>
      <w:marTop w:val="0"/>
      <w:marBottom w:val="0"/>
      <w:divBdr>
        <w:top w:val="none" w:sz="0" w:space="0" w:color="auto"/>
        <w:left w:val="none" w:sz="0" w:space="0" w:color="auto"/>
        <w:bottom w:val="none" w:sz="0" w:space="0" w:color="auto"/>
        <w:right w:val="none" w:sz="0" w:space="0" w:color="auto"/>
      </w:divBdr>
    </w:div>
    <w:div w:id="1038360477">
      <w:bodyDiv w:val="1"/>
      <w:marLeft w:val="0"/>
      <w:marRight w:val="0"/>
      <w:marTop w:val="0"/>
      <w:marBottom w:val="0"/>
      <w:divBdr>
        <w:top w:val="none" w:sz="0" w:space="0" w:color="auto"/>
        <w:left w:val="none" w:sz="0" w:space="0" w:color="auto"/>
        <w:bottom w:val="none" w:sz="0" w:space="0" w:color="auto"/>
        <w:right w:val="none" w:sz="0" w:space="0" w:color="auto"/>
      </w:divBdr>
    </w:div>
    <w:div w:id="1038700882">
      <w:bodyDiv w:val="1"/>
      <w:marLeft w:val="0"/>
      <w:marRight w:val="0"/>
      <w:marTop w:val="0"/>
      <w:marBottom w:val="0"/>
      <w:divBdr>
        <w:top w:val="none" w:sz="0" w:space="0" w:color="auto"/>
        <w:left w:val="none" w:sz="0" w:space="0" w:color="auto"/>
        <w:bottom w:val="none" w:sz="0" w:space="0" w:color="auto"/>
        <w:right w:val="none" w:sz="0" w:space="0" w:color="auto"/>
      </w:divBdr>
    </w:div>
    <w:div w:id="1038890733">
      <w:bodyDiv w:val="1"/>
      <w:marLeft w:val="0"/>
      <w:marRight w:val="0"/>
      <w:marTop w:val="0"/>
      <w:marBottom w:val="0"/>
      <w:divBdr>
        <w:top w:val="none" w:sz="0" w:space="0" w:color="auto"/>
        <w:left w:val="none" w:sz="0" w:space="0" w:color="auto"/>
        <w:bottom w:val="none" w:sz="0" w:space="0" w:color="auto"/>
        <w:right w:val="none" w:sz="0" w:space="0" w:color="auto"/>
      </w:divBdr>
    </w:div>
    <w:div w:id="1040668632">
      <w:bodyDiv w:val="1"/>
      <w:marLeft w:val="0"/>
      <w:marRight w:val="0"/>
      <w:marTop w:val="0"/>
      <w:marBottom w:val="0"/>
      <w:divBdr>
        <w:top w:val="none" w:sz="0" w:space="0" w:color="auto"/>
        <w:left w:val="none" w:sz="0" w:space="0" w:color="auto"/>
        <w:bottom w:val="none" w:sz="0" w:space="0" w:color="auto"/>
        <w:right w:val="none" w:sz="0" w:space="0" w:color="auto"/>
      </w:divBdr>
    </w:div>
    <w:div w:id="1041396499">
      <w:bodyDiv w:val="1"/>
      <w:marLeft w:val="0"/>
      <w:marRight w:val="0"/>
      <w:marTop w:val="0"/>
      <w:marBottom w:val="0"/>
      <w:divBdr>
        <w:top w:val="none" w:sz="0" w:space="0" w:color="auto"/>
        <w:left w:val="none" w:sz="0" w:space="0" w:color="auto"/>
        <w:bottom w:val="none" w:sz="0" w:space="0" w:color="auto"/>
        <w:right w:val="none" w:sz="0" w:space="0" w:color="auto"/>
      </w:divBdr>
    </w:div>
    <w:div w:id="1044327740">
      <w:bodyDiv w:val="1"/>
      <w:marLeft w:val="0"/>
      <w:marRight w:val="0"/>
      <w:marTop w:val="0"/>
      <w:marBottom w:val="0"/>
      <w:divBdr>
        <w:top w:val="none" w:sz="0" w:space="0" w:color="auto"/>
        <w:left w:val="none" w:sz="0" w:space="0" w:color="auto"/>
        <w:bottom w:val="none" w:sz="0" w:space="0" w:color="auto"/>
        <w:right w:val="none" w:sz="0" w:space="0" w:color="auto"/>
      </w:divBdr>
    </w:div>
    <w:div w:id="1045257012">
      <w:bodyDiv w:val="1"/>
      <w:marLeft w:val="0"/>
      <w:marRight w:val="0"/>
      <w:marTop w:val="0"/>
      <w:marBottom w:val="0"/>
      <w:divBdr>
        <w:top w:val="none" w:sz="0" w:space="0" w:color="auto"/>
        <w:left w:val="none" w:sz="0" w:space="0" w:color="auto"/>
        <w:bottom w:val="none" w:sz="0" w:space="0" w:color="auto"/>
        <w:right w:val="none" w:sz="0" w:space="0" w:color="auto"/>
      </w:divBdr>
    </w:div>
    <w:div w:id="1045373253">
      <w:bodyDiv w:val="1"/>
      <w:marLeft w:val="0"/>
      <w:marRight w:val="0"/>
      <w:marTop w:val="0"/>
      <w:marBottom w:val="0"/>
      <w:divBdr>
        <w:top w:val="none" w:sz="0" w:space="0" w:color="auto"/>
        <w:left w:val="none" w:sz="0" w:space="0" w:color="auto"/>
        <w:bottom w:val="none" w:sz="0" w:space="0" w:color="auto"/>
        <w:right w:val="none" w:sz="0" w:space="0" w:color="auto"/>
      </w:divBdr>
    </w:div>
    <w:div w:id="1046372251">
      <w:bodyDiv w:val="1"/>
      <w:marLeft w:val="0"/>
      <w:marRight w:val="0"/>
      <w:marTop w:val="0"/>
      <w:marBottom w:val="0"/>
      <w:divBdr>
        <w:top w:val="none" w:sz="0" w:space="0" w:color="auto"/>
        <w:left w:val="none" w:sz="0" w:space="0" w:color="auto"/>
        <w:bottom w:val="none" w:sz="0" w:space="0" w:color="auto"/>
        <w:right w:val="none" w:sz="0" w:space="0" w:color="auto"/>
      </w:divBdr>
    </w:div>
    <w:div w:id="1046444773">
      <w:bodyDiv w:val="1"/>
      <w:marLeft w:val="0"/>
      <w:marRight w:val="0"/>
      <w:marTop w:val="0"/>
      <w:marBottom w:val="0"/>
      <w:divBdr>
        <w:top w:val="none" w:sz="0" w:space="0" w:color="auto"/>
        <w:left w:val="none" w:sz="0" w:space="0" w:color="auto"/>
        <w:bottom w:val="none" w:sz="0" w:space="0" w:color="auto"/>
        <w:right w:val="none" w:sz="0" w:space="0" w:color="auto"/>
      </w:divBdr>
    </w:div>
    <w:div w:id="1047801778">
      <w:bodyDiv w:val="1"/>
      <w:marLeft w:val="0"/>
      <w:marRight w:val="0"/>
      <w:marTop w:val="0"/>
      <w:marBottom w:val="0"/>
      <w:divBdr>
        <w:top w:val="none" w:sz="0" w:space="0" w:color="auto"/>
        <w:left w:val="none" w:sz="0" w:space="0" w:color="auto"/>
        <w:bottom w:val="none" w:sz="0" w:space="0" w:color="auto"/>
        <w:right w:val="none" w:sz="0" w:space="0" w:color="auto"/>
      </w:divBdr>
    </w:div>
    <w:div w:id="1048722787">
      <w:bodyDiv w:val="1"/>
      <w:marLeft w:val="0"/>
      <w:marRight w:val="0"/>
      <w:marTop w:val="0"/>
      <w:marBottom w:val="0"/>
      <w:divBdr>
        <w:top w:val="none" w:sz="0" w:space="0" w:color="auto"/>
        <w:left w:val="none" w:sz="0" w:space="0" w:color="auto"/>
        <w:bottom w:val="none" w:sz="0" w:space="0" w:color="auto"/>
        <w:right w:val="none" w:sz="0" w:space="0" w:color="auto"/>
      </w:divBdr>
    </w:div>
    <w:div w:id="1051147281">
      <w:bodyDiv w:val="1"/>
      <w:marLeft w:val="0"/>
      <w:marRight w:val="0"/>
      <w:marTop w:val="0"/>
      <w:marBottom w:val="0"/>
      <w:divBdr>
        <w:top w:val="none" w:sz="0" w:space="0" w:color="auto"/>
        <w:left w:val="none" w:sz="0" w:space="0" w:color="auto"/>
        <w:bottom w:val="none" w:sz="0" w:space="0" w:color="auto"/>
        <w:right w:val="none" w:sz="0" w:space="0" w:color="auto"/>
      </w:divBdr>
    </w:div>
    <w:div w:id="1051147955">
      <w:bodyDiv w:val="1"/>
      <w:marLeft w:val="0"/>
      <w:marRight w:val="0"/>
      <w:marTop w:val="0"/>
      <w:marBottom w:val="0"/>
      <w:divBdr>
        <w:top w:val="none" w:sz="0" w:space="0" w:color="auto"/>
        <w:left w:val="none" w:sz="0" w:space="0" w:color="auto"/>
        <w:bottom w:val="none" w:sz="0" w:space="0" w:color="auto"/>
        <w:right w:val="none" w:sz="0" w:space="0" w:color="auto"/>
      </w:divBdr>
    </w:div>
    <w:div w:id="1052540453">
      <w:bodyDiv w:val="1"/>
      <w:marLeft w:val="0"/>
      <w:marRight w:val="0"/>
      <w:marTop w:val="0"/>
      <w:marBottom w:val="0"/>
      <w:divBdr>
        <w:top w:val="none" w:sz="0" w:space="0" w:color="auto"/>
        <w:left w:val="none" w:sz="0" w:space="0" w:color="auto"/>
        <w:bottom w:val="none" w:sz="0" w:space="0" w:color="auto"/>
        <w:right w:val="none" w:sz="0" w:space="0" w:color="auto"/>
      </w:divBdr>
      <w:divsChild>
        <w:div w:id="286620115">
          <w:marLeft w:val="0"/>
          <w:marRight w:val="0"/>
          <w:marTop w:val="0"/>
          <w:marBottom w:val="0"/>
          <w:divBdr>
            <w:top w:val="none" w:sz="0" w:space="0" w:color="auto"/>
            <w:left w:val="none" w:sz="0" w:space="0" w:color="auto"/>
            <w:bottom w:val="none" w:sz="0" w:space="0" w:color="auto"/>
            <w:right w:val="none" w:sz="0" w:space="0" w:color="auto"/>
          </w:divBdr>
        </w:div>
        <w:div w:id="736708421">
          <w:marLeft w:val="0"/>
          <w:marRight w:val="0"/>
          <w:marTop w:val="0"/>
          <w:marBottom w:val="0"/>
          <w:divBdr>
            <w:top w:val="none" w:sz="0" w:space="0" w:color="auto"/>
            <w:left w:val="none" w:sz="0" w:space="0" w:color="auto"/>
            <w:bottom w:val="none" w:sz="0" w:space="0" w:color="auto"/>
            <w:right w:val="none" w:sz="0" w:space="0" w:color="auto"/>
          </w:divBdr>
        </w:div>
        <w:div w:id="1123495543">
          <w:marLeft w:val="0"/>
          <w:marRight w:val="0"/>
          <w:marTop w:val="0"/>
          <w:marBottom w:val="0"/>
          <w:divBdr>
            <w:top w:val="none" w:sz="0" w:space="0" w:color="auto"/>
            <w:left w:val="none" w:sz="0" w:space="0" w:color="auto"/>
            <w:bottom w:val="none" w:sz="0" w:space="0" w:color="auto"/>
            <w:right w:val="none" w:sz="0" w:space="0" w:color="auto"/>
          </w:divBdr>
        </w:div>
      </w:divsChild>
    </w:div>
    <w:div w:id="1053773321">
      <w:bodyDiv w:val="1"/>
      <w:marLeft w:val="0"/>
      <w:marRight w:val="0"/>
      <w:marTop w:val="0"/>
      <w:marBottom w:val="0"/>
      <w:divBdr>
        <w:top w:val="none" w:sz="0" w:space="0" w:color="auto"/>
        <w:left w:val="none" w:sz="0" w:space="0" w:color="auto"/>
        <w:bottom w:val="none" w:sz="0" w:space="0" w:color="auto"/>
        <w:right w:val="none" w:sz="0" w:space="0" w:color="auto"/>
      </w:divBdr>
    </w:div>
    <w:div w:id="1054355235">
      <w:bodyDiv w:val="1"/>
      <w:marLeft w:val="0"/>
      <w:marRight w:val="0"/>
      <w:marTop w:val="0"/>
      <w:marBottom w:val="0"/>
      <w:divBdr>
        <w:top w:val="none" w:sz="0" w:space="0" w:color="auto"/>
        <w:left w:val="none" w:sz="0" w:space="0" w:color="auto"/>
        <w:bottom w:val="none" w:sz="0" w:space="0" w:color="auto"/>
        <w:right w:val="none" w:sz="0" w:space="0" w:color="auto"/>
      </w:divBdr>
    </w:div>
    <w:div w:id="1057821631">
      <w:bodyDiv w:val="1"/>
      <w:marLeft w:val="0"/>
      <w:marRight w:val="0"/>
      <w:marTop w:val="0"/>
      <w:marBottom w:val="0"/>
      <w:divBdr>
        <w:top w:val="none" w:sz="0" w:space="0" w:color="auto"/>
        <w:left w:val="none" w:sz="0" w:space="0" w:color="auto"/>
        <w:bottom w:val="none" w:sz="0" w:space="0" w:color="auto"/>
        <w:right w:val="none" w:sz="0" w:space="0" w:color="auto"/>
      </w:divBdr>
    </w:div>
    <w:div w:id="1063989033">
      <w:bodyDiv w:val="1"/>
      <w:marLeft w:val="0"/>
      <w:marRight w:val="0"/>
      <w:marTop w:val="0"/>
      <w:marBottom w:val="0"/>
      <w:divBdr>
        <w:top w:val="none" w:sz="0" w:space="0" w:color="auto"/>
        <w:left w:val="none" w:sz="0" w:space="0" w:color="auto"/>
        <w:bottom w:val="none" w:sz="0" w:space="0" w:color="auto"/>
        <w:right w:val="none" w:sz="0" w:space="0" w:color="auto"/>
      </w:divBdr>
    </w:div>
    <w:div w:id="1064568611">
      <w:bodyDiv w:val="1"/>
      <w:marLeft w:val="0"/>
      <w:marRight w:val="0"/>
      <w:marTop w:val="0"/>
      <w:marBottom w:val="0"/>
      <w:divBdr>
        <w:top w:val="none" w:sz="0" w:space="0" w:color="auto"/>
        <w:left w:val="none" w:sz="0" w:space="0" w:color="auto"/>
        <w:bottom w:val="none" w:sz="0" w:space="0" w:color="auto"/>
        <w:right w:val="none" w:sz="0" w:space="0" w:color="auto"/>
      </w:divBdr>
    </w:div>
    <w:div w:id="1067070507">
      <w:bodyDiv w:val="1"/>
      <w:marLeft w:val="0"/>
      <w:marRight w:val="0"/>
      <w:marTop w:val="0"/>
      <w:marBottom w:val="0"/>
      <w:divBdr>
        <w:top w:val="none" w:sz="0" w:space="0" w:color="auto"/>
        <w:left w:val="none" w:sz="0" w:space="0" w:color="auto"/>
        <w:bottom w:val="none" w:sz="0" w:space="0" w:color="auto"/>
        <w:right w:val="none" w:sz="0" w:space="0" w:color="auto"/>
      </w:divBdr>
    </w:div>
    <w:div w:id="1068458196">
      <w:bodyDiv w:val="1"/>
      <w:marLeft w:val="0"/>
      <w:marRight w:val="0"/>
      <w:marTop w:val="0"/>
      <w:marBottom w:val="0"/>
      <w:divBdr>
        <w:top w:val="none" w:sz="0" w:space="0" w:color="auto"/>
        <w:left w:val="none" w:sz="0" w:space="0" w:color="auto"/>
        <w:bottom w:val="none" w:sz="0" w:space="0" w:color="auto"/>
        <w:right w:val="none" w:sz="0" w:space="0" w:color="auto"/>
      </w:divBdr>
    </w:div>
    <w:div w:id="1070158874">
      <w:bodyDiv w:val="1"/>
      <w:marLeft w:val="0"/>
      <w:marRight w:val="0"/>
      <w:marTop w:val="0"/>
      <w:marBottom w:val="0"/>
      <w:divBdr>
        <w:top w:val="none" w:sz="0" w:space="0" w:color="auto"/>
        <w:left w:val="none" w:sz="0" w:space="0" w:color="auto"/>
        <w:bottom w:val="none" w:sz="0" w:space="0" w:color="auto"/>
        <w:right w:val="none" w:sz="0" w:space="0" w:color="auto"/>
      </w:divBdr>
    </w:div>
    <w:div w:id="1070424795">
      <w:bodyDiv w:val="1"/>
      <w:marLeft w:val="0"/>
      <w:marRight w:val="0"/>
      <w:marTop w:val="0"/>
      <w:marBottom w:val="0"/>
      <w:divBdr>
        <w:top w:val="none" w:sz="0" w:space="0" w:color="auto"/>
        <w:left w:val="none" w:sz="0" w:space="0" w:color="auto"/>
        <w:bottom w:val="none" w:sz="0" w:space="0" w:color="auto"/>
        <w:right w:val="none" w:sz="0" w:space="0" w:color="auto"/>
      </w:divBdr>
      <w:divsChild>
        <w:div w:id="1500924825">
          <w:marLeft w:val="0"/>
          <w:marRight w:val="0"/>
          <w:marTop w:val="0"/>
          <w:marBottom w:val="0"/>
          <w:divBdr>
            <w:top w:val="none" w:sz="0" w:space="0" w:color="auto"/>
            <w:left w:val="none" w:sz="0" w:space="0" w:color="auto"/>
            <w:bottom w:val="none" w:sz="0" w:space="0" w:color="auto"/>
            <w:right w:val="none" w:sz="0" w:space="0" w:color="auto"/>
          </w:divBdr>
        </w:div>
      </w:divsChild>
    </w:div>
    <w:div w:id="1073509800">
      <w:bodyDiv w:val="1"/>
      <w:marLeft w:val="0"/>
      <w:marRight w:val="0"/>
      <w:marTop w:val="0"/>
      <w:marBottom w:val="0"/>
      <w:divBdr>
        <w:top w:val="none" w:sz="0" w:space="0" w:color="auto"/>
        <w:left w:val="none" w:sz="0" w:space="0" w:color="auto"/>
        <w:bottom w:val="none" w:sz="0" w:space="0" w:color="auto"/>
        <w:right w:val="none" w:sz="0" w:space="0" w:color="auto"/>
      </w:divBdr>
    </w:div>
    <w:div w:id="1073623592">
      <w:bodyDiv w:val="1"/>
      <w:marLeft w:val="0"/>
      <w:marRight w:val="0"/>
      <w:marTop w:val="0"/>
      <w:marBottom w:val="0"/>
      <w:divBdr>
        <w:top w:val="none" w:sz="0" w:space="0" w:color="auto"/>
        <w:left w:val="none" w:sz="0" w:space="0" w:color="auto"/>
        <w:bottom w:val="none" w:sz="0" w:space="0" w:color="auto"/>
        <w:right w:val="none" w:sz="0" w:space="0" w:color="auto"/>
      </w:divBdr>
    </w:div>
    <w:div w:id="1074203797">
      <w:bodyDiv w:val="1"/>
      <w:marLeft w:val="0"/>
      <w:marRight w:val="0"/>
      <w:marTop w:val="0"/>
      <w:marBottom w:val="0"/>
      <w:divBdr>
        <w:top w:val="none" w:sz="0" w:space="0" w:color="auto"/>
        <w:left w:val="none" w:sz="0" w:space="0" w:color="auto"/>
        <w:bottom w:val="none" w:sz="0" w:space="0" w:color="auto"/>
        <w:right w:val="none" w:sz="0" w:space="0" w:color="auto"/>
      </w:divBdr>
    </w:div>
    <w:div w:id="1074619867">
      <w:bodyDiv w:val="1"/>
      <w:marLeft w:val="0"/>
      <w:marRight w:val="0"/>
      <w:marTop w:val="0"/>
      <w:marBottom w:val="0"/>
      <w:divBdr>
        <w:top w:val="none" w:sz="0" w:space="0" w:color="auto"/>
        <w:left w:val="none" w:sz="0" w:space="0" w:color="auto"/>
        <w:bottom w:val="none" w:sz="0" w:space="0" w:color="auto"/>
        <w:right w:val="none" w:sz="0" w:space="0" w:color="auto"/>
      </w:divBdr>
    </w:div>
    <w:div w:id="1077705016">
      <w:bodyDiv w:val="1"/>
      <w:marLeft w:val="0"/>
      <w:marRight w:val="0"/>
      <w:marTop w:val="0"/>
      <w:marBottom w:val="0"/>
      <w:divBdr>
        <w:top w:val="none" w:sz="0" w:space="0" w:color="auto"/>
        <w:left w:val="none" w:sz="0" w:space="0" w:color="auto"/>
        <w:bottom w:val="none" w:sz="0" w:space="0" w:color="auto"/>
        <w:right w:val="none" w:sz="0" w:space="0" w:color="auto"/>
      </w:divBdr>
    </w:div>
    <w:div w:id="1081290222">
      <w:bodyDiv w:val="1"/>
      <w:marLeft w:val="0"/>
      <w:marRight w:val="0"/>
      <w:marTop w:val="0"/>
      <w:marBottom w:val="0"/>
      <w:divBdr>
        <w:top w:val="none" w:sz="0" w:space="0" w:color="auto"/>
        <w:left w:val="none" w:sz="0" w:space="0" w:color="auto"/>
        <w:bottom w:val="none" w:sz="0" w:space="0" w:color="auto"/>
        <w:right w:val="none" w:sz="0" w:space="0" w:color="auto"/>
      </w:divBdr>
    </w:div>
    <w:div w:id="1081945072">
      <w:bodyDiv w:val="1"/>
      <w:marLeft w:val="0"/>
      <w:marRight w:val="0"/>
      <w:marTop w:val="0"/>
      <w:marBottom w:val="0"/>
      <w:divBdr>
        <w:top w:val="none" w:sz="0" w:space="0" w:color="auto"/>
        <w:left w:val="none" w:sz="0" w:space="0" w:color="auto"/>
        <w:bottom w:val="none" w:sz="0" w:space="0" w:color="auto"/>
        <w:right w:val="none" w:sz="0" w:space="0" w:color="auto"/>
      </w:divBdr>
    </w:div>
    <w:div w:id="1083378234">
      <w:bodyDiv w:val="1"/>
      <w:marLeft w:val="0"/>
      <w:marRight w:val="0"/>
      <w:marTop w:val="0"/>
      <w:marBottom w:val="0"/>
      <w:divBdr>
        <w:top w:val="none" w:sz="0" w:space="0" w:color="auto"/>
        <w:left w:val="none" w:sz="0" w:space="0" w:color="auto"/>
        <w:bottom w:val="none" w:sz="0" w:space="0" w:color="auto"/>
        <w:right w:val="none" w:sz="0" w:space="0" w:color="auto"/>
      </w:divBdr>
    </w:div>
    <w:div w:id="1085416697">
      <w:bodyDiv w:val="1"/>
      <w:marLeft w:val="0"/>
      <w:marRight w:val="0"/>
      <w:marTop w:val="0"/>
      <w:marBottom w:val="0"/>
      <w:divBdr>
        <w:top w:val="none" w:sz="0" w:space="0" w:color="auto"/>
        <w:left w:val="none" w:sz="0" w:space="0" w:color="auto"/>
        <w:bottom w:val="none" w:sz="0" w:space="0" w:color="auto"/>
        <w:right w:val="none" w:sz="0" w:space="0" w:color="auto"/>
      </w:divBdr>
    </w:div>
    <w:div w:id="1086657837">
      <w:bodyDiv w:val="1"/>
      <w:marLeft w:val="0"/>
      <w:marRight w:val="0"/>
      <w:marTop w:val="0"/>
      <w:marBottom w:val="0"/>
      <w:divBdr>
        <w:top w:val="none" w:sz="0" w:space="0" w:color="auto"/>
        <w:left w:val="none" w:sz="0" w:space="0" w:color="auto"/>
        <w:bottom w:val="none" w:sz="0" w:space="0" w:color="auto"/>
        <w:right w:val="none" w:sz="0" w:space="0" w:color="auto"/>
      </w:divBdr>
    </w:div>
    <w:div w:id="1086926910">
      <w:bodyDiv w:val="1"/>
      <w:marLeft w:val="0"/>
      <w:marRight w:val="0"/>
      <w:marTop w:val="0"/>
      <w:marBottom w:val="0"/>
      <w:divBdr>
        <w:top w:val="none" w:sz="0" w:space="0" w:color="auto"/>
        <w:left w:val="none" w:sz="0" w:space="0" w:color="auto"/>
        <w:bottom w:val="none" w:sz="0" w:space="0" w:color="auto"/>
        <w:right w:val="none" w:sz="0" w:space="0" w:color="auto"/>
      </w:divBdr>
    </w:div>
    <w:div w:id="1086993428">
      <w:bodyDiv w:val="1"/>
      <w:marLeft w:val="0"/>
      <w:marRight w:val="0"/>
      <w:marTop w:val="0"/>
      <w:marBottom w:val="0"/>
      <w:divBdr>
        <w:top w:val="none" w:sz="0" w:space="0" w:color="auto"/>
        <w:left w:val="none" w:sz="0" w:space="0" w:color="auto"/>
        <w:bottom w:val="none" w:sz="0" w:space="0" w:color="auto"/>
        <w:right w:val="none" w:sz="0" w:space="0" w:color="auto"/>
      </w:divBdr>
    </w:div>
    <w:div w:id="1087078295">
      <w:bodyDiv w:val="1"/>
      <w:marLeft w:val="0"/>
      <w:marRight w:val="0"/>
      <w:marTop w:val="0"/>
      <w:marBottom w:val="0"/>
      <w:divBdr>
        <w:top w:val="none" w:sz="0" w:space="0" w:color="auto"/>
        <w:left w:val="none" w:sz="0" w:space="0" w:color="auto"/>
        <w:bottom w:val="none" w:sz="0" w:space="0" w:color="auto"/>
        <w:right w:val="none" w:sz="0" w:space="0" w:color="auto"/>
      </w:divBdr>
    </w:div>
    <w:div w:id="1088648736">
      <w:bodyDiv w:val="1"/>
      <w:marLeft w:val="0"/>
      <w:marRight w:val="0"/>
      <w:marTop w:val="0"/>
      <w:marBottom w:val="0"/>
      <w:divBdr>
        <w:top w:val="none" w:sz="0" w:space="0" w:color="auto"/>
        <w:left w:val="none" w:sz="0" w:space="0" w:color="auto"/>
        <w:bottom w:val="none" w:sz="0" w:space="0" w:color="auto"/>
        <w:right w:val="none" w:sz="0" w:space="0" w:color="auto"/>
      </w:divBdr>
    </w:div>
    <w:div w:id="1090469706">
      <w:bodyDiv w:val="1"/>
      <w:marLeft w:val="0"/>
      <w:marRight w:val="0"/>
      <w:marTop w:val="0"/>
      <w:marBottom w:val="0"/>
      <w:divBdr>
        <w:top w:val="none" w:sz="0" w:space="0" w:color="auto"/>
        <w:left w:val="none" w:sz="0" w:space="0" w:color="auto"/>
        <w:bottom w:val="none" w:sz="0" w:space="0" w:color="auto"/>
        <w:right w:val="none" w:sz="0" w:space="0" w:color="auto"/>
      </w:divBdr>
    </w:div>
    <w:div w:id="1092048763">
      <w:bodyDiv w:val="1"/>
      <w:marLeft w:val="0"/>
      <w:marRight w:val="0"/>
      <w:marTop w:val="0"/>
      <w:marBottom w:val="0"/>
      <w:divBdr>
        <w:top w:val="none" w:sz="0" w:space="0" w:color="auto"/>
        <w:left w:val="none" w:sz="0" w:space="0" w:color="auto"/>
        <w:bottom w:val="none" w:sz="0" w:space="0" w:color="auto"/>
        <w:right w:val="none" w:sz="0" w:space="0" w:color="auto"/>
      </w:divBdr>
    </w:div>
    <w:div w:id="1092432836">
      <w:bodyDiv w:val="1"/>
      <w:marLeft w:val="0"/>
      <w:marRight w:val="0"/>
      <w:marTop w:val="0"/>
      <w:marBottom w:val="0"/>
      <w:divBdr>
        <w:top w:val="none" w:sz="0" w:space="0" w:color="auto"/>
        <w:left w:val="none" w:sz="0" w:space="0" w:color="auto"/>
        <w:bottom w:val="none" w:sz="0" w:space="0" w:color="auto"/>
        <w:right w:val="none" w:sz="0" w:space="0" w:color="auto"/>
      </w:divBdr>
    </w:div>
    <w:div w:id="1093280936">
      <w:bodyDiv w:val="1"/>
      <w:marLeft w:val="0"/>
      <w:marRight w:val="0"/>
      <w:marTop w:val="0"/>
      <w:marBottom w:val="0"/>
      <w:divBdr>
        <w:top w:val="none" w:sz="0" w:space="0" w:color="auto"/>
        <w:left w:val="none" w:sz="0" w:space="0" w:color="auto"/>
        <w:bottom w:val="none" w:sz="0" w:space="0" w:color="auto"/>
        <w:right w:val="none" w:sz="0" w:space="0" w:color="auto"/>
      </w:divBdr>
    </w:div>
    <w:div w:id="1098140161">
      <w:bodyDiv w:val="1"/>
      <w:marLeft w:val="0"/>
      <w:marRight w:val="0"/>
      <w:marTop w:val="0"/>
      <w:marBottom w:val="0"/>
      <w:divBdr>
        <w:top w:val="none" w:sz="0" w:space="0" w:color="auto"/>
        <w:left w:val="none" w:sz="0" w:space="0" w:color="auto"/>
        <w:bottom w:val="none" w:sz="0" w:space="0" w:color="auto"/>
        <w:right w:val="none" w:sz="0" w:space="0" w:color="auto"/>
      </w:divBdr>
    </w:div>
    <w:div w:id="1099594802">
      <w:bodyDiv w:val="1"/>
      <w:marLeft w:val="0"/>
      <w:marRight w:val="0"/>
      <w:marTop w:val="0"/>
      <w:marBottom w:val="0"/>
      <w:divBdr>
        <w:top w:val="none" w:sz="0" w:space="0" w:color="auto"/>
        <w:left w:val="none" w:sz="0" w:space="0" w:color="auto"/>
        <w:bottom w:val="none" w:sz="0" w:space="0" w:color="auto"/>
        <w:right w:val="none" w:sz="0" w:space="0" w:color="auto"/>
      </w:divBdr>
    </w:div>
    <w:div w:id="1100637338">
      <w:bodyDiv w:val="1"/>
      <w:marLeft w:val="0"/>
      <w:marRight w:val="0"/>
      <w:marTop w:val="0"/>
      <w:marBottom w:val="0"/>
      <w:divBdr>
        <w:top w:val="none" w:sz="0" w:space="0" w:color="auto"/>
        <w:left w:val="none" w:sz="0" w:space="0" w:color="auto"/>
        <w:bottom w:val="none" w:sz="0" w:space="0" w:color="auto"/>
        <w:right w:val="none" w:sz="0" w:space="0" w:color="auto"/>
      </w:divBdr>
    </w:div>
    <w:div w:id="1102188616">
      <w:bodyDiv w:val="1"/>
      <w:marLeft w:val="0"/>
      <w:marRight w:val="0"/>
      <w:marTop w:val="0"/>
      <w:marBottom w:val="0"/>
      <w:divBdr>
        <w:top w:val="none" w:sz="0" w:space="0" w:color="auto"/>
        <w:left w:val="none" w:sz="0" w:space="0" w:color="auto"/>
        <w:bottom w:val="none" w:sz="0" w:space="0" w:color="auto"/>
        <w:right w:val="none" w:sz="0" w:space="0" w:color="auto"/>
      </w:divBdr>
    </w:div>
    <w:div w:id="1105424592">
      <w:bodyDiv w:val="1"/>
      <w:marLeft w:val="0"/>
      <w:marRight w:val="0"/>
      <w:marTop w:val="0"/>
      <w:marBottom w:val="0"/>
      <w:divBdr>
        <w:top w:val="none" w:sz="0" w:space="0" w:color="auto"/>
        <w:left w:val="none" w:sz="0" w:space="0" w:color="auto"/>
        <w:bottom w:val="none" w:sz="0" w:space="0" w:color="auto"/>
        <w:right w:val="none" w:sz="0" w:space="0" w:color="auto"/>
      </w:divBdr>
    </w:div>
    <w:div w:id="1109200885">
      <w:bodyDiv w:val="1"/>
      <w:marLeft w:val="0"/>
      <w:marRight w:val="0"/>
      <w:marTop w:val="0"/>
      <w:marBottom w:val="0"/>
      <w:divBdr>
        <w:top w:val="none" w:sz="0" w:space="0" w:color="auto"/>
        <w:left w:val="none" w:sz="0" w:space="0" w:color="auto"/>
        <w:bottom w:val="none" w:sz="0" w:space="0" w:color="auto"/>
        <w:right w:val="none" w:sz="0" w:space="0" w:color="auto"/>
      </w:divBdr>
    </w:div>
    <w:div w:id="1111321333">
      <w:bodyDiv w:val="1"/>
      <w:marLeft w:val="0"/>
      <w:marRight w:val="0"/>
      <w:marTop w:val="0"/>
      <w:marBottom w:val="0"/>
      <w:divBdr>
        <w:top w:val="none" w:sz="0" w:space="0" w:color="auto"/>
        <w:left w:val="none" w:sz="0" w:space="0" w:color="auto"/>
        <w:bottom w:val="none" w:sz="0" w:space="0" w:color="auto"/>
        <w:right w:val="none" w:sz="0" w:space="0" w:color="auto"/>
      </w:divBdr>
    </w:div>
    <w:div w:id="1116102474">
      <w:bodyDiv w:val="1"/>
      <w:marLeft w:val="0"/>
      <w:marRight w:val="0"/>
      <w:marTop w:val="0"/>
      <w:marBottom w:val="0"/>
      <w:divBdr>
        <w:top w:val="none" w:sz="0" w:space="0" w:color="auto"/>
        <w:left w:val="none" w:sz="0" w:space="0" w:color="auto"/>
        <w:bottom w:val="none" w:sz="0" w:space="0" w:color="auto"/>
        <w:right w:val="none" w:sz="0" w:space="0" w:color="auto"/>
      </w:divBdr>
      <w:divsChild>
        <w:div w:id="341207473">
          <w:marLeft w:val="0"/>
          <w:marRight w:val="0"/>
          <w:marTop w:val="0"/>
          <w:marBottom w:val="0"/>
          <w:divBdr>
            <w:top w:val="none" w:sz="0" w:space="0" w:color="auto"/>
            <w:left w:val="none" w:sz="0" w:space="0" w:color="auto"/>
            <w:bottom w:val="none" w:sz="0" w:space="0" w:color="auto"/>
            <w:right w:val="none" w:sz="0" w:space="0" w:color="auto"/>
          </w:divBdr>
          <w:divsChild>
            <w:div w:id="633367346">
              <w:marLeft w:val="0"/>
              <w:marRight w:val="0"/>
              <w:marTop w:val="0"/>
              <w:marBottom w:val="0"/>
              <w:divBdr>
                <w:top w:val="none" w:sz="0" w:space="0" w:color="auto"/>
                <w:left w:val="none" w:sz="0" w:space="0" w:color="auto"/>
                <w:bottom w:val="none" w:sz="0" w:space="0" w:color="auto"/>
                <w:right w:val="none" w:sz="0" w:space="0" w:color="auto"/>
              </w:divBdr>
              <w:divsChild>
                <w:div w:id="201857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09499">
          <w:marLeft w:val="0"/>
          <w:marRight w:val="0"/>
          <w:marTop w:val="0"/>
          <w:marBottom w:val="0"/>
          <w:divBdr>
            <w:top w:val="none" w:sz="0" w:space="0" w:color="auto"/>
            <w:left w:val="none" w:sz="0" w:space="0" w:color="auto"/>
            <w:bottom w:val="none" w:sz="0" w:space="0" w:color="auto"/>
            <w:right w:val="none" w:sz="0" w:space="0" w:color="auto"/>
          </w:divBdr>
        </w:div>
      </w:divsChild>
    </w:div>
    <w:div w:id="1120685110">
      <w:bodyDiv w:val="1"/>
      <w:marLeft w:val="0"/>
      <w:marRight w:val="0"/>
      <w:marTop w:val="0"/>
      <w:marBottom w:val="0"/>
      <w:divBdr>
        <w:top w:val="none" w:sz="0" w:space="0" w:color="auto"/>
        <w:left w:val="none" w:sz="0" w:space="0" w:color="auto"/>
        <w:bottom w:val="none" w:sz="0" w:space="0" w:color="auto"/>
        <w:right w:val="none" w:sz="0" w:space="0" w:color="auto"/>
      </w:divBdr>
    </w:div>
    <w:div w:id="1122967215">
      <w:bodyDiv w:val="1"/>
      <w:marLeft w:val="0"/>
      <w:marRight w:val="0"/>
      <w:marTop w:val="0"/>
      <w:marBottom w:val="0"/>
      <w:divBdr>
        <w:top w:val="none" w:sz="0" w:space="0" w:color="auto"/>
        <w:left w:val="none" w:sz="0" w:space="0" w:color="auto"/>
        <w:bottom w:val="none" w:sz="0" w:space="0" w:color="auto"/>
        <w:right w:val="none" w:sz="0" w:space="0" w:color="auto"/>
      </w:divBdr>
    </w:div>
    <w:div w:id="1123495442">
      <w:bodyDiv w:val="1"/>
      <w:marLeft w:val="0"/>
      <w:marRight w:val="0"/>
      <w:marTop w:val="0"/>
      <w:marBottom w:val="0"/>
      <w:divBdr>
        <w:top w:val="none" w:sz="0" w:space="0" w:color="auto"/>
        <w:left w:val="none" w:sz="0" w:space="0" w:color="auto"/>
        <w:bottom w:val="none" w:sz="0" w:space="0" w:color="auto"/>
        <w:right w:val="none" w:sz="0" w:space="0" w:color="auto"/>
      </w:divBdr>
    </w:div>
    <w:div w:id="1126121228">
      <w:bodyDiv w:val="1"/>
      <w:marLeft w:val="0"/>
      <w:marRight w:val="0"/>
      <w:marTop w:val="0"/>
      <w:marBottom w:val="0"/>
      <w:divBdr>
        <w:top w:val="none" w:sz="0" w:space="0" w:color="auto"/>
        <w:left w:val="none" w:sz="0" w:space="0" w:color="auto"/>
        <w:bottom w:val="none" w:sz="0" w:space="0" w:color="auto"/>
        <w:right w:val="none" w:sz="0" w:space="0" w:color="auto"/>
      </w:divBdr>
    </w:div>
    <w:div w:id="1126895789">
      <w:bodyDiv w:val="1"/>
      <w:marLeft w:val="0"/>
      <w:marRight w:val="0"/>
      <w:marTop w:val="0"/>
      <w:marBottom w:val="0"/>
      <w:divBdr>
        <w:top w:val="none" w:sz="0" w:space="0" w:color="auto"/>
        <w:left w:val="none" w:sz="0" w:space="0" w:color="auto"/>
        <w:bottom w:val="none" w:sz="0" w:space="0" w:color="auto"/>
        <w:right w:val="none" w:sz="0" w:space="0" w:color="auto"/>
      </w:divBdr>
    </w:div>
    <w:div w:id="1129279407">
      <w:bodyDiv w:val="1"/>
      <w:marLeft w:val="0"/>
      <w:marRight w:val="0"/>
      <w:marTop w:val="0"/>
      <w:marBottom w:val="0"/>
      <w:divBdr>
        <w:top w:val="none" w:sz="0" w:space="0" w:color="auto"/>
        <w:left w:val="none" w:sz="0" w:space="0" w:color="auto"/>
        <w:bottom w:val="none" w:sz="0" w:space="0" w:color="auto"/>
        <w:right w:val="none" w:sz="0" w:space="0" w:color="auto"/>
      </w:divBdr>
    </w:div>
    <w:div w:id="1129930344">
      <w:bodyDiv w:val="1"/>
      <w:marLeft w:val="0"/>
      <w:marRight w:val="0"/>
      <w:marTop w:val="0"/>
      <w:marBottom w:val="0"/>
      <w:divBdr>
        <w:top w:val="none" w:sz="0" w:space="0" w:color="auto"/>
        <w:left w:val="none" w:sz="0" w:space="0" w:color="auto"/>
        <w:bottom w:val="none" w:sz="0" w:space="0" w:color="auto"/>
        <w:right w:val="none" w:sz="0" w:space="0" w:color="auto"/>
      </w:divBdr>
    </w:div>
    <w:div w:id="1132479019">
      <w:bodyDiv w:val="1"/>
      <w:marLeft w:val="0"/>
      <w:marRight w:val="0"/>
      <w:marTop w:val="0"/>
      <w:marBottom w:val="0"/>
      <w:divBdr>
        <w:top w:val="none" w:sz="0" w:space="0" w:color="auto"/>
        <w:left w:val="none" w:sz="0" w:space="0" w:color="auto"/>
        <w:bottom w:val="none" w:sz="0" w:space="0" w:color="auto"/>
        <w:right w:val="none" w:sz="0" w:space="0" w:color="auto"/>
      </w:divBdr>
    </w:div>
    <w:div w:id="1135414923">
      <w:bodyDiv w:val="1"/>
      <w:marLeft w:val="0"/>
      <w:marRight w:val="0"/>
      <w:marTop w:val="0"/>
      <w:marBottom w:val="0"/>
      <w:divBdr>
        <w:top w:val="none" w:sz="0" w:space="0" w:color="auto"/>
        <w:left w:val="none" w:sz="0" w:space="0" w:color="auto"/>
        <w:bottom w:val="none" w:sz="0" w:space="0" w:color="auto"/>
        <w:right w:val="none" w:sz="0" w:space="0" w:color="auto"/>
      </w:divBdr>
      <w:divsChild>
        <w:div w:id="657459696">
          <w:marLeft w:val="0"/>
          <w:marRight w:val="0"/>
          <w:marTop w:val="0"/>
          <w:marBottom w:val="0"/>
          <w:divBdr>
            <w:top w:val="none" w:sz="0" w:space="0" w:color="auto"/>
            <w:left w:val="none" w:sz="0" w:space="0" w:color="auto"/>
            <w:bottom w:val="none" w:sz="0" w:space="0" w:color="auto"/>
            <w:right w:val="none" w:sz="0" w:space="0" w:color="auto"/>
          </w:divBdr>
        </w:div>
        <w:div w:id="712340404">
          <w:marLeft w:val="0"/>
          <w:marRight w:val="0"/>
          <w:marTop w:val="0"/>
          <w:marBottom w:val="0"/>
          <w:divBdr>
            <w:top w:val="none" w:sz="0" w:space="0" w:color="auto"/>
            <w:left w:val="none" w:sz="0" w:space="0" w:color="auto"/>
            <w:bottom w:val="none" w:sz="0" w:space="0" w:color="auto"/>
            <w:right w:val="none" w:sz="0" w:space="0" w:color="auto"/>
          </w:divBdr>
        </w:div>
        <w:div w:id="1079250913">
          <w:marLeft w:val="0"/>
          <w:marRight w:val="0"/>
          <w:marTop w:val="0"/>
          <w:marBottom w:val="0"/>
          <w:divBdr>
            <w:top w:val="none" w:sz="0" w:space="0" w:color="auto"/>
            <w:left w:val="none" w:sz="0" w:space="0" w:color="auto"/>
            <w:bottom w:val="none" w:sz="0" w:space="0" w:color="auto"/>
            <w:right w:val="none" w:sz="0" w:space="0" w:color="auto"/>
          </w:divBdr>
        </w:div>
        <w:div w:id="1718314423">
          <w:marLeft w:val="0"/>
          <w:marRight w:val="0"/>
          <w:marTop w:val="0"/>
          <w:marBottom w:val="0"/>
          <w:divBdr>
            <w:top w:val="none" w:sz="0" w:space="0" w:color="auto"/>
            <w:left w:val="none" w:sz="0" w:space="0" w:color="auto"/>
            <w:bottom w:val="none" w:sz="0" w:space="0" w:color="auto"/>
            <w:right w:val="none" w:sz="0" w:space="0" w:color="auto"/>
          </w:divBdr>
        </w:div>
        <w:div w:id="1946300497">
          <w:marLeft w:val="0"/>
          <w:marRight w:val="0"/>
          <w:marTop w:val="0"/>
          <w:marBottom w:val="0"/>
          <w:divBdr>
            <w:top w:val="none" w:sz="0" w:space="0" w:color="auto"/>
            <w:left w:val="none" w:sz="0" w:space="0" w:color="auto"/>
            <w:bottom w:val="none" w:sz="0" w:space="0" w:color="auto"/>
            <w:right w:val="none" w:sz="0" w:space="0" w:color="auto"/>
          </w:divBdr>
        </w:div>
      </w:divsChild>
    </w:div>
    <w:div w:id="1136215433">
      <w:bodyDiv w:val="1"/>
      <w:marLeft w:val="0"/>
      <w:marRight w:val="0"/>
      <w:marTop w:val="0"/>
      <w:marBottom w:val="0"/>
      <w:divBdr>
        <w:top w:val="none" w:sz="0" w:space="0" w:color="auto"/>
        <w:left w:val="none" w:sz="0" w:space="0" w:color="auto"/>
        <w:bottom w:val="none" w:sz="0" w:space="0" w:color="auto"/>
        <w:right w:val="none" w:sz="0" w:space="0" w:color="auto"/>
      </w:divBdr>
    </w:div>
    <w:div w:id="1137333126">
      <w:bodyDiv w:val="1"/>
      <w:marLeft w:val="0"/>
      <w:marRight w:val="0"/>
      <w:marTop w:val="0"/>
      <w:marBottom w:val="0"/>
      <w:divBdr>
        <w:top w:val="none" w:sz="0" w:space="0" w:color="auto"/>
        <w:left w:val="none" w:sz="0" w:space="0" w:color="auto"/>
        <w:bottom w:val="none" w:sz="0" w:space="0" w:color="auto"/>
        <w:right w:val="none" w:sz="0" w:space="0" w:color="auto"/>
      </w:divBdr>
    </w:div>
    <w:div w:id="1137407963">
      <w:bodyDiv w:val="1"/>
      <w:marLeft w:val="0"/>
      <w:marRight w:val="0"/>
      <w:marTop w:val="0"/>
      <w:marBottom w:val="0"/>
      <w:divBdr>
        <w:top w:val="none" w:sz="0" w:space="0" w:color="auto"/>
        <w:left w:val="none" w:sz="0" w:space="0" w:color="auto"/>
        <w:bottom w:val="none" w:sz="0" w:space="0" w:color="auto"/>
        <w:right w:val="none" w:sz="0" w:space="0" w:color="auto"/>
      </w:divBdr>
    </w:div>
    <w:div w:id="1138373230">
      <w:bodyDiv w:val="1"/>
      <w:marLeft w:val="0"/>
      <w:marRight w:val="0"/>
      <w:marTop w:val="0"/>
      <w:marBottom w:val="0"/>
      <w:divBdr>
        <w:top w:val="none" w:sz="0" w:space="0" w:color="auto"/>
        <w:left w:val="none" w:sz="0" w:space="0" w:color="auto"/>
        <w:bottom w:val="none" w:sz="0" w:space="0" w:color="auto"/>
        <w:right w:val="none" w:sz="0" w:space="0" w:color="auto"/>
      </w:divBdr>
    </w:div>
    <w:div w:id="1141773032">
      <w:bodyDiv w:val="1"/>
      <w:marLeft w:val="0"/>
      <w:marRight w:val="0"/>
      <w:marTop w:val="0"/>
      <w:marBottom w:val="0"/>
      <w:divBdr>
        <w:top w:val="none" w:sz="0" w:space="0" w:color="auto"/>
        <w:left w:val="none" w:sz="0" w:space="0" w:color="auto"/>
        <w:bottom w:val="none" w:sz="0" w:space="0" w:color="auto"/>
        <w:right w:val="none" w:sz="0" w:space="0" w:color="auto"/>
      </w:divBdr>
    </w:div>
    <w:div w:id="1146123409">
      <w:bodyDiv w:val="1"/>
      <w:marLeft w:val="0"/>
      <w:marRight w:val="0"/>
      <w:marTop w:val="0"/>
      <w:marBottom w:val="0"/>
      <w:divBdr>
        <w:top w:val="none" w:sz="0" w:space="0" w:color="auto"/>
        <w:left w:val="none" w:sz="0" w:space="0" w:color="auto"/>
        <w:bottom w:val="none" w:sz="0" w:space="0" w:color="auto"/>
        <w:right w:val="none" w:sz="0" w:space="0" w:color="auto"/>
      </w:divBdr>
    </w:div>
    <w:div w:id="1146438393">
      <w:bodyDiv w:val="1"/>
      <w:marLeft w:val="0"/>
      <w:marRight w:val="0"/>
      <w:marTop w:val="0"/>
      <w:marBottom w:val="0"/>
      <w:divBdr>
        <w:top w:val="none" w:sz="0" w:space="0" w:color="auto"/>
        <w:left w:val="none" w:sz="0" w:space="0" w:color="auto"/>
        <w:bottom w:val="none" w:sz="0" w:space="0" w:color="auto"/>
        <w:right w:val="none" w:sz="0" w:space="0" w:color="auto"/>
      </w:divBdr>
    </w:div>
    <w:div w:id="1147551882">
      <w:bodyDiv w:val="1"/>
      <w:marLeft w:val="0"/>
      <w:marRight w:val="0"/>
      <w:marTop w:val="0"/>
      <w:marBottom w:val="0"/>
      <w:divBdr>
        <w:top w:val="none" w:sz="0" w:space="0" w:color="auto"/>
        <w:left w:val="none" w:sz="0" w:space="0" w:color="auto"/>
        <w:bottom w:val="none" w:sz="0" w:space="0" w:color="auto"/>
        <w:right w:val="none" w:sz="0" w:space="0" w:color="auto"/>
      </w:divBdr>
    </w:div>
    <w:div w:id="1149857555">
      <w:bodyDiv w:val="1"/>
      <w:marLeft w:val="0"/>
      <w:marRight w:val="0"/>
      <w:marTop w:val="0"/>
      <w:marBottom w:val="0"/>
      <w:divBdr>
        <w:top w:val="none" w:sz="0" w:space="0" w:color="auto"/>
        <w:left w:val="none" w:sz="0" w:space="0" w:color="auto"/>
        <w:bottom w:val="none" w:sz="0" w:space="0" w:color="auto"/>
        <w:right w:val="none" w:sz="0" w:space="0" w:color="auto"/>
      </w:divBdr>
    </w:div>
    <w:div w:id="1150101932">
      <w:bodyDiv w:val="1"/>
      <w:marLeft w:val="0"/>
      <w:marRight w:val="0"/>
      <w:marTop w:val="0"/>
      <w:marBottom w:val="0"/>
      <w:divBdr>
        <w:top w:val="none" w:sz="0" w:space="0" w:color="auto"/>
        <w:left w:val="none" w:sz="0" w:space="0" w:color="auto"/>
        <w:bottom w:val="none" w:sz="0" w:space="0" w:color="auto"/>
        <w:right w:val="none" w:sz="0" w:space="0" w:color="auto"/>
      </w:divBdr>
    </w:div>
    <w:div w:id="1150177066">
      <w:bodyDiv w:val="1"/>
      <w:marLeft w:val="0"/>
      <w:marRight w:val="0"/>
      <w:marTop w:val="0"/>
      <w:marBottom w:val="0"/>
      <w:divBdr>
        <w:top w:val="none" w:sz="0" w:space="0" w:color="auto"/>
        <w:left w:val="none" w:sz="0" w:space="0" w:color="auto"/>
        <w:bottom w:val="none" w:sz="0" w:space="0" w:color="auto"/>
        <w:right w:val="none" w:sz="0" w:space="0" w:color="auto"/>
      </w:divBdr>
    </w:div>
    <w:div w:id="1152480394">
      <w:bodyDiv w:val="1"/>
      <w:marLeft w:val="0"/>
      <w:marRight w:val="0"/>
      <w:marTop w:val="0"/>
      <w:marBottom w:val="0"/>
      <w:divBdr>
        <w:top w:val="none" w:sz="0" w:space="0" w:color="auto"/>
        <w:left w:val="none" w:sz="0" w:space="0" w:color="auto"/>
        <w:bottom w:val="none" w:sz="0" w:space="0" w:color="auto"/>
        <w:right w:val="none" w:sz="0" w:space="0" w:color="auto"/>
      </w:divBdr>
    </w:div>
    <w:div w:id="1154293349">
      <w:bodyDiv w:val="1"/>
      <w:marLeft w:val="0"/>
      <w:marRight w:val="0"/>
      <w:marTop w:val="0"/>
      <w:marBottom w:val="0"/>
      <w:divBdr>
        <w:top w:val="none" w:sz="0" w:space="0" w:color="auto"/>
        <w:left w:val="none" w:sz="0" w:space="0" w:color="auto"/>
        <w:bottom w:val="none" w:sz="0" w:space="0" w:color="auto"/>
        <w:right w:val="none" w:sz="0" w:space="0" w:color="auto"/>
      </w:divBdr>
      <w:divsChild>
        <w:div w:id="7997355">
          <w:marLeft w:val="0"/>
          <w:marRight w:val="0"/>
          <w:marTop w:val="0"/>
          <w:marBottom w:val="0"/>
          <w:divBdr>
            <w:top w:val="none" w:sz="0" w:space="0" w:color="auto"/>
            <w:left w:val="none" w:sz="0" w:space="0" w:color="auto"/>
            <w:bottom w:val="none" w:sz="0" w:space="0" w:color="auto"/>
            <w:right w:val="none" w:sz="0" w:space="0" w:color="auto"/>
          </w:divBdr>
        </w:div>
        <w:div w:id="35013864">
          <w:marLeft w:val="0"/>
          <w:marRight w:val="0"/>
          <w:marTop w:val="0"/>
          <w:marBottom w:val="0"/>
          <w:divBdr>
            <w:top w:val="none" w:sz="0" w:space="0" w:color="auto"/>
            <w:left w:val="none" w:sz="0" w:space="0" w:color="auto"/>
            <w:bottom w:val="none" w:sz="0" w:space="0" w:color="auto"/>
            <w:right w:val="none" w:sz="0" w:space="0" w:color="auto"/>
          </w:divBdr>
        </w:div>
        <w:div w:id="36272917">
          <w:marLeft w:val="0"/>
          <w:marRight w:val="0"/>
          <w:marTop w:val="0"/>
          <w:marBottom w:val="0"/>
          <w:divBdr>
            <w:top w:val="none" w:sz="0" w:space="0" w:color="auto"/>
            <w:left w:val="none" w:sz="0" w:space="0" w:color="auto"/>
            <w:bottom w:val="none" w:sz="0" w:space="0" w:color="auto"/>
            <w:right w:val="none" w:sz="0" w:space="0" w:color="auto"/>
          </w:divBdr>
        </w:div>
        <w:div w:id="74939956">
          <w:marLeft w:val="0"/>
          <w:marRight w:val="0"/>
          <w:marTop w:val="0"/>
          <w:marBottom w:val="0"/>
          <w:divBdr>
            <w:top w:val="none" w:sz="0" w:space="0" w:color="auto"/>
            <w:left w:val="none" w:sz="0" w:space="0" w:color="auto"/>
            <w:bottom w:val="none" w:sz="0" w:space="0" w:color="auto"/>
            <w:right w:val="none" w:sz="0" w:space="0" w:color="auto"/>
          </w:divBdr>
        </w:div>
        <w:div w:id="78524893">
          <w:marLeft w:val="0"/>
          <w:marRight w:val="0"/>
          <w:marTop w:val="0"/>
          <w:marBottom w:val="0"/>
          <w:divBdr>
            <w:top w:val="none" w:sz="0" w:space="0" w:color="auto"/>
            <w:left w:val="none" w:sz="0" w:space="0" w:color="auto"/>
            <w:bottom w:val="none" w:sz="0" w:space="0" w:color="auto"/>
            <w:right w:val="none" w:sz="0" w:space="0" w:color="auto"/>
          </w:divBdr>
        </w:div>
        <w:div w:id="82722301">
          <w:marLeft w:val="0"/>
          <w:marRight w:val="0"/>
          <w:marTop w:val="0"/>
          <w:marBottom w:val="0"/>
          <w:divBdr>
            <w:top w:val="none" w:sz="0" w:space="0" w:color="auto"/>
            <w:left w:val="none" w:sz="0" w:space="0" w:color="auto"/>
            <w:bottom w:val="none" w:sz="0" w:space="0" w:color="auto"/>
            <w:right w:val="none" w:sz="0" w:space="0" w:color="auto"/>
          </w:divBdr>
        </w:div>
        <w:div w:id="107969512">
          <w:marLeft w:val="0"/>
          <w:marRight w:val="0"/>
          <w:marTop w:val="0"/>
          <w:marBottom w:val="0"/>
          <w:divBdr>
            <w:top w:val="none" w:sz="0" w:space="0" w:color="auto"/>
            <w:left w:val="none" w:sz="0" w:space="0" w:color="auto"/>
            <w:bottom w:val="none" w:sz="0" w:space="0" w:color="auto"/>
            <w:right w:val="none" w:sz="0" w:space="0" w:color="auto"/>
          </w:divBdr>
        </w:div>
        <w:div w:id="126049479">
          <w:marLeft w:val="0"/>
          <w:marRight w:val="0"/>
          <w:marTop w:val="0"/>
          <w:marBottom w:val="0"/>
          <w:divBdr>
            <w:top w:val="none" w:sz="0" w:space="0" w:color="auto"/>
            <w:left w:val="none" w:sz="0" w:space="0" w:color="auto"/>
            <w:bottom w:val="none" w:sz="0" w:space="0" w:color="auto"/>
            <w:right w:val="none" w:sz="0" w:space="0" w:color="auto"/>
          </w:divBdr>
        </w:div>
        <w:div w:id="154614498">
          <w:marLeft w:val="0"/>
          <w:marRight w:val="0"/>
          <w:marTop w:val="0"/>
          <w:marBottom w:val="0"/>
          <w:divBdr>
            <w:top w:val="none" w:sz="0" w:space="0" w:color="auto"/>
            <w:left w:val="none" w:sz="0" w:space="0" w:color="auto"/>
            <w:bottom w:val="none" w:sz="0" w:space="0" w:color="auto"/>
            <w:right w:val="none" w:sz="0" w:space="0" w:color="auto"/>
          </w:divBdr>
        </w:div>
        <w:div w:id="157431142">
          <w:marLeft w:val="0"/>
          <w:marRight w:val="0"/>
          <w:marTop w:val="0"/>
          <w:marBottom w:val="0"/>
          <w:divBdr>
            <w:top w:val="none" w:sz="0" w:space="0" w:color="auto"/>
            <w:left w:val="none" w:sz="0" w:space="0" w:color="auto"/>
            <w:bottom w:val="none" w:sz="0" w:space="0" w:color="auto"/>
            <w:right w:val="none" w:sz="0" w:space="0" w:color="auto"/>
          </w:divBdr>
        </w:div>
        <w:div w:id="157504795">
          <w:marLeft w:val="0"/>
          <w:marRight w:val="0"/>
          <w:marTop w:val="0"/>
          <w:marBottom w:val="0"/>
          <w:divBdr>
            <w:top w:val="none" w:sz="0" w:space="0" w:color="auto"/>
            <w:left w:val="none" w:sz="0" w:space="0" w:color="auto"/>
            <w:bottom w:val="none" w:sz="0" w:space="0" w:color="auto"/>
            <w:right w:val="none" w:sz="0" w:space="0" w:color="auto"/>
          </w:divBdr>
        </w:div>
        <w:div w:id="158812471">
          <w:marLeft w:val="0"/>
          <w:marRight w:val="0"/>
          <w:marTop w:val="0"/>
          <w:marBottom w:val="0"/>
          <w:divBdr>
            <w:top w:val="none" w:sz="0" w:space="0" w:color="auto"/>
            <w:left w:val="none" w:sz="0" w:space="0" w:color="auto"/>
            <w:bottom w:val="none" w:sz="0" w:space="0" w:color="auto"/>
            <w:right w:val="none" w:sz="0" w:space="0" w:color="auto"/>
          </w:divBdr>
        </w:div>
        <w:div w:id="163129694">
          <w:marLeft w:val="0"/>
          <w:marRight w:val="0"/>
          <w:marTop w:val="0"/>
          <w:marBottom w:val="0"/>
          <w:divBdr>
            <w:top w:val="none" w:sz="0" w:space="0" w:color="auto"/>
            <w:left w:val="none" w:sz="0" w:space="0" w:color="auto"/>
            <w:bottom w:val="none" w:sz="0" w:space="0" w:color="auto"/>
            <w:right w:val="none" w:sz="0" w:space="0" w:color="auto"/>
          </w:divBdr>
        </w:div>
        <w:div w:id="171535718">
          <w:marLeft w:val="0"/>
          <w:marRight w:val="0"/>
          <w:marTop w:val="0"/>
          <w:marBottom w:val="0"/>
          <w:divBdr>
            <w:top w:val="none" w:sz="0" w:space="0" w:color="auto"/>
            <w:left w:val="none" w:sz="0" w:space="0" w:color="auto"/>
            <w:bottom w:val="none" w:sz="0" w:space="0" w:color="auto"/>
            <w:right w:val="none" w:sz="0" w:space="0" w:color="auto"/>
          </w:divBdr>
        </w:div>
        <w:div w:id="173805880">
          <w:marLeft w:val="0"/>
          <w:marRight w:val="0"/>
          <w:marTop w:val="0"/>
          <w:marBottom w:val="0"/>
          <w:divBdr>
            <w:top w:val="none" w:sz="0" w:space="0" w:color="auto"/>
            <w:left w:val="none" w:sz="0" w:space="0" w:color="auto"/>
            <w:bottom w:val="none" w:sz="0" w:space="0" w:color="auto"/>
            <w:right w:val="none" w:sz="0" w:space="0" w:color="auto"/>
          </w:divBdr>
        </w:div>
        <w:div w:id="174729798">
          <w:marLeft w:val="0"/>
          <w:marRight w:val="0"/>
          <w:marTop w:val="0"/>
          <w:marBottom w:val="0"/>
          <w:divBdr>
            <w:top w:val="none" w:sz="0" w:space="0" w:color="auto"/>
            <w:left w:val="none" w:sz="0" w:space="0" w:color="auto"/>
            <w:bottom w:val="none" w:sz="0" w:space="0" w:color="auto"/>
            <w:right w:val="none" w:sz="0" w:space="0" w:color="auto"/>
          </w:divBdr>
        </w:div>
        <w:div w:id="198668276">
          <w:marLeft w:val="0"/>
          <w:marRight w:val="0"/>
          <w:marTop w:val="0"/>
          <w:marBottom w:val="0"/>
          <w:divBdr>
            <w:top w:val="none" w:sz="0" w:space="0" w:color="auto"/>
            <w:left w:val="none" w:sz="0" w:space="0" w:color="auto"/>
            <w:bottom w:val="none" w:sz="0" w:space="0" w:color="auto"/>
            <w:right w:val="none" w:sz="0" w:space="0" w:color="auto"/>
          </w:divBdr>
        </w:div>
        <w:div w:id="224951991">
          <w:marLeft w:val="0"/>
          <w:marRight w:val="0"/>
          <w:marTop w:val="0"/>
          <w:marBottom w:val="0"/>
          <w:divBdr>
            <w:top w:val="none" w:sz="0" w:space="0" w:color="auto"/>
            <w:left w:val="none" w:sz="0" w:space="0" w:color="auto"/>
            <w:bottom w:val="none" w:sz="0" w:space="0" w:color="auto"/>
            <w:right w:val="none" w:sz="0" w:space="0" w:color="auto"/>
          </w:divBdr>
        </w:div>
        <w:div w:id="230238581">
          <w:marLeft w:val="0"/>
          <w:marRight w:val="0"/>
          <w:marTop w:val="0"/>
          <w:marBottom w:val="0"/>
          <w:divBdr>
            <w:top w:val="none" w:sz="0" w:space="0" w:color="auto"/>
            <w:left w:val="none" w:sz="0" w:space="0" w:color="auto"/>
            <w:bottom w:val="none" w:sz="0" w:space="0" w:color="auto"/>
            <w:right w:val="none" w:sz="0" w:space="0" w:color="auto"/>
          </w:divBdr>
        </w:div>
        <w:div w:id="239869061">
          <w:marLeft w:val="0"/>
          <w:marRight w:val="0"/>
          <w:marTop w:val="0"/>
          <w:marBottom w:val="0"/>
          <w:divBdr>
            <w:top w:val="none" w:sz="0" w:space="0" w:color="auto"/>
            <w:left w:val="none" w:sz="0" w:space="0" w:color="auto"/>
            <w:bottom w:val="none" w:sz="0" w:space="0" w:color="auto"/>
            <w:right w:val="none" w:sz="0" w:space="0" w:color="auto"/>
          </w:divBdr>
        </w:div>
        <w:div w:id="258801697">
          <w:marLeft w:val="0"/>
          <w:marRight w:val="0"/>
          <w:marTop w:val="0"/>
          <w:marBottom w:val="0"/>
          <w:divBdr>
            <w:top w:val="none" w:sz="0" w:space="0" w:color="auto"/>
            <w:left w:val="none" w:sz="0" w:space="0" w:color="auto"/>
            <w:bottom w:val="none" w:sz="0" w:space="0" w:color="auto"/>
            <w:right w:val="none" w:sz="0" w:space="0" w:color="auto"/>
          </w:divBdr>
        </w:div>
        <w:div w:id="315031798">
          <w:marLeft w:val="0"/>
          <w:marRight w:val="0"/>
          <w:marTop w:val="0"/>
          <w:marBottom w:val="0"/>
          <w:divBdr>
            <w:top w:val="none" w:sz="0" w:space="0" w:color="auto"/>
            <w:left w:val="none" w:sz="0" w:space="0" w:color="auto"/>
            <w:bottom w:val="none" w:sz="0" w:space="0" w:color="auto"/>
            <w:right w:val="none" w:sz="0" w:space="0" w:color="auto"/>
          </w:divBdr>
        </w:div>
        <w:div w:id="331837948">
          <w:marLeft w:val="0"/>
          <w:marRight w:val="0"/>
          <w:marTop w:val="0"/>
          <w:marBottom w:val="0"/>
          <w:divBdr>
            <w:top w:val="none" w:sz="0" w:space="0" w:color="auto"/>
            <w:left w:val="none" w:sz="0" w:space="0" w:color="auto"/>
            <w:bottom w:val="none" w:sz="0" w:space="0" w:color="auto"/>
            <w:right w:val="none" w:sz="0" w:space="0" w:color="auto"/>
          </w:divBdr>
        </w:div>
        <w:div w:id="334848000">
          <w:marLeft w:val="0"/>
          <w:marRight w:val="0"/>
          <w:marTop w:val="0"/>
          <w:marBottom w:val="0"/>
          <w:divBdr>
            <w:top w:val="none" w:sz="0" w:space="0" w:color="auto"/>
            <w:left w:val="none" w:sz="0" w:space="0" w:color="auto"/>
            <w:bottom w:val="none" w:sz="0" w:space="0" w:color="auto"/>
            <w:right w:val="none" w:sz="0" w:space="0" w:color="auto"/>
          </w:divBdr>
        </w:div>
        <w:div w:id="357051024">
          <w:marLeft w:val="0"/>
          <w:marRight w:val="0"/>
          <w:marTop w:val="0"/>
          <w:marBottom w:val="0"/>
          <w:divBdr>
            <w:top w:val="none" w:sz="0" w:space="0" w:color="auto"/>
            <w:left w:val="none" w:sz="0" w:space="0" w:color="auto"/>
            <w:bottom w:val="none" w:sz="0" w:space="0" w:color="auto"/>
            <w:right w:val="none" w:sz="0" w:space="0" w:color="auto"/>
          </w:divBdr>
        </w:div>
        <w:div w:id="366413052">
          <w:marLeft w:val="0"/>
          <w:marRight w:val="0"/>
          <w:marTop w:val="0"/>
          <w:marBottom w:val="0"/>
          <w:divBdr>
            <w:top w:val="none" w:sz="0" w:space="0" w:color="auto"/>
            <w:left w:val="none" w:sz="0" w:space="0" w:color="auto"/>
            <w:bottom w:val="none" w:sz="0" w:space="0" w:color="auto"/>
            <w:right w:val="none" w:sz="0" w:space="0" w:color="auto"/>
          </w:divBdr>
        </w:div>
        <w:div w:id="390538165">
          <w:marLeft w:val="0"/>
          <w:marRight w:val="0"/>
          <w:marTop w:val="0"/>
          <w:marBottom w:val="0"/>
          <w:divBdr>
            <w:top w:val="none" w:sz="0" w:space="0" w:color="auto"/>
            <w:left w:val="none" w:sz="0" w:space="0" w:color="auto"/>
            <w:bottom w:val="none" w:sz="0" w:space="0" w:color="auto"/>
            <w:right w:val="none" w:sz="0" w:space="0" w:color="auto"/>
          </w:divBdr>
        </w:div>
        <w:div w:id="398133229">
          <w:marLeft w:val="0"/>
          <w:marRight w:val="0"/>
          <w:marTop w:val="0"/>
          <w:marBottom w:val="0"/>
          <w:divBdr>
            <w:top w:val="none" w:sz="0" w:space="0" w:color="auto"/>
            <w:left w:val="none" w:sz="0" w:space="0" w:color="auto"/>
            <w:bottom w:val="none" w:sz="0" w:space="0" w:color="auto"/>
            <w:right w:val="none" w:sz="0" w:space="0" w:color="auto"/>
          </w:divBdr>
        </w:div>
        <w:div w:id="403533587">
          <w:marLeft w:val="0"/>
          <w:marRight w:val="0"/>
          <w:marTop w:val="0"/>
          <w:marBottom w:val="0"/>
          <w:divBdr>
            <w:top w:val="none" w:sz="0" w:space="0" w:color="auto"/>
            <w:left w:val="none" w:sz="0" w:space="0" w:color="auto"/>
            <w:bottom w:val="none" w:sz="0" w:space="0" w:color="auto"/>
            <w:right w:val="none" w:sz="0" w:space="0" w:color="auto"/>
          </w:divBdr>
        </w:div>
        <w:div w:id="429207134">
          <w:marLeft w:val="0"/>
          <w:marRight w:val="0"/>
          <w:marTop w:val="0"/>
          <w:marBottom w:val="0"/>
          <w:divBdr>
            <w:top w:val="none" w:sz="0" w:space="0" w:color="auto"/>
            <w:left w:val="none" w:sz="0" w:space="0" w:color="auto"/>
            <w:bottom w:val="none" w:sz="0" w:space="0" w:color="auto"/>
            <w:right w:val="none" w:sz="0" w:space="0" w:color="auto"/>
          </w:divBdr>
        </w:div>
        <w:div w:id="429737748">
          <w:marLeft w:val="0"/>
          <w:marRight w:val="0"/>
          <w:marTop w:val="0"/>
          <w:marBottom w:val="0"/>
          <w:divBdr>
            <w:top w:val="none" w:sz="0" w:space="0" w:color="auto"/>
            <w:left w:val="none" w:sz="0" w:space="0" w:color="auto"/>
            <w:bottom w:val="none" w:sz="0" w:space="0" w:color="auto"/>
            <w:right w:val="none" w:sz="0" w:space="0" w:color="auto"/>
          </w:divBdr>
        </w:div>
        <w:div w:id="443618559">
          <w:marLeft w:val="0"/>
          <w:marRight w:val="0"/>
          <w:marTop w:val="0"/>
          <w:marBottom w:val="0"/>
          <w:divBdr>
            <w:top w:val="none" w:sz="0" w:space="0" w:color="auto"/>
            <w:left w:val="none" w:sz="0" w:space="0" w:color="auto"/>
            <w:bottom w:val="none" w:sz="0" w:space="0" w:color="auto"/>
            <w:right w:val="none" w:sz="0" w:space="0" w:color="auto"/>
          </w:divBdr>
        </w:div>
        <w:div w:id="448276702">
          <w:marLeft w:val="0"/>
          <w:marRight w:val="0"/>
          <w:marTop w:val="0"/>
          <w:marBottom w:val="0"/>
          <w:divBdr>
            <w:top w:val="none" w:sz="0" w:space="0" w:color="auto"/>
            <w:left w:val="none" w:sz="0" w:space="0" w:color="auto"/>
            <w:bottom w:val="none" w:sz="0" w:space="0" w:color="auto"/>
            <w:right w:val="none" w:sz="0" w:space="0" w:color="auto"/>
          </w:divBdr>
        </w:div>
        <w:div w:id="454448991">
          <w:marLeft w:val="0"/>
          <w:marRight w:val="0"/>
          <w:marTop w:val="0"/>
          <w:marBottom w:val="0"/>
          <w:divBdr>
            <w:top w:val="none" w:sz="0" w:space="0" w:color="auto"/>
            <w:left w:val="none" w:sz="0" w:space="0" w:color="auto"/>
            <w:bottom w:val="none" w:sz="0" w:space="0" w:color="auto"/>
            <w:right w:val="none" w:sz="0" w:space="0" w:color="auto"/>
          </w:divBdr>
        </w:div>
        <w:div w:id="467169199">
          <w:marLeft w:val="0"/>
          <w:marRight w:val="0"/>
          <w:marTop w:val="0"/>
          <w:marBottom w:val="0"/>
          <w:divBdr>
            <w:top w:val="none" w:sz="0" w:space="0" w:color="auto"/>
            <w:left w:val="none" w:sz="0" w:space="0" w:color="auto"/>
            <w:bottom w:val="none" w:sz="0" w:space="0" w:color="auto"/>
            <w:right w:val="none" w:sz="0" w:space="0" w:color="auto"/>
          </w:divBdr>
        </w:div>
        <w:div w:id="493767997">
          <w:marLeft w:val="0"/>
          <w:marRight w:val="0"/>
          <w:marTop w:val="0"/>
          <w:marBottom w:val="0"/>
          <w:divBdr>
            <w:top w:val="none" w:sz="0" w:space="0" w:color="auto"/>
            <w:left w:val="none" w:sz="0" w:space="0" w:color="auto"/>
            <w:bottom w:val="none" w:sz="0" w:space="0" w:color="auto"/>
            <w:right w:val="none" w:sz="0" w:space="0" w:color="auto"/>
          </w:divBdr>
        </w:div>
        <w:div w:id="498423748">
          <w:marLeft w:val="0"/>
          <w:marRight w:val="0"/>
          <w:marTop w:val="0"/>
          <w:marBottom w:val="0"/>
          <w:divBdr>
            <w:top w:val="none" w:sz="0" w:space="0" w:color="auto"/>
            <w:left w:val="none" w:sz="0" w:space="0" w:color="auto"/>
            <w:bottom w:val="none" w:sz="0" w:space="0" w:color="auto"/>
            <w:right w:val="none" w:sz="0" w:space="0" w:color="auto"/>
          </w:divBdr>
        </w:div>
        <w:div w:id="502547322">
          <w:marLeft w:val="0"/>
          <w:marRight w:val="0"/>
          <w:marTop w:val="0"/>
          <w:marBottom w:val="0"/>
          <w:divBdr>
            <w:top w:val="none" w:sz="0" w:space="0" w:color="auto"/>
            <w:left w:val="none" w:sz="0" w:space="0" w:color="auto"/>
            <w:bottom w:val="none" w:sz="0" w:space="0" w:color="auto"/>
            <w:right w:val="none" w:sz="0" w:space="0" w:color="auto"/>
          </w:divBdr>
        </w:div>
        <w:div w:id="524487041">
          <w:marLeft w:val="0"/>
          <w:marRight w:val="0"/>
          <w:marTop w:val="0"/>
          <w:marBottom w:val="0"/>
          <w:divBdr>
            <w:top w:val="none" w:sz="0" w:space="0" w:color="auto"/>
            <w:left w:val="none" w:sz="0" w:space="0" w:color="auto"/>
            <w:bottom w:val="none" w:sz="0" w:space="0" w:color="auto"/>
            <w:right w:val="none" w:sz="0" w:space="0" w:color="auto"/>
          </w:divBdr>
        </w:div>
        <w:div w:id="527910090">
          <w:marLeft w:val="0"/>
          <w:marRight w:val="0"/>
          <w:marTop w:val="0"/>
          <w:marBottom w:val="0"/>
          <w:divBdr>
            <w:top w:val="none" w:sz="0" w:space="0" w:color="auto"/>
            <w:left w:val="none" w:sz="0" w:space="0" w:color="auto"/>
            <w:bottom w:val="none" w:sz="0" w:space="0" w:color="auto"/>
            <w:right w:val="none" w:sz="0" w:space="0" w:color="auto"/>
          </w:divBdr>
        </w:div>
        <w:div w:id="532767700">
          <w:marLeft w:val="0"/>
          <w:marRight w:val="0"/>
          <w:marTop w:val="0"/>
          <w:marBottom w:val="0"/>
          <w:divBdr>
            <w:top w:val="none" w:sz="0" w:space="0" w:color="auto"/>
            <w:left w:val="none" w:sz="0" w:space="0" w:color="auto"/>
            <w:bottom w:val="none" w:sz="0" w:space="0" w:color="auto"/>
            <w:right w:val="none" w:sz="0" w:space="0" w:color="auto"/>
          </w:divBdr>
        </w:div>
        <w:div w:id="542787140">
          <w:marLeft w:val="0"/>
          <w:marRight w:val="0"/>
          <w:marTop w:val="0"/>
          <w:marBottom w:val="0"/>
          <w:divBdr>
            <w:top w:val="none" w:sz="0" w:space="0" w:color="auto"/>
            <w:left w:val="none" w:sz="0" w:space="0" w:color="auto"/>
            <w:bottom w:val="none" w:sz="0" w:space="0" w:color="auto"/>
            <w:right w:val="none" w:sz="0" w:space="0" w:color="auto"/>
          </w:divBdr>
        </w:div>
        <w:div w:id="545609147">
          <w:marLeft w:val="0"/>
          <w:marRight w:val="0"/>
          <w:marTop w:val="0"/>
          <w:marBottom w:val="0"/>
          <w:divBdr>
            <w:top w:val="none" w:sz="0" w:space="0" w:color="auto"/>
            <w:left w:val="none" w:sz="0" w:space="0" w:color="auto"/>
            <w:bottom w:val="none" w:sz="0" w:space="0" w:color="auto"/>
            <w:right w:val="none" w:sz="0" w:space="0" w:color="auto"/>
          </w:divBdr>
        </w:div>
        <w:div w:id="565456494">
          <w:marLeft w:val="0"/>
          <w:marRight w:val="0"/>
          <w:marTop w:val="0"/>
          <w:marBottom w:val="0"/>
          <w:divBdr>
            <w:top w:val="none" w:sz="0" w:space="0" w:color="auto"/>
            <w:left w:val="none" w:sz="0" w:space="0" w:color="auto"/>
            <w:bottom w:val="none" w:sz="0" w:space="0" w:color="auto"/>
            <w:right w:val="none" w:sz="0" w:space="0" w:color="auto"/>
          </w:divBdr>
        </w:div>
        <w:div w:id="582757889">
          <w:marLeft w:val="0"/>
          <w:marRight w:val="0"/>
          <w:marTop w:val="0"/>
          <w:marBottom w:val="0"/>
          <w:divBdr>
            <w:top w:val="none" w:sz="0" w:space="0" w:color="auto"/>
            <w:left w:val="none" w:sz="0" w:space="0" w:color="auto"/>
            <w:bottom w:val="none" w:sz="0" w:space="0" w:color="auto"/>
            <w:right w:val="none" w:sz="0" w:space="0" w:color="auto"/>
          </w:divBdr>
        </w:div>
        <w:div w:id="643511309">
          <w:marLeft w:val="0"/>
          <w:marRight w:val="0"/>
          <w:marTop w:val="0"/>
          <w:marBottom w:val="0"/>
          <w:divBdr>
            <w:top w:val="none" w:sz="0" w:space="0" w:color="auto"/>
            <w:left w:val="none" w:sz="0" w:space="0" w:color="auto"/>
            <w:bottom w:val="none" w:sz="0" w:space="0" w:color="auto"/>
            <w:right w:val="none" w:sz="0" w:space="0" w:color="auto"/>
          </w:divBdr>
        </w:div>
        <w:div w:id="651371084">
          <w:marLeft w:val="0"/>
          <w:marRight w:val="0"/>
          <w:marTop w:val="0"/>
          <w:marBottom w:val="0"/>
          <w:divBdr>
            <w:top w:val="none" w:sz="0" w:space="0" w:color="auto"/>
            <w:left w:val="none" w:sz="0" w:space="0" w:color="auto"/>
            <w:bottom w:val="none" w:sz="0" w:space="0" w:color="auto"/>
            <w:right w:val="none" w:sz="0" w:space="0" w:color="auto"/>
          </w:divBdr>
        </w:div>
        <w:div w:id="676152720">
          <w:marLeft w:val="0"/>
          <w:marRight w:val="0"/>
          <w:marTop w:val="0"/>
          <w:marBottom w:val="0"/>
          <w:divBdr>
            <w:top w:val="none" w:sz="0" w:space="0" w:color="auto"/>
            <w:left w:val="none" w:sz="0" w:space="0" w:color="auto"/>
            <w:bottom w:val="none" w:sz="0" w:space="0" w:color="auto"/>
            <w:right w:val="none" w:sz="0" w:space="0" w:color="auto"/>
          </w:divBdr>
        </w:div>
        <w:div w:id="681128676">
          <w:marLeft w:val="0"/>
          <w:marRight w:val="0"/>
          <w:marTop w:val="0"/>
          <w:marBottom w:val="0"/>
          <w:divBdr>
            <w:top w:val="none" w:sz="0" w:space="0" w:color="auto"/>
            <w:left w:val="none" w:sz="0" w:space="0" w:color="auto"/>
            <w:bottom w:val="none" w:sz="0" w:space="0" w:color="auto"/>
            <w:right w:val="none" w:sz="0" w:space="0" w:color="auto"/>
          </w:divBdr>
        </w:div>
        <w:div w:id="690028820">
          <w:marLeft w:val="0"/>
          <w:marRight w:val="0"/>
          <w:marTop w:val="0"/>
          <w:marBottom w:val="0"/>
          <w:divBdr>
            <w:top w:val="none" w:sz="0" w:space="0" w:color="auto"/>
            <w:left w:val="none" w:sz="0" w:space="0" w:color="auto"/>
            <w:bottom w:val="none" w:sz="0" w:space="0" w:color="auto"/>
            <w:right w:val="none" w:sz="0" w:space="0" w:color="auto"/>
          </w:divBdr>
        </w:div>
        <w:div w:id="718475860">
          <w:marLeft w:val="0"/>
          <w:marRight w:val="0"/>
          <w:marTop w:val="0"/>
          <w:marBottom w:val="0"/>
          <w:divBdr>
            <w:top w:val="none" w:sz="0" w:space="0" w:color="auto"/>
            <w:left w:val="none" w:sz="0" w:space="0" w:color="auto"/>
            <w:bottom w:val="none" w:sz="0" w:space="0" w:color="auto"/>
            <w:right w:val="none" w:sz="0" w:space="0" w:color="auto"/>
          </w:divBdr>
        </w:div>
        <w:div w:id="756907227">
          <w:marLeft w:val="0"/>
          <w:marRight w:val="0"/>
          <w:marTop w:val="0"/>
          <w:marBottom w:val="0"/>
          <w:divBdr>
            <w:top w:val="none" w:sz="0" w:space="0" w:color="auto"/>
            <w:left w:val="none" w:sz="0" w:space="0" w:color="auto"/>
            <w:bottom w:val="none" w:sz="0" w:space="0" w:color="auto"/>
            <w:right w:val="none" w:sz="0" w:space="0" w:color="auto"/>
          </w:divBdr>
        </w:div>
        <w:div w:id="763962351">
          <w:marLeft w:val="0"/>
          <w:marRight w:val="0"/>
          <w:marTop w:val="0"/>
          <w:marBottom w:val="0"/>
          <w:divBdr>
            <w:top w:val="none" w:sz="0" w:space="0" w:color="auto"/>
            <w:left w:val="none" w:sz="0" w:space="0" w:color="auto"/>
            <w:bottom w:val="none" w:sz="0" w:space="0" w:color="auto"/>
            <w:right w:val="none" w:sz="0" w:space="0" w:color="auto"/>
          </w:divBdr>
        </w:div>
        <w:div w:id="765540390">
          <w:marLeft w:val="0"/>
          <w:marRight w:val="0"/>
          <w:marTop w:val="0"/>
          <w:marBottom w:val="0"/>
          <w:divBdr>
            <w:top w:val="none" w:sz="0" w:space="0" w:color="auto"/>
            <w:left w:val="none" w:sz="0" w:space="0" w:color="auto"/>
            <w:bottom w:val="none" w:sz="0" w:space="0" w:color="auto"/>
            <w:right w:val="none" w:sz="0" w:space="0" w:color="auto"/>
          </w:divBdr>
        </w:div>
        <w:div w:id="769860694">
          <w:marLeft w:val="0"/>
          <w:marRight w:val="0"/>
          <w:marTop w:val="0"/>
          <w:marBottom w:val="0"/>
          <w:divBdr>
            <w:top w:val="none" w:sz="0" w:space="0" w:color="auto"/>
            <w:left w:val="none" w:sz="0" w:space="0" w:color="auto"/>
            <w:bottom w:val="none" w:sz="0" w:space="0" w:color="auto"/>
            <w:right w:val="none" w:sz="0" w:space="0" w:color="auto"/>
          </w:divBdr>
        </w:div>
        <w:div w:id="780225135">
          <w:marLeft w:val="0"/>
          <w:marRight w:val="0"/>
          <w:marTop w:val="0"/>
          <w:marBottom w:val="0"/>
          <w:divBdr>
            <w:top w:val="none" w:sz="0" w:space="0" w:color="auto"/>
            <w:left w:val="none" w:sz="0" w:space="0" w:color="auto"/>
            <w:bottom w:val="none" w:sz="0" w:space="0" w:color="auto"/>
            <w:right w:val="none" w:sz="0" w:space="0" w:color="auto"/>
          </w:divBdr>
        </w:div>
        <w:div w:id="794905169">
          <w:marLeft w:val="0"/>
          <w:marRight w:val="0"/>
          <w:marTop w:val="0"/>
          <w:marBottom w:val="0"/>
          <w:divBdr>
            <w:top w:val="none" w:sz="0" w:space="0" w:color="auto"/>
            <w:left w:val="none" w:sz="0" w:space="0" w:color="auto"/>
            <w:bottom w:val="none" w:sz="0" w:space="0" w:color="auto"/>
            <w:right w:val="none" w:sz="0" w:space="0" w:color="auto"/>
          </w:divBdr>
        </w:div>
        <w:div w:id="806237587">
          <w:marLeft w:val="0"/>
          <w:marRight w:val="0"/>
          <w:marTop w:val="0"/>
          <w:marBottom w:val="0"/>
          <w:divBdr>
            <w:top w:val="none" w:sz="0" w:space="0" w:color="auto"/>
            <w:left w:val="none" w:sz="0" w:space="0" w:color="auto"/>
            <w:bottom w:val="none" w:sz="0" w:space="0" w:color="auto"/>
            <w:right w:val="none" w:sz="0" w:space="0" w:color="auto"/>
          </w:divBdr>
        </w:div>
        <w:div w:id="822045859">
          <w:marLeft w:val="0"/>
          <w:marRight w:val="0"/>
          <w:marTop w:val="0"/>
          <w:marBottom w:val="0"/>
          <w:divBdr>
            <w:top w:val="none" w:sz="0" w:space="0" w:color="auto"/>
            <w:left w:val="none" w:sz="0" w:space="0" w:color="auto"/>
            <w:bottom w:val="none" w:sz="0" w:space="0" w:color="auto"/>
            <w:right w:val="none" w:sz="0" w:space="0" w:color="auto"/>
          </w:divBdr>
        </w:div>
        <w:div w:id="828330389">
          <w:marLeft w:val="0"/>
          <w:marRight w:val="0"/>
          <w:marTop w:val="0"/>
          <w:marBottom w:val="0"/>
          <w:divBdr>
            <w:top w:val="none" w:sz="0" w:space="0" w:color="auto"/>
            <w:left w:val="none" w:sz="0" w:space="0" w:color="auto"/>
            <w:bottom w:val="none" w:sz="0" w:space="0" w:color="auto"/>
            <w:right w:val="none" w:sz="0" w:space="0" w:color="auto"/>
          </w:divBdr>
        </w:div>
        <w:div w:id="838424845">
          <w:marLeft w:val="0"/>
          <w:marRight w:val="0"/>
          <w:marTop w:val="0"/>
          <w:marBottom w:val="0"/>
          <w:divBdr>
            <w:top w:val="none" w:sz="0" w:space="0" w:color="auto"/>
            <w:left w:val="none" w:sz="0" w:space="0" w:color="auto"/>
            <w:bottom w:val="none" w:sz="0" w:space="0" w:color="auto"/>
            <w:right w:val="none" w:sz="0" w:space="0" w:color="auto"/>
          </w:divBdr>
        </w:div>
        <w:div w:id="841627206">
          <w:marLeft w:val="0"/>
          <w:marRight w:val="0"/>
          <w:marTop w:val="0"/>
          <w:marBottom w:val="0"/>
          <w:divBdr>
            <w:top w:val="none" w:sz="0" w:space="0" w:color="auto"/>
            <w:left w:val="none" w:sz="0" w:space="0" w:color="auto"/>
            <w:bottom w:val="none" w:sz="0" w:space="0" w:color="auto"/>
            <w:right w:val="none" w:sz="0" w:space="0" w:color="auto"/>
          </w:divBdr>
        </w:div>
        <w:div w:id="857887957">
          <w:marLeft w:val="0"/>
          <w:marRight w:val="0"/>
          <w:marTop w:val="0"/>
          <w:marBottom w:val="0"/>
          <w:divBdr>
            <w:top w:val="none" w:sz="0" w:space="0" w:color="auto"/>
            <w:left w:val="none" w:sz="0" w:space="0" w:color="auto"/>
            <w:bottom w:val="none" w:sz="0" w:space="0" w:color="auto"/>
            <w:right w:val="none" w:sz="0" w:space="0" w:color="auto"/>
          </w:divBdr>
        </w:div>
        <w:div w:id="867522185">
          <w:marLeft w:val="0"/>
          <w:marRight w:val="0"/>
          <w:marTop w:val="0"/>
          <w:marBottom w:val="0"/>
          <w:divBdr>
            <w:top w:val="none" w:sz="0" w:space="0" w:color="auto"/>
            <w:left w:val="none" w:sz="0" w:space="0" w:color="auto"/>
            <w:bottom w:val="none" w:sz="0" w:space="0" w:color="auto"/>
            <w:right w:val="none" w:sz="0" w:space="0" w:color="auto"/>
          </w:divBdr>
        </w:div>
        <w:div w:id="878323091">
          <w:marLeft w:val="0"/>
          <w:marRight w:val="0"/>
          <w:marTop w:val="0"/>
          <w:marBottom w:val="0"/>
          <w:divBdr>
            <w:top w:val="none" w:sz="0" w:space="0" w:color="auto"/>
            <w:left w:val="none" w:sz="0" w:space="0" w:color="auto"/>
            <w:bottom w:val="none" w:sz="0" w:space="0" w:color="auto"/>
            <w:right w:val="none" w:sz="0" w:space="0" w:color="auto"/>
          </w:divBdr>
        </w:div>
        <w:div w:id="883564988">
          <w:marLeft w:val="0"/>
          <w:marRight w:val="0"/>
          <w:marTop w:val="0"/>
          <w:marBottom w:val="0"/>
          <w:divBdr>
            <w:top w:val="none" w:sz="0" w:space="0" w:color="auto"/>
            <w:left w:val="none" w:sz="0" w:space="0" w:color="auto"/>
            <w:bottom w:val="none" w:sz="0" w:space="0" w:color="auto"/>
            <w:right w:val="none" w:sz="0" w:space="0" w:color="auto"/>
          </w:divBdr>
        </w:div>
        <w:div w:id="899751526">
          <w:marLeft w:val="0"/>
          <w:marRight w:val="0"/>
          <w:marTop w:val="0"/>
          <w:marBottom w:val="0"/>
          <w:divBdr>
            <w:top w:val="none" w:sz="0" w:space="0" w:color="auto"/>
            <w:left w:val="none" w:sz="0" w:space="0" w:color="auto"/>
            <w:bottom w:val="none" w:sz="0" w:space="0" w:color="auto"/>
            <w:right w:val="none" w:sz="0" w:space="0" w:color="auto"/>
          </w:divBdr>
        </w:div>
        <w:div w:id="937326222">
          <w:marLeft w:val="0"/>
          <w:marRight w:val="0"/>
          <w:marTop w:val="0"/>
          <w:marBottom w:val="0"/>
          <w:divBdr>
            <w:top w:val="none" w:sz="0" w:space="0" w:color="auto"/>
            <w:left w:val="none" w:sz="0" w:space="0" w:color="auto"/>
            <w:bottom w:val="none" w:sz="0" w:space="0" w:color="auto"/>
            <w:right w:val="none" w:sz="0" w:space="0" w:color="auto"/>
          </w:divBdr>
        </w:div>
        <w:div w:id="943998165">
          <w:marLeft w:val="0"/>
          <w:marRight w:val="0"/>
          <w:marTop w:val="0"/>
          <w:marBottom w:val="0"/>
          <w:divBdr>
            <w:top w:val="none" w:sz="0" w:space="0" w:color="auto"/>
            <w:left w:val="none" w:sz="0" w:space="0" w:color="auto"/>
            <w:bottom w:val="none" w:sz="0" w:space="0" w:color="auto"/>
            <w:right w:val="none" w:sz="0" w:space="0" w:color="auto"/>
          </w:divBdr>
        </w:div>
        <w:div w:id="954094726">
          <w:marLeft w:val="0"/>
          <w:marRight w:val="0"/>
          <w:marTop w:val="0"/>
          <w:marBottom w:val="0"/>
          <w:divBdr>
            <w:top w:val="none" w:sz="0" w:space="0" w:color="auto"/>
            <w:left w:val="none" w:sz="0" w:space="0" w:color="auto"/>
            <w:bottom w:val="none" w:sz="0" w:space="0" w:color="auto"/>
            <w:right w:val="none" w:sz="0" w:space="0" w:color="auto"/>
          </w:divBdr>
        </w:div>
        <w:div w:id="961807546">
          <w:marLeft w:val="0"/>
          <w:marRight w:val="0"/>
          <w:marTop w:val="0"/>
          <w:marBottom w:val="0"/>
          <w:divBdr>
            <w:top w:val="none" w:sz="0" w:space="0" w:color="auto"/>
            <w:left w:val="none" w:sz="0" w:space="0" w:color="auto"/>
            <w:bottom w:val="none" w:sz="0" w:space="0" w:color="auto"/>
            <w:right w:val="none" w:sz="0" w:space="0" w:color="auto"/>
          </w:divBdr>
        </w:div>
        <w:div w:id="992413654">
          <w:marLeft w:val="0"/>
          <w:marRight w:val="0"/>
          <w:marTop w:val="0"/>
          <w:marBottom w:val="0"/>
          <w:divBdr>
            <w:top w:val="none" w:sz="0" w:space="0" w:color="auto"/>
            <w:left w:val="none" w:sz="0" w:space="0" w:color="auto"/>
            <w:bottom w:val="none" w:sz="0" w:space="0" w:color="auto"/>
            <w:right w:val="none" w:sz="0" w:space="0" w:color="auto"/>
          </w:divBdr>
        </w:div>
        <w:div w:id="1023091565">
          <w:marLeft w:val="0"/>
          <w:marRight w:val="0"/>
          <w:marTop w:val="0"/>
          <w:marBottom w:val="0"/>
          <w:divBdr>
            <w:top w:val="none" w:sz="0" w:space="0" w:color="auto"/>
            <w:left w:val="none" w:sz="0" w:space="0" w:color="auto"/>
            <w:bottom w:val="none" w:sz="0" w:space="0" w:color="auto"/>
            <w:right w:val="none" w:sz="0" w:space="0" w:color="auto"/>
          </w:divBdr>
        </w:div>
        <w:div w:id="1024939719">
          <w:marLeft w:val="0"/>
          <w:marRight w:val="0"/>
          <w:marTop w:val="0"/>
          <w:marBottom w:val="0"/>
          <w:divBdr>
            <w:top w:val="none" w:sz="0" w:space="0" w:color="auto"/>
            <w:left w:val="none" w:sz="0" w:space="0" w:color="auto"/>
            <w:bottom w:val="none" w:sz="0" w:space="0" w:color="auto"/>
            <w:right w:val="none" w:sz="0" w:space="0" w:color="auto"/>
          </w:divBdr>
        </w:div>
        <w:div w:id="1034816545">
          <w:marLeft w:val="0"/>
          <w:marRight w:val="0"/>
          <w:marTop w:val="0"/>
          <w:marBottom w:val="0"/>
          <w:divBdr>
            <w:top w:val="none" w:sz="0" w:space="0" w:color="auto"/>
            <w:left w:val="none" w:sz="0" w:space="0" w:color="auto"/>
            <w:bottom w:val="none" w:sz="0" w:space="0" w:color="auto"/>
            <w:right w:val="none" w:sz="0" w:space="0" w:color="auto"/>
          </w:divBdr>
        </w:div>
        <w:div w:id="1043289494">
          <w:marLeft w:val="0"/>
          <w:marRight w:val="0"/>
          <w:marTop w:val="0"/>
          <w:marBottom w:val="0"/>
          <w:divBdr>
            <w:top w:val="none" w:sz="0" w:space="0" w:color="auto"/>
            <w:left w:val="none" w:sz="0" w:space="0" w:color="auto"/>
            <w:bottom w:val="none" w:sz="0" w:space="0" w:color="auto"/>
            <w:right w:val="none" w:sz="0" w:space="0" w:color="auto"/>
          </w:divBdr>
        </w:div>
        <w:div w:id="1047417844">
          <w:marLeft w:val="0"/>
          <w:marRight w:val="0"/>
          <w:marTop w:val="0"/>
          <w:marBottom w:val="0"/>
          <w:divBdr>
            <w:top w:val="none" w:sz="0" w:space="0" w:color="auto"/>
            <w:left w:val="none" w:sz="0" w:space="0" w:color="auto"/>
            <w:bottom w:val="none" w:sz="0" w:space="0" w:color="auto"/>
            <w:right w:val="none" w:sz="0" w:space="0" w:color="auto"/>
          </w:divBdr>
        </w:div>
        <w:div w:id="1110008245">
          <w:marLeft w:val="0"/>
          <w:marRight w:val="0"/>
          <w:marTop w:val="0"/>
          <w:marBottom w:val="0"/>
          <w:divBdr>
            <w:top w:val="none" w:sz="0" w:space="0" w:color="auto"/>
            <w:left w:val="none" w:sz="0" w:space="0" w:color="auto"/>
            <w:bottom w:val="none" w:sz="0" w:space="0" w:color="auto"/>
            <w:right w:val="none" w:sz="0" w:space="0" w:color="auto"/>
          </w:divBdr>
        </w:div>
        <w:div w:id="1110782246">
          <w:marLeft w:val="0"/>
          <w:marRight w:val="0"/>
          <w:marTop w:val="0"/>
          <w:marBottom w:val="0"/>
          <w:divBdr>
            <w:top w:val="none" w:sz="0" w:space="0" w:color="auto"/>
            <w:left w:val="none" w:sz="0" w:space="0" w:color="auto"/>
            <w:bottom w:val="none" w:sz="0" w:space="0" w:color="auto"/>
            <w:right w:val="none" w:sz="0" w:space="0" w:color="auto"/>
          </w:divBdr>
        </w:div>
        <w:div w:id="1111976664">
          <w:marLeft w:val="0"/>
          <w:marRight w:val="0"/>
          <w:marTop w:val="0"/>
          <w:marBottom w:val="0"/>
          <w:divBdr>
            <w:top w:val="none" w:sz="0" w:space="0" w:color="auto"/>
            <w:left w:val="none" w:sz="0" w:space="0" w:color="auto"/>
            <w:bottom w:val="none" w:sz="0" w:space="0" w:color="auto"/>
            <w:right w:val="none" w:sz="0" w:space="0" w:color="auto"/>
          </w:divBdr>
        </w:div>
        <w:div w:id="1117145362">
          <w:marLeft w:val="0"/>
          <w:marRight w:val="0"/>
          <w:marTop w:val="0"/>
          <w:marBottom w:val="0"/>
          <w:divBdr>
            <w:top w:val="none" w:sz="0" w:space="0" w:color="auto"/>
            <w:left w:val="none" w:sz="0" w:space="0" w:color="auto"/>
            <w:bottom w:val="none" w:sz="0" w:space="0" w:color="auto"/>
            <w:right w:val="none" w:sz="0" w:space="0" w:color="auto"/>
          </w:divBdr>
        </w:div>
        <w:div w:id="1127549206">
          <w:marLeft w:val="0"/>
          <w:marRight w:val="0"/>
          <w:marTop w:val="0"/>
          <w:marBottom w:val="0"/>
          <w:divBdr>
            <w:top w:val="none" w:sz="0" w:space="0" w:color="auto"/>
            <w:left w:val="none" w:sz="0" w:space="0" w:color="auto"/>
            <w:bottom w:val="none" w:sz="0" w:space="0" w:color="auto"/>
            <w:right w:val="none" w:sz="0" w:space="0" w:color="auto"/>
          </w:divBdr>
        </w:div>
        <w:div w:id="1136994380">
          <w:marLeft w:val="0"/>
          <w:marRight w:val="0"/>
          <w:marTop w:val="0"/>
          <w:marBottom w:val="0"/>
          <w:divBdr>
            <w:top w:val="none" w:sz="0" w:space="0" w:color="auto"/>
            <w:left w:val="none" w:sz="0" w:space="0" w:color="auto"/>
            <w:bottom w:val="none" w:sz="0" w:space="0" w:color="auto"/>
            <w:right w:val="none" w:sz="0" w:space="0" w:color="auto"/>
          </w:divBdr>
        </w:div>
        <w:div w:id="1138181636">
          <w:marLeft w:val="0"/>
          <w:marRight w:val="0"/>
          <w:marTop w:val="0"/>
          <w:marBottom w:val="0"/>
          <w:divBdr>
            <w:top w:val="none" w:sz="0" w:space="0" w:color="auto"/>
            <w:left w:val="none" w:sz="0" w:space="0" w:color="auto"/>
            <w:bottom w:val="none" w:sz="0" w:space="0" w:color="auto"/>
            <w:right w:val="none" w:sz="0" w:space="0" w:color="auto"/>
          </w:divBdr>
        </w:div>
        <w:div w:id="1144468782">
          <w:marLeft w:val="0"/>
          <w:marRight w:val="0"/>
          <w:marTop w:val="0"/>
          <w:marBottom w:val="0"/>
          <w:divBdr>
            <w:top w:val="none" w:sz="0" w:space="0" w:color="auto"/>
            <w:left w:val="none" w:sz="0" w:space="0" w:color="auto"/>
            <w:bottom w:val="none" w:sz="0" w:space="0" w:color="auto"/>
            <w:right w:val="none" w:sz="0" w:space="0" w:color="auto"/>
          </w:divBdr>
        </w:div>
        <w:div w:id="1157693983">
          <w:marLeft w:val="0"/>
          <w:marRight w:val="0"/>
          <w:marTop w:val="0"/>
          <w:marBottom w:val="0"/>
          <w:divBdr>
            <w:top w:val="none" w:sz="0" w:space="0" w:color="auto"/>
            <w:left w:val="none" w:sz="0" w:space="0" w:color="auto"/>
            <w:bottom w:val="none" w:sz="0" w:space="0" w:color="auto"/>
            <w:right w:val="none" w:sz="0" w:space="0" w:color="auto"/>
          </w:divBdr>
        </w:div>
        <w:div w:id="1165319816">
          <w:marLeft w:val="0"/>
          <w:marRight w:val="0"/>
          <w:marTop w:val="0"/>
          <w:marBottom w:val="0"/>
          <w:divBdr>
            <w:top w:val="none" w:sz="0" w:space="0" w:color="auto"/>
            <w:left w:val="none" w:sz="0" w:space="0" w:color="auto"/>
            <w:bottom w:val="none" w:sz="0" w:space="0" w:color="auto"/>
            <w:right w:val="none" w:sz="0" w:space="0" w:color="auto"/>
          </w:divBdr>
        </w:div>
        <w:div w:id="1185750150">
          <w:marLeft w:val="0"/>
          <w:marRight w:val="0"/>
          <w:marTop w:val="0"/>
          <w:marBottom w:val="0"/>
          <w:divBdr>
            <w:top w:val="none" w:sz="0" w:space="0" w:color="auto"/>
            <w:left w:val="none" w:sz="0" w:space="0" w:color="auto"/>
            <w:bottom w:val="none" w:sz="0" w:space="0" w:color="auto"/>
            <w:right w:val="none" w:sz="0" w:space="0" w:color="auto"/>
          </w:divBdr>
        </w:div>
        <w:div w:id="1227183046">
          <w:marLeft w:val="0"/>
          <w:marRight w:val="0"/>
          <w:marTop w:val="0"/>
          <w:marBottom w:val="0"/>
          <w:divBdr>
            <w:top w:val="none" w:sz="0" w:space="0" w:color="auto"/>
            <w:left w:val="none" w:sz="0" w:space="0" w:color="auto"/>
            <w:bottom w:val="none" w:sz="0" w:space="0" w:color="auto"/>
            <w:right w:val="none" w:sz="0" w:space="0" w:color="auto"/>
          </w:divBdr>
        </w:div>
        <w:div w:id="1230119880">
          <w:marLeft w:val="0"/>
          <w:marRight w:val="0"/>
          <w:marTop w:val="0"/>
          <w:marBottom w:val="0"/>
          <w:divBdr>
            <w:top w:val="none" w:sz="0" w:space="0" w:color="auto"/>
            <w:left w:val="none" w:sz="0" w:space="0" w:color="auto"/>
            <w:bottom w:val="none" w:sz="0" w:space="0" w:color="auto"/>
            <w:right w:val="none" w:sz="0" w:space="0" w:color="auto"/>
          </w:divBdr>
        </w:div>
        <w:div w:id="1237588128">
          <w:marLeft w:val="0"/>
          <w:marRight w:val="0"/>
          <w:marTop w:val="0"/>
          <w:marBottom w:val="0"/>
          <w:divBdr>
            <w:top w:val="none" w:sz="0" w:space="0" w:color="auto"/>
            <w:left w:val="none" w:sz="0" w:space="0" w:color="auto"/>
            <w:bottom w:val="none" w:sz="0" w:space="0" w:color="auto"/>
            <w:right w:val="none" w:sz="0" w:space="0" w:color="auto"/>
          </w:divBdr>
        </w:div>
        <w:div w:id="1248224692">
          <w:marLeft w:val="0"/>
          <w:marRight w:val="0"/>
          <w:marTop w:val="0"/>
          <w:marBottom w:val="0"/>
          <w:divBdr>
            <w:top w:val="none" w:sz="0" w:space="0" w:color="auto"/>
            <w:left w:val="none" w:sz="0" w:space="0" w:color="auto"/>
            <w:bottom w:val="none" w:sz="0" w:space="0" w:color="auto"/>
            <w:right w:val="none" w:sz="0" w:space="0" w:color="auto"/>
          </w:divBdr>
        </w:div>
        <w:div w:id="1256398597">
          <w:marLeft w:val="0"/>
          <w:marRight w:val="0"/>
          <w:marTop w:val="0"/>
          <w:marBottom w:val="0"/>
          <w:divBdr>
            <w:top w:val="none" w:sz="0" w:space="0" w:color="auto"/>
            <w:left w:val="none" w:sz="0" w:space="0" w:color="auto"/>
            <w:bottom w:val="none" w:sz="0" w:space="0" w:color="auto"/>
            <w:right w:val="none" w:sz="0" w:space="0" w:color="auto"/>
          </w:divBdr>
        </w:div>
        <w:div w:id="1269971882">
          <w:marLeft w:val="0"/>
          <w:marRight w:val="0"/>
          <w:marTop w:val="0"/>
          <w:marBottom w:val="0"/>
          <w:divBdr>
            <w:top w:val="none" w:sz="0" w:space="0" w:color="auto"/>
            <w:left w:val="none" w:sz="0" w:space="0" w:color="auto"/>
            <w:bottom w:val="none" w:sz="0" w:space="0" w:color="auto"/>
            <w:right w:val="none" w:sz="0" w:space="0" w:color="auto"/>
          </w:divBdr>
        </w:div>
        <w:div w:id="1313946192">
          <w:marLeft w:val="0"/>
          <w:marRight w:val="0"/>
          <w:marTop w:val="0"/>
          <w:marBottom w:val="0"/>
          <w:divBdr>
            <w:top w:val="none" w:sz="0" w:space="0" w:color="auto"/>
            <w:left w:val="none" w:sz="0" w:space="0" w:color="auto"/>
            <w:bottom w:val="none" w:sz="0" w:space="0" w:color="auto"/>
            <w:right w:val="none" w:sz="0" w:space="0" w:color="auto"/>
          </w:divBdr>
        </w:div>
        <w:div w:id="1316450924">
          <w:marLeft w:val="0"/>
          <w:marRight w:val="0"/>
          <w:marTop w:val="0"/>
          <w:marBottom w:val="0"/>
          <w:divBdr>
            <w:top w:val="none" w:sz="0" w:space="0" w:color="auto"/>
            <w:left w:val="none" w:sz="0" w:space="0" w:color="auto"/>
            <w:bottom w:val="none" w:sz="0" w:space="0" w:color="auto"/>
            <w:right w:val="none" w:sz="0" w:space="0" w:color="auto"/>
          </w:divBdr>
        </w:div>
        <w:div w:id="1323586087">
          <w:marLeft w:val="0"/>
          <w:marRight w:val="0"/>
          <w:marTop w:val="0"/>
          <w:marBottom w:val="0"/>
          <w:divBdr>
            <w:top w:val="none" w:sz="0" w:space="0" w:color="auto"/>
            <w:left w:val="none" w:sz="0" w:space="0" w:color="auto"/>
            <w:bottom w:val="none" w:sz="0" w:space="0" w:color="auto"/>
            <w:right w:val="none" w:sz="0" w:space="0" w:color="auto"/>
          </w:divBdr>
        </w:div>
        <w:div w:id="1355494383">
          <w:marLeft w:val="0"/>
          <w:marRight w:val="0"/>
          <w:marTop w:val="0"/>
          <w:marBottom w:val="0"/>
          <w:divBdr>
            <w:top w:val="none" w:sz="0" w:space="0" w:color="auto"/>
            <w:left w:val="none" w:sz="0" w:space="0" w:color="auto"/>
            <w:bottom w:val="none" w:sz="0" w:space="0" w:color="auto"/>
            <w:right w:val="none" w:sz="0" w:space="0" w:color="auto"/>
          </w:divBdr>
        </w:div>
        <w:div w:id="1369842393">
          <w:marLeft w:val="0"/>
          <w:marRight w:val="0"/>
          <w:marTop w:val="0"/>
          <w:marBottom w:val="0"/>
          <w:divBdr>
            <w:top w:val="none" w:sz="0" w:space="0" w:color="auto"/>
            <w:left w:val="none" w:sz="0" w:space="0" w:color="auto"/>
            <w:bottom w:val="none" w:sz="0" w:space="0" w:color="auto"/>
            <w:right w:val="none" w:sz="0" w:space="0" w:color="auto"/>
          </w:divBdr>
        </w:div>
        <w:div w:id="1381392695">
          <w:marLeft w:val="0"/>
          <w:marRight w:val="0"/>
          <w:marTop w:val="0"/>
          <w:marBottom w:val="0"/>
          <w:divBdr>
            <w:top w:val="none" w:sz="0" w:space="0" w:color="auto"/>
            <w:left w:val="none" w:sz="0" w:space="0" w:color="auto"/>
            <w:bottom w:val="none" w:sz="0" w:space="0" w:color="auto"/>
            <w:right w:val="none" w:sz="0" w:space="0" w:color="auto"/>
          </w:divBdr>
        </w:div>
        <w:div w:id="1381590795">
          <w:marLeft w:val="0"/>
          <w:marRight w:val="0"/>
          <w:marTop w:val="0"/>
          <w:marBottom w:val="0"/>
          <w:divBdr>
            <w:top w:val="none" w:sz="0" w:space="0" w:color="auto"/>
            <w:left w:val="none" w:sz="0" w:space="0" w:color="auto"/>
            <w:bottom w:val="none" w:sz="0" w:space="0" w:color="auto"/>
            <w:right w:val="none" w:sz="0" w:space="0" w:color="auto"/>
          </w:divBdr>
        </w:div>
        <w:div w:id="1451850821">
          <w:marLeft w:val="0"/>
          <w:marRight w:val="0"/>
          <w:marTop w:val="0"/>
          <w:marBottom w:val="0"/>
          <w:divBdr>
            <w:top w:val="none" w:sz="0" w:space="0" w:color="auto"/>
            <w:left w:val="none" w:sz="0" w:space="0" w:color="auto"/>
            <w:bottom w:val="none" w:sz="0" w:space="0" w:color="auto"/>
            <w:right w:val="none" w:sz="0" w:space="0" w:color="auto"/>
          </w:divBdr>
        </w:div>
        <w:div w:id="1465006953">
          <w:marLeft w:val="0"/>
          <w:marRight w:val="0"/>
          <w:marTop w:val="0"/>
          <w:marBottom w:val="0"/>
          <w:divBdr>
            <w:top w:val="none" w:sz="0" w:space="0" w:color="auto"/>
            <w:left w:val="none" w:sz="0" w:space="0" w:color="auto"/>
            <w:bottom w:val="none" w:sz="0" w:space="0" w:color="auto"/>
            <w:right w:val="none" w:sz="0" w:space="0" w:color="auto"/>
          </w:divBdr>
        </w:div>
        <w:div w:id="1493713868">
          <w:marLeft w:val="0"/>
          <w:marRight w:val="0"/>
          <w:marTop w:val="0"/>
          <w:marBottom w:val="0"/>
          <w:divBdr>
            <w:top w:val="none" w:sz="0" w:space="0" w:color="auto"/>
            <w:left w:val="none" w:sz="0" w:space="0" w:color="auto"/>
            <w:bottom w:val="none" w:sz="0" w:space="0" w:color="auto"/>
            <w:right w:val="none" w:sz="0" w:space="0" w:color="auto"/>
          </w:divBdr>
        </w:div>
        <w:div w:id="1501895972">
          <w:marLeft w:val="0"/>
          <w:marRight w:val="0"/>
          <w:marTop w:val="0"/>
          <w:marBottom w:val="0"/>
          <w:divBdr>
            <w:top w:val="none" w:sz="0" w:space="0" w:color="auto"/>
            <w:left w:val="none" w:sz="0" w:space="0" w:color="auto"/>
            <w:bottom w:val="none" w:sz="0" w:space="0" w:color="auto"/>
            <w:right w:val="none" w:sz="0" w:space="0" w:color="auto"/>
          </w:divBdr>
        </w:div>
        <w:div w:id="1507208955">
          <w:marLeft w:val="0"/>
          <w:marRight w:val="0"/>
          <w:marTop w:val="0"/>
          <w:marBottom w:val="0"/>
          <w:divBdr>
            <w:top w:val="none" w:sz="0" w:space="0" w:color="auto"/>
            <w:left w:val="none" w:sz="0" w:space="0" w:color="auto"/>
            <w:bottom w:val="none" w:sz="0" w:space="0" w:color="auto"/>
            <w:right w:val="none" w:sz="0" w:space="0" w:color="auto"/>
          </w:divBdr>
        </w:div>
        <w:div w:id="1507475866">
          <w:marLeft w:val="0"/>
          <w:marRight w:val="0"/>
          <w:marTop w:val="0"/>
          <w:marBottom w:val="0"/>
          <w:divBdr>
            <w:top w:val="none" w:sz="0" w:space="0" w:color="auto"/>
            <w:left w:val="none" w:sz="0" w:space="0" w:color="auto"/>
            <w:bottom w:val="none" w:sz="0" w:space="0" w:color="auto"/>
            <w:right w:val="none" w:sz="0" w:space="0" w:color="auto"/>
          </w:divBdr>
        </w:div>
        <w:div w:id="1520197725">
          <w:marLeft w:val="0"/>
          <w:marRight w:val="0"/>
          <w:marTop w:val="0"/>
          <w:marBottom w:val="0"/>
          <w:divBdr>
            <w:top w:val="none" w:sz="0" w:space="0" w:color="auto"/>
            <w:left w:val="none" w:sz="0" w:space="0" w:color="auto"/>
            <w:bottom w:val="none" w:sz="0" w:space="0" w:color="auto"/>
            <w:right w:val="none" w:sz="0" w:space="0" w:color="auto"/>
          </w:divBdr>
        </w:div>
        <w:div w:id="1522278415">
          <w:marLeft w:val="0"/>
          <w:marRight w:val="0"/>
          <w:marTop w:val="0"/>
          <w:marBottom w:val="0"/>
          <w:divBdr>
            <w:top w:val="none" w:sz="0" w:space="0" w:color="auto"/>
            <w:left w:val="none" w:sz="0" w:space="0" w:color="auto"/>
            <w:bottom w:val="none" w:sz="0" w:space="0" w:color="auto"/>
            <w:right w:val="none" w:sz="0" w:space="0" w:color="auto"/>
          </w:divBdr>
        </w:div>
        <w:div w:id="1525752312">
          <w:marLeft w:val="0"/>
          <w:marRight w:val="0"/>
          <w:marTop w:val="0"/>
          <w:marBottom w:val="0"/>
          <w:divBdr>
            <w:top w:val="none" w:sz="0" w:space="0" w:color="auto"/>
            <w:left w:val="none" w:sz="0" w:space="0" w:color="auto"/>
            <w:bottom w:val="none" w:sz="0" w:space="0" w:color="auto"/>
            <w:right w:val="none" w:sz="0" w:space="0" w:color="auto"/>
          </w:divBdr>
        </w:div>
        <w:div w:id="1530146113">
          <w:marLeft w:val="0"/>
          <w:marRight w:val="0"/>
          <w:marTop w:val="0"/>
          <w:marBottom w:val="0"/>
          <w:divBdr>
            <w:top w:val="none" w:sz="0" w:space="0" w:color="auto"/>
            <w:left w:val="none" w:sz="0" w:space="0" w:color="auto"/>
            <w:bottom w:val="none" w:sz="0" w:space="0" w:color="auto"/>
            <w:right w:val="none" w:sz="0" w:space="0" w:color="auto"/>
          </w:divBdr>
        </w:div>
        <w:div w:id="1539510850">
          <w:marLeft w:val="0"/>
          <w:marRight w:val="0"/>
          <w:marTop w:val="0"/>
          <w:marBottom w:val="0"/>
          <w:divBdr>
            <w:top w:val="none" w:sz="0" w:space="0" w:color="auto"/>
            <w:left w:val="none" w:sz="0" w:space="0" w:color="auto"/>
            <w:bottom w:val="none" w:sz="0" w:space="0" w:color="auto"/>
            <w:right w:val="none" w:sz="0" w:space="0" w:color="auto"/>
          </w:divBdr>
        </w:div>
        <w:div w:id="1606380583">
          <w:marLeft w:val="0"/>
          <w:marRight w:val="0"/>
          <w:marTop w:val="0"/>
          <w:marBottom w:val="0"/>
          <w:divBdr>
            <w:top w:val="none" w:sz="0" w:space="0" w:color="auto"/>
            <w:left w:val="none" w:sz="0" w:space="0" w:color="auto"/>
            <w:bottom w:val="none" w:sz="0" w:space="0" w:color="auto"/>
            <w:right w:val="none" w:sz="0" w:space="0" w:color="auto"/>
          </w:divBdr>
        </w:div>
        <w:div w:id="1610698330">
          <w:marLeft w:val="0"/>
          <w:marRight w:val="0"/>
          <w:marTop w:val="0"/>
          <w:marBottom w:val="0"/>
          <w:divBdr>
            <w:top w:val="none" w:sz="0" w:space="0" w:color="auto"/>
            <w:left w:val="none" w:sz="0" w:space="0" w:color="auto"/>
            <w:bottom w:val="none" w:sz="0" w:space="0" w:color="auto"/>
            <w:right w:val="none" w:sz="0" w:space="0" w:color="auto"/>
          </w:divBdr>
        </w:div>
        <w:div w:id="1700887402">
          <w:marLeft w:val="0"/>
          <w:marRight w:val="0"/>
          <w:marTop w:val="0"/>
          <w:marBottom w:val="0"/>
          <w:divBdr>
            <w:top w:val="none" w:sz="0" w:space="0" w:color="auto"/>
            <w:left w:val="none" w:sz="0" w:space="0" w:color="auto"/>
            <w:bottom w:val="none" w:sz="0" w:space="0" w:color="auto"/>
            <w:right w:val="none" w:sz="0" w:space="0" w:color="auto"/>
          </w:divBdr>
        </w:div>
        <w:div w:id="1716155787">
          <w:marLeft w:val="0"/>
          <w:marRight w:val="0"/>
          <w:marTop w:val="0"/>
          <w:marBottom w:val="0"/>
          <w:divBdr>
            <w:top w:val="none" w:sz="0" w:space="0" w:color="auto"/>
            <w:left w:val="none" w:sz="0" w:space="0" w:color="auto"/>
            <w:bottom w:val="none" w:sz="0" w:space="0" w:color="auto"/>
            <w:right w:val="none" w:sz="0" w:space="0" w:color="auto"/>
          </w:divBdr>
        </w:div>
        <w:div w:id="1760373204">
          <w:marLeft w:val="0"/>
          <w:marRight w:val="0"/>
          <w:marTop w:val="0"/>
          <w:marBottom w:val="0"/>
          <w:divBdr>
            <w:top w:val="none" w:sz="0" w:space="0" w:color="auto"/>
            <w:left w:val="none" w:sz="0" w:space="0" w:color="auto"/>
            <w:bottom w:val="none" w:sz="0" w:space="0" w:color="auto"/>
            <w:right w:val="none" w:sz="0" w:space="0" w:color="auto"/>
          </w:divBdr>
        </w:div>
        <w:div w:id="1769619501">
          <w:marLeft w:val="0"/>
          <w:marRight w:val="0"/>
          <w:marTop w:val="0"/>
          <w:marBottom w:val="0"/>
          <w:divBdr>
            <w:top w:val="none" w:sz="0" w:space="0" w:color="auto"/>
            <w:left w:val="none" w:sz="0" w:space="0" w:color="auto"/>
            <w:bottom w:val="none" w:sz="0" w:space="0" w:color="auto"/>
            <w:right w:val="none" w:sz="0" w:space="0" w:color="auto"/>
          </w:divBdr>
        </w:div>
        <w:div w:id="1778868138">
          <w:marLeft w:val="0"/>
          <w:marRight w:val="0"/>
          <w:marTop w:val="0"/>
          <w:marBottom w:val="0"/>
          <w:divBdr>
            <w:top w:val="none" w:sz="0" w:space="0" w:color="auto"/>
            <w:left w:val="none" w:sz="0" w:space="0" w:color="auto"/>
            <w:bottom w:val="none" w:sz="0" w:space="0" w:color="auto"/>
            <w:right w:val="none" w:sz="0" w:space="0" w:color="auto"/>
          </w:divBdr>
        </w:div>
        <w:div w:id="1799837022">
          <w:marLeft w:val="0"/>
          <w:marRight w:val="0"/>
          <w:marTop w:val="0"/>
          <w:marBottom w:val="0"/>
          <w:divBdr>
            <w:top w:val="none" w:sz="0" w:space="0" w:color="auto"/>
            <w:left w:val="none" w:sz="0" w:space="0" w:color="auto"/>
            <w:bottom w:val="none" w:sz="0" w:space="0" w:color="auto"/>
            <w:right w:val="none" w:sz="0" w:space="0" w:color="auto"/>
          </w:divBdr>
        </w:div>
        <w:div w:id="1805809794">
          <w:marLeft w:val="0"/>
          <w:marRight w:val="0"/>
          <w:marTop w:val="0"/>
          <w:marBottom w:val="0"/>
          <w:divBdr>
            <w:top w:val="none" w:sz="0" w:space="0" w:color="auto"/>
            <w:left w:val="none" w:sz="0" w:space="0" w:color="auto"/>
            <w:bottom w:val="none" w:sz="0" w:space="0" w:color="auto"/>
            <w:right w:val="none" w:sz="0" w:space="0" w:color="auto"/>
          </w:divBdr>
        </w:div>
        <w:div w:id="1808467739">
          <w:marLeft w:val="0"/>
          <w:marRight w:val="0"/>
          <w:marTop w:val="0"/>
          <w:marBottom w:val="0"/>
          <w:divBdr>
            <w:top w:val="none" w:sz="0" w:space="0" w:color="auto"/>
            <w:left w:val="none" w:sz="0" w:space="0" w:color="auto"/>
            <w:bottom w:val="none" w:sz="0" w:space="0" w:color="auto"/>
            <w:right w:val="none" w:sz="0" w:space="0" w:color="auto"/>
          </w:divBdr>
        </w:div>
        <w:div w:id="1813672308">
          <w:marLeft w:val="0"/>
          <w:marRight w:val="0"/>
          <w:marTop w:val="0"/>
          <w:marBottom w:val="0"/>
          <w:divBdr>
            <w:top w:val="none" w:sz="0" w:space="0" w:color="auto"/>
            <w:left w:val="none" w:sz="0" w:space="0" w:color="auto"/>
            <w:bottom w:val="none" w:sz="0" w:space="0" w:color="auto"/>
            <w:right w:val="none" w:sz="0" w:space="0" w:color="auto"/>
          </w:divBdr>
        </w:div>
        <w:div w:id="1817380665">
          <w:marLeft w:val="0"/>
          <w:marRight w:val="0"/>
          <w:marTop w:val="0"/>
          <w:marBottom w:val="0"/>
          <w:divBdr>
            <w:top w:val="none" w:sz="0" w:space="0" w:color="auto"/>
            <w:left w:val="none" w:sz="0" w:space="0" w:color="auto"/>
            <w:bottom w:val="none" w:sz="0" w:space="0" w:color="auto"/>
            <w:right w:val="none" w:sz="0" w:space="0" w:color="auto"/>
          </w:divBdr>
        </w:div>
        <w:div w:id="1861552599">
          <w:marLeft w:val="0"/>
          <w:marRight w:val="0"/>
          <w:marTop w:val="0"/>
          <w:marBottom w:val="0"/>
          <w:divBdr>
            <w:top w:val="none" w:sz="0" w:space="0" w:color="auto"/>
            <w:left w:val="none" w:sz="0" w:space="0" w:color="auto"/>
            <w:bottom w:val="none" w:sz="0" w:space="0" w:color="auto"/>
            <w:right w:val="none" w:sz="0" w:space="0" w:color="auto"/>
          </w:divBdr>
        </w:div>
        <w:div w:id="1873228412">
          <w:marLeft w:val="0"/>
          <w:marRight w:val="0"/>
          <w:marTop w:val="0"/>
          <w:marBottom w:val="0"/>
          <w:divBdr>
            <w:top w:val="none" w:sz="0" w:space="0" w:color="auto"/>
            <w:left w:val="none" w:sz="0" w:space="0" w:color="auto"/>
            <w:bottom w:val="none" w:sz="0" w:space="0" w:color="auto"/>
            <w:right w:val="none" w:sz="0" w:space="0" w:color="auto"/>
          </w:divBdr>
        </w:div>
        <w:div w:id="1873884867">
          <w:marLeft w:val="0"/>
          <w:marRight w:val="0"/>
          <w:marTop w:val="0"/>
          <w:marBottom w:val="0"/>
          <w:divBdr>
            <w:top w:val="none" w:sz="0" w:space="0" w:color="auto"/>
            <w:left w:val="none" w:sz="0" w:space="0" w:color="auto"/>
            <w:bottom w:val="none" w:sz="0" w:space="0" w:color="auto"/>
            <w:right w:val="none" w:sz="0" w:space="0" w:color="auto"/>
          </w:divBdr>
        </w:div>
        <w:div w:id="1876455033">
          <w:marLeft w:val="0"/>
          <w:marRight w:val="0"/>
          <w:marTop w:val="0"/>
          <w:marBottom w:val="0"/>
          <w:divBdr>
            <w:top w:val="none" w:sz="0" w:space="0" w:color="auto"/>
            <w:left w:val="none" w:sz="0" w:space="0" w:color="auto"/>
            <w:bottom w:val="none" w:sz="0" w:space="0" w:color="auto"/>
            <w:right w:val="none" w:sz="0" w:space="0" w:color="auto"/>
          </w:divBdr>
        </w:div>
        <w:div w:id="1923292594">
          <w:marLeft w:val="0"/>
          <w:marRight w:val="0"/>
          <w:marTop w:val="0"/>
          <w:marBottom w:val="0"/>
          <w:divBdr>
            <w:top w:val="none" w:sz="0" w:space="0" w:color="auto"/>
            <w:left w:val="none" w:sz="0" w:space="0" w:color="auto"/>
            <w:bottom w:val="none" w:sz="0" w:space="0" w:color="auto"/>
            <w:right w:val="none" w:sz="0" w:space="0" w:color="auto"/>
          </w:divBdr>
        </w:div>
        <w:div w:id="1938173359">
          <w:marLeft w:val="0"/>
          <w:marRight w:val="0"/>
          <w:marTop w:val="0"/>
          <w:marBottom w:val="0"/>
          <w:divBdr>
            <w:top w:val="none" w:sz="0" w:space="0" w:color="auto"/>
            <w:left w:val="none" w:sz="0" w:space="0" w:color="auto"/>
            <w:bottom w:val="none" w:sz="0" w:space="0" w:color="auto"/>
            <w:right w:val="none" w:sz="0" w:space="0" w:color="auto"/>
          </w:divBdr>
        </w:div>
        <w:div w:id="1962614260">
          <w:marLeft w:val="0"/>
          <w:marRight w:val="0"/>
          <w:marTop w:val="0"/>
          <w:marBottom w:val="0"/>
          <w:divBdr>
            <w:top w:val="none" w:sz="0" w:space="0" w:color="auto"/>
            <w:left w:val="none" w:sz="0" w:space="0" w:color="auto"/>
            <w:bottom w:val="none" w:sz="0" w:space="0" w:color="auto"/>
            <w:right w:val="none" w:sz="0" w:space="0" w:color="auto"/>
          </w:divBdr>
        </w:div>
        <w:div w:id="1972051026">
          <w:marLeft w:val="0"/>
          <w:marRight w:val="0"/>
          <w:marTop w:val="0"/>
          <w:marBottom w:val="0"/>
          <w:divBdr>
            <w:top w:val="none" w:sz="0" w:space="0" w:color="auto"/>
            <w:left w:val="none" w:sz="0" w:space="0" w:color="auto"/>
            <w:bottom w:val="none" w:sz="0" w:space="0" w:color="auto"/>
            <w:right w:val="none" w:sz="0" w:space="0" w:color="auto"/>
          </w:divBdr>
        </w:div>
        <w:div w:id="1987318857">
          <w:marLeft w:val="0"/>
          <w:marRight w:val="0"/>
          <w:marTop w:val="0"/>
          <w:marBottom w:val="0"/>
          <w:divBdr>
            <w:top w:val="none" w:sz="0" w:space="0" w:color="auto"/>
            <w:left w:val="none" w:sz="0" w:space="0" w:color="auto"/>
            <w:bottom w:val="none" w:sz="0" w:space="0" w:color="auto"/>
            <w:right w:val="none" w:sz="0" w:space="0" w:color="auto"/>
          </w:divBdr>
        </w:div>
        <w:div w:id="1993873640">
          <w:marLeft w:val="0"/>
          <w:marRight w:val="0"/>
          <w:marTop w:val="0"/>
          <w:marBottom w:val="0"/>
          <w:divBdr>
            <w:top w:val="none" w:sz="0" w:space="0" w:color="auto"/>
            <w:left w:val="none" w:sz="0" w:space="0" w:color="auto"/>
            <w:bottom w:val="none" w:sz="0" w:space="0" w:color="auto"/>
            <w:right w:val="none" w:sz="0" w:space="0" w:color="auto"/>
          </w:divBdr>
        </w:div>
        <w:div w:id="2025352845">
          <w:marLeft w:val="0"/>
          <w:marRight w:val="0"/>
          <w:marTop w:val="0"/>
          <w:marBottom w:val="0"/>
          <w:divBdr>
            <w:top w:val="none" w:sz="0" w:space="0" w:color="auto"/>
            <w:left w:val="none" w:sz="0" w:space="0" w:color="auto"/>
            <w:bottom w:val="none" w:sz="0" w:space="0" w:color="auto"/>
            <w:right w:val="none" w:sz="0" w:space="0" w:color="auto"/>
          </w:divBdr>
        </w:div>
        <w:div w:id="2030525368">
          <w:marLeft w:val="0"/>
          <w:marRight w:val="0"/>
          <w:marTop w:val="0"/>
          <w:marBottom w:val="0"/>
          <w:divBdr>
            <w:top w:val="none" w:sz="0" w:space="0" w:color="auto"/>
            <w:left w:val="none" w:sz="0" w:space="0" w:color="auto"/>
            <w:bottom w:val="none" w:sz="0" w:space="0" w:color="auto"/>
            <w:right w:val="none" w:sz="0" w:space="0" w:color="auto"/>
          </w:divBdr>
        </w:div>
        <w:div w:id="2069377289">
          <w:marLeft w:val="0"/>
          <w:marRight w:val="0"/>
          <w:marTop w:val="0"/>
          <w:marBottom w:val="0"/>
          <w:divBdr>
            <w:top w:val="none" w:sz="0" w:space="0" w:color="auto"/>
            <w:left w:val="none" w:sz="0" w:space="0" w:color="auto"/>
            <w:bottom w:val="none" w:sz="0" w:space="0" w:color="auto"/>
            <w:right w:val="none" w:sz="0" w:space="0" w:color="auto"/>
          </w:divBdr>
        </w:div>
        <w:div w:id="2098092486">
          <w:marLeft w:val="0"/>
          <w:marRight w:val="0"/>
          <w:marTop w:val="0"/>
          <w:marBottom w:val="0"/>
          <w:divBdr>
            <w:top w:val="none" w:sz="0" w:space="0" w:color="auto"/>
            <w:left w:val="none" w:sz="0" w:space="0" w:color="auto"/>
            <w:bottom w:val="none" w:sz="0" w:space="0" w:color="auto"/>
            <w:right w:val="none" w:sz="0" w:space="0" w:color="auto"/>
          </w:divBdr>
        </w:div>
        <w:div w:id="2121297699">
          <w:marLeft w:val="0"/>
          <w:marRight w:val="0"/>
          <w:marTop w:val="0"/>
          <w:marBottom w:val="0"/>
          <w:divBdr>
            <w:top w:val="none" w:sz="0" w:space="0" w:color="auto"/>
            <w:left w:val="none" w:sz="0" w:space="0" w:color="auto"/>
            <w:bottom w:val="none" w:sz="0" w:space="0" w:color="auto"/>
            <w:right w:val="none" w:sz="0" w:space="0" w:color="auto"/>
          </w:divBdr>
        </w:div>
        <w:div w:id="2123760403">
          <w:marLeft w:val="0"/>
          <w:marRight w:val="0"/>
          <w:marTop w:val="0"/>
          <w:marBottom w:val="0"/>
          <w:divBdr>
            <w:top w:val="none" w:sz="0" w:space="0" w:color="auto"/>
            <w:left w:val="none" w:sz="0" w:space="0" w:color="auto"/>
            <w:bottom w:val="none" w:sz="0" w:space="0" w:color="auto"/>
            <w:right w:val="none" w:sz="0" w:space="0" w:color="auto"/>
          </w:divBdr>
        </w:div>
        <w:div w:id="2132092663">
          <w:marLeft w:val="0"/>
          <w:marRight w:val="0"/>
          <w:marTop w:val="0"/>
          <w:marBottom w:val="0"/>
          <w:divBdr>
            <w:top w:val="none" w:sz="0" w:space="0" w:color="auto"/>
            <w:left w:val="none" w:sz="0" w:space="0" w:color="auto"/>
            <w:bottom w:val="none" w:sz="0" w:space="0" w:color="auto"/>
            <w:right w:val="none" w:sz="0" w:space="0" w:color="auto"/>
          </w:divBdr>
        </w:div>
        <w:div w:id="2137334151">
          <w:marLeft w:val="0"/>
          <w:marRight w:val="0"/>
          <w:marTop w:val="0"/>
          <w:marBottom w:val="0"/>
          <w:divBdr>
            <w:top w:val="none" w:sz="0" w:space="0" w:color="auto"/>
            <w:left w:val="none" w:sz="0" w:space="0" w:color="auto"/>
            <w:bottom w:val="none" w:sz="0" w:space="0" w:color="auto"/>
            <w:right w:val="none" w:sz="0" w:space="0" w:color="auto"/>
          </w:divBdr>
        </w:div>
      </w:divsChild>
    </w:div>
    <w:div w:id="1155682133">
      <w:bodyDiv w:val="1"/>
      <w:marLeft w:val="0"/>
      <w:marRight w:val="0"/>
      <w:marTop w:val="0"/>
      <w:marBottom w:val="0"/>
      <w:divBdr>
        <w:top w:val="none" w:sz="0" w:space="0" w:color="auto"/>
        <w:left w:val="none" w:sz="0" w:space="0" w:color="auto"/>
        <w:bottom w:val="none" w:sz="0" w:space="0" w:color="auto"/>
        <w:right w:val="none" w:sz="0" w:space="0" w:color="auto"/>
      </w:divBdr>
    </w:div>
    <w:div w:id="1156607607">
      <w:bodyDiv w:val="1"/>
      <w:marLeft w:val="0"/>
      <w:marRight w:val="0"/>
      <w:marTop w:val="0"/>
      <w:marBottom w:val="0"/>
      <w:divBdr>
        <w:top w:val="none" w:sz="0" w:space="0" w:color="auto"/>
        <w:left w:val="none" w:sz="0" w:space="0" w:color="auto"/>
        <w:bottom w:val="none" w:sz="0" w:space="0" w:color="auto"/>
        <w:right w:val="none" w:sz="0" w:space="0" w:color="auto"/>
      </w:divBdr>
    </w:div>
    <w:div w:id="1156990646">
      <w:bodyDiv w:val="1"/>
      <w:marLeft w:val="0"/>
      <w:marRight w:val="0"/>
      <w:marTop w:val="0"/>
      <w:marBottom w:val="0"/>
      <w:divBdr>
        <w:top w:val="none" w:sz="0" w:space="0" w:color="auto"/>
        <w:left w:val="none" w:sz="0" w:space="0" w:color="auto"/>
        <w:bottom w:val="none" w:sz="0" w:space="0" w:color="auto"/>
        <w:right w:val="none" w:sz="0" w:space="0" w:color="auto"/>
      </w:divBdr>
    </w:div>
    <w:div w:id="1158813931">
      <w:bodyDiv w:val="1"/>
      <w:marLeft w:val="0"/>
      <w:marRight w:val="0"/>
      <w:marTop w:val="0"/>
      <w:marBottom w:val="0"/>
      <w:divBdr>
        <w:top w:val="none" w:sz="0" w:space="0" w:color="auto"/>
        <w:left w:val="none" w:sz="0" w:space="0" w:color="auto"/>
        <w:bottom w:val="none" w:sz="0" w:space="0" w:color="auto"/>
        <w:right w:val="none" w:sz="0" w:space="0" w:color="auto"/>
      </w:divBdr>
    </w:div>
    <w:div w:id="1159224684">
      <w:bodyDiv w:val="1"/>
      <w:marLeft w:val="0"/>
      <w:marRight w:val="0"/>
      <w:marTop w:val="0"/>
      <w:marBottom w:val="0"/>
      <w:divBdr>
        <w:top w:val="none" w:sz="0" w:space="0" w:color="auto"/>
        <w:left w:val="none" w:sz="0" w:space="0" w:color="auto"/>
        <w:bottom w:val="none" w:sz="0" w:space="0" w:color="auto"/>
        <w:right w:val="none" w:sz="0" w:space="0" w:color="auto"/>
      </w:divBdr>
    </w:div>
    <w:div w:id="1164590524">
      <w:bodyDiv w:val="1"/>
      <w:marLeft w:val="0"/>
      <w:marRight w:val="0"/>
      <w:marTop w:val="0"/>
      <w:marBottom w:val="0"/>
      <w:divBdr>
        <w:top w:val="none" w:sz="0" w:space="0" w:color="auto"/>
        <w:left w:val="none" w:sz="0" w:space="0" w:color="auto"/>
        <w:bottom w:val="none" w:sz="0" w:space="0" w:color="auto"/>
        <w:right w:val="none" w:sz="0" w:space="0" w:color="auto"/>
      </w:divBdr>
    </w:div>
    <w:div w:id="1165054514">
      <w:bodyDiv w:val="1"/>
      <w:marLeft w:val="0"/>
      <w:marRight w:val="0"/>
      <w:marTop w:val="0"/>
      <w:marBottom w:val="0"/>
      <w:divBdr>
        <w:top w:val="none" w:sz="0" w:space="0" w:color="auto"/>
        <w:left w:val="none" w:sz="0" w:space="0" w:color="auto"/>
        <w:bottom w:val="none" w:sz="0" w:space="0" w:color="auto"/>
        <w:right w:val="none" w:sz="0" w:space="0" w:color="auto"/>
      </w:divBdr>
    </w:div>
    <w:div w:id="1168442331">
      <w:bodyDiv w:val="1"/>
      <w:marLeft w:val="0"/>
      <w:marRight w:val="0"/>
      <w:marTop w:val="0"/>
      <w:marBottom w:val="0"/>
      <w:divBdr>
        <w:top w:val="none" w:sz="0" w:space="0" w:color="auto"/>
        <w:left w:val="none" w:sz="0" w:space="0" w:color="auto"/>
        <w:bottom w:val="none" w:sz="0" w:space="0" w:color="auto"/>
        <w:right w:val="none" w:sz="0" w:space="0" w:color="auto"/>
      </w:divBdr>
    </w:div>
    <w:div w:id="1170563825">
      <w:bodyDiv w:val="1"/>
      <w:marLeft w:val="0"/>
      <w:marRight w:val="0"/>
      <w:marTop w:val="0"/>
      <w:marBottom w:val="0"/>
      <w:divBdr>
        <w:top w:val="none" w:sz="0" w:space="0" w:color="auto"/>
        <w:left w:val="none" w:sz="0" w:space="0" w:color="auto"/>
        <w:bottom w:val="none" w:sz="0" w:space="0" w:color="auto"/>
        <w:right w:val="none" w:sz="0" w:space="0" w:color="auto"/>
      </w:divBdr>
    </w:div>
    <w:div w:id="1172841866">
      <w:bodyDiv w:val="1"/>
      <w:marLeft w:val="0"/>
      <w:marRight w:val="0"/>
      <w:marTop w:val="0"/>
      <w:marBottom w:val="0"/>
      <w:divBdr>
        <w:top w:val="none" w:sz="0" w:space="0" w:color="auto"/>
        <w:left w:val="none" w:sz="0" w:space="0" w:color="auto"/>
        <w:bottom w:val="none" w:sz="0" w:space="0" w:color="auto"/>
        <w:right w:val="none" w:sz="0" w:space="0" w:color="auto"/>
      </w:divBdr>
    </w:div>
    <w:div w:id="1174609209">
      <w:bodyDiv w:val="1"/>
      <w:marLeft w:val="0"/>
      <w:marRight w:val="0"/>
      <w:marTop w:val="0"/>
      <w:marBottom w:val="0"/>
      <w:divBdr>
        <w:top w:val="none" w:sz="0" w:space="0" w:color="auto"/>
        <w:left w:val="none" w:sz="0" w:space="0" w:color="auto"/>
        <w:bottom w:val="none" w:sz="0" w:space="0" w:color="auto"/>
        <w:right w:val="none" w:sz="0" w:space="0" w:color="auto"/>
      </w:divBdr>
    </w:div>
    <w:div w:id="1175346154">
      <w:bodyDiv w:val="1"/>
      <w:marLeft w:val="0"/>
      <w:marRight w:val="0"/>
      <w:marTop w:val="0"/>
      <w:marBottom w:val="0"/>
      <w:divBdr>
        <w:top w:val="none" w:sz="0" w:space="0" w:color="auto"/>
        <w:left w:val="none" w:sz="0" w:space="0" w:color="auto"/>
        <w:bottom w:val="none" w:sz="0" w:space="0" w:color="auto"/>
        <w:right w:val="none" w:sz="0" w:space="0" w:color="auto"/>
      </w:divBdr>
    </w:div>
    <w:div w:id="1182163720">
      <w:bodyDiv w:val="1"/>
      <w:marLeft w:val="0"/>
      <w:marRight w:val="0"/>
      <w:marTop w:val="0"/>
      <w:marBottom w:val="0"/>
      <w:divBdr>
        <w:top w:val="none" w:sz="0" w:space="0" w:color="auto"/>
        <w:left w:val="none" w:sz="0" w:space="0" w:color="auto"/>
        <w:bottom w:val="none" w:sz="0" w:space="0" w:color="auto"/>
        <w:right w:val="none" w:sz="0" w:space="0" w:color="auto"/>
      </w:divBdr>
    </w:div>
    <w:div w:id="1182474760">
      <w:bodyDiv w:val="1"/>
      <w:marLeft w:val="0"/>
      <w:marRight w:val="0"/>
      <w:marTop w:val="0"/>
      <w:marBottom w:val="0"/>
      <w:divBdr>
        <w:top w:val="none" w:sz="0" w:space="0" w:color="auto"/>
        <w:left w:val="none" w:sz="0" w:space="0" w:color="auto"/>
        <w:bottom w:val="none" w:sz="0" w:space="0" w:color="auto"/>
        <w:right w:val="none" w:sz="0" w:space="0" w:color="auto"/>
      </w:divBdr>
    </w:div>
    <w:div w:id="1183012052">
      <w:bodyDiv w:val="1"/>
      <w:marLeft w:val="0"/>
      <w:marRight w:val="0"/>
      <w:marTop w:val="0"/>
      <w:marBottom w:val="0"/>
      <w:divBdr>
        <w:top w:val="none" w:sz="0" w:space="0" w:color="auto"/>
        <w:left w:val="none" w:sz="0" w:space="0" w:color="auto"/>
        <w:bottom w:val="none" w:sz="0" w:space="0" w:color="auto"/>
        <w:right w:val="none" w:sz="0" w:space="0" w:color="auto"/>
      </w:divBdr>
    </w:div>
    <w:div w:id="1184369577">
      <w:bodyDiv w:val="1"/>
      <w:marLeft w:val="0"/>
      <w:marRight w:val="0"/>
      <w:marTop w:val="0"/>
      <w:marBottom w:val="0"/>
      <w:divBdr>
        <w:top w:val="none" w:sz="0" w:space="0" w:color="auto"/>
        <w:left w:val="none" w:sz="0" w:space="0" w:color="auto"/>
        <w:bottom w:val="none" w:sz="0" w:space="0" w:color="auto"/>
        <w:right w:val="none" w:sz="0" w:space="0" w:color="auto"/>
      </w:divBdr>
    </w:div>
    <w:div w:id="1186823194">
      <w:bodyDiv w:val="1"/>
      <w:marLeft w:val="0"/>
      <w:marRight w:val="0"/>
      <w:marTop w:val="0"/>
      <w:marBottom w:val="0"/>
      <w:divBdr>
        <w:top w:val="none" w:sz="0" w:space="0" w:color="auto"/>
        <w:left w:val="none" w:sz="0" w:space="0" w:color="auto"/>
        <w:bottom w:val="none" w:sz="0" w:space="0" w:color="auto"/>
        <w:right w:val="none" w:sz="0" w:space="0" w:color="auto"/>
      </w:divBdr>
    </w:div>
    <w:div w:id="1188375215">
      <w:bodyDiv w:val="1"/>
      <w:marLeft w:val="0"/>
      <w:marRight w:val="0"/>
      <w:marTop w:val="0"/>
      <w:marBottom w:val="0"/>
      <w:divBdr>
        <w:top w:val="none" w:sz="0" w:space="0" w:color="auto"/>
        <w:left w:val="none" w:sz="0" w:space="0" w:color="auto"/>
        <w:bottom w:val="none" w:sz="0" w:space="0" w:color="auto"/>
        <w:right w:val="none" w:sz="0" w:space="0" w:color="auto"/>
      </w:divBdr>
    </w:div>
    <w:div w:id="1189948251">
      <w:bodyDiv w:val="1"/>
      <w:marLeft w:val="0"/>
      <w:marRight w:val="0"/>
      <w:marTop w:val="0"/>
      <w:marBottom w:val="0"/>
      <w:divBdr>
        <w:top w:val="none" w:sz="0" w:space="0" w:color="auto"/>
        <w:left w:val="none" w:sz="0" w:space="0" w:color="auto"/>
        <w:bottom w:val="none" w:sz="0" w:space="0" w:color="auto"/>
        <w:right w:val="none" w:sz="0" w:space="0" w:color="auto"/>
      </w:divBdr>
    </w:div>
    <w:div w:id="1191531241">
      <w:bodyDiv w:val="1"/>
      <w:marLeft w:val="0"/>
      <w:marRight w:val="0"/>
      <w:marTop w:val="0"/>
      <w:marBottom w:val="0"/>
      <w:divBdr>
        <w:top w:val="none" w:sz="0" w:space="0" w:color="auto"/>
        <w:left w:val="none" w:sz="0" w:space="0" w:color="auto"/>
        <w:bottom w:val="none" w:sz="0" w:space="0" w:color="auto"/>
        <w:right w:val="none" w:sz="0" w:space="0" w:color="auto"/>
      </w:divBdr>
    </w:div>
    <w:div w:id="1192571851">
      <w:bodyDiv w:val="1"/>
      <w:marLeft w:val="0"/>
      <w:marRight w:val="0"/>
      <w:marTop w:val="0"/>
      <w:marBottom w:val="0"/>
      <w:divBdr>
        <w:top w:val="none" w:sz="0" w:space="0" w:color="auto"/>
        <w:left w:val="none" w:sz="0" w:space="0" w:color="auto"/>
        <w:bottom w:val="none" w:sz="0" w:space="0" w:color="auto"/>
        <w:right w:val="none" w:sz="0" w:space="0" w:color="auto"/>
      </w:divBdr>
      <w:divsChild>
        <w:div w:id="418252976">
          <w:marLeft w:val="0"/>
          <w:marRight w:val="0"/>
          <w:marTop w:val="0"/>
          <w:marBottom w:val="0"/>
          <w:divBdr>
            <w:top w:val="none" w:sz="0" w:space="0" w:color="auto"/>
            <w:left w:val="none" w:sz="0" w:space="0" w:color="auto"/>
            <w:bottom w:val="none" w:sz="0" w:space="0" w:color="auto"/>
            <w:right w:val="none" w:sz="0" w:space="0" w:color="auto"/>
          </w:divBdr>
        </w:div>
      </w:divsChild>
    </w:div>
    <w:div w:id="1193300954">
      <w:bodyDiv w:val="1"/>
      <w:marLeft w:val="0"/>
      <w:marRight w:val="0"/>
      <w:marTop w:val="0"/>
      <w:marBottom w:val="0"/>
      <w:divBdr>
        <w:top w:val="none" w:sz="0" w:space="0" w:color="auto"/>
        <w:left w:val="none" w:sz="0" w:space="0" w:color="auto"/>
        <w:bottom w:val="none" w:sz="0" w:space="0" w:color="auto"/>
        <w:right w:val="none" w:sz="0" w:space="0" w:color="auto"/>
      </w:divBdr>
    </w:div>
    <w:div w:id="1194150853">
      <w:bodyDiv w:val="1"/>
      <w:marLeft w:val="0"/>
      <w:marRight w:val="0"/>
      <w:marTop w:val="0"/>
      <w:marBottom w:val="0"/>
      <w:divBdr>
        <w:top w:val="none" w:sz="0" w:space="0" w:color="auto"/>
        <w:left w:val="none" w:sz="0" w:space="0" w:color="auto"/>
        <w:bottom w:val="none" w:sz="0" w:space="0" w:color="auto"/>
        <w:right w:val="none" w:sz="0" w:space="0" w:color="auto"/>
      </w:divBdr>
    </w:div>
    <w:div w:id="1194270356">
      <w:bodyDiv w:val="1"/>
      <w:marLeft w:val="0"/>
      <w:marRight w:val="0"/>
      <w:marTop w:val="0"/>
      <w:marBottom w:val="0"/>
      <w:divBdr>
        <w:top w:val="none" w:sz="0" w:space="0" w:color="auto"/>
        <w:left w:val="none" w:sz="0" w:space="0" w:color="auto"/>
        <w:bottom w:val="none" w:sz="0" w:space="0" w:color="auto"/>
        <w:right w:val="none" w:sz="0" w:space="0" w:color="auto"/>
      </w:divBdr>
    </w:div>
    <w:div w:id="1194348225">
      <w:bodyDiv w:val="1"/>
      <w:marLeft w:val="0"/>
      <w:marRight w:val="0"/>
      <w:marTop w:val="0"/>
      <w:marBottom w:val="0"/>
      <w:divBdr>
        <w:top w:val="none" w:sz="0" w:space="0" w:color="auto"/>
        <w:left w:val="none" w:sz="0" w:space="0" w:color="auto"/>
        <w:bottom w:val="none" w:sz="0" w:space="0" w:color="auto"/>
        <w:right w:val="none" w:sz="0" w:space="0" w:color="auto"/>
      </w:divBdr>
    </w:div>
    <w:div w:id="1194533073">
      <w:bodyDiv w:val="1"/>
      <w:marLeft w:val="0"/>
      <w:marRight w:val="0"/>
      <w:marTop w:val="0"/>
      <w:marBottom w:val="0"/>
      <w:divBdr>
        <w:top w:val="none" w:sz="0" w:space="0" w:color="auto"/>
        <w:left w:val="none" w:sz="0" w:space="0" w:color="auto"/>
        <w:bottom w:val="none" w:sz="0" w:space="0" w:color="auto"/>
        <w:right w:val="none" w:sz="0" w:space="0" w:color="auto"/>
      </w:divBdr>
    </w:div>
    <w:div w:id="1199197586">
      <w:bodyDiv w:val="1"/>
      <w:marLeft w:val="0"/>
      <w:marRight w:val="0"/>
      <w:marTop w:val="0"/>
      <w:marBottom w:val="0"/>
      <w:divBdr>
        <w:top w:val="none" w:sz="0" w:space="0" w:color="auto"/>
        <w:left w:val="none" w:sz="0" w:space="0" w:color="auto"/>
        <w:bottom w:val="none" w:sz="0" w:space="0" w:color="auto"/>
        <w:right w:val="none" w:sz="0" w:space="0" w:color="auto"/>
      </w:divBdr>
    </w:div>
    <w:div w:id="1204563013">
      <w:bodyDiv w:val="1"/>
      <w:marLeft w:val="0"/>
      <w:marRight w:val="0"/>
      <w:marTop w:val="0"/>
      <w:marBottom w:val="0"/>
      <w:divBdr>
        <w:top w:val="none" w:sz="0" w:space="0" w:color="auto"/>
        <w:left w:val="none" w:sz="0" w:space="0" w:color="auto"/>
        <w:bottom w:val="none" w:sz="0" w:space="0" w:color="auto"/>
        <w:right w:val="none" w:sz="0" w:space="0" w:color="auto"/>
      </w:divBdr>
    </w:div>
    <w:div w:id="1212301692">
      <w:bodyDiv w:val="1"/>
      <w:marLeft w:val="0"/>
      <w:marRight w:val="0"/>
      <w:marTop w:val="0"/>
      <w:marBottom w:val="0"/>
      <w:divBdr>
        <w:top w:val="none" w:sz="0" w:space="0" w:color="auto"/>
        <w:left w:val="none" w:sz="0" w:space="0" w:color="auto"/>
        <w:bottom w:val="none" w:sz="0" w:space="0" w:color="auto"/>
        <w:right w:val="none" w:sz="0" w:space="0" w:color="auto"/>
      </w:divBdr>
    </w:div>
    <w:div w:id="1214347845">
      <w:bodyDiv w:val="1"/>
      <w:marLeft w:val="0"/>
      <w:marRight w:val="0"/>
      <w:marTop w:val="0"/>
      <w:marBottom w:val="0"/>
      <w:divBdr>
        <w:top w:val="none" w:sz="0" w:space="0" w:color="auto"/>
        <w:left w:val="none" w:sz="0" w:space="0" w:color="auto"/>
        <w:bottom w:val="none" w:sz="0" w:space="0" w:color="auto"/>
        <w:right w:val="none" w:sz="0" w:space="0" w:color="auto"/>
      </w:divBdr>
    </w:div>
    <w:div w:id="1217548027">
      <w:bodyDiv w:val="1"/>
      <w:marLeft w:val="0"/>
      <w:marRight w:val="0"/>
      <w:marTop w:val="0"/>
      <w:marBottom w:val="0"/>
      <w:divBdr>
        <w:top w:val="none" w:sz="0" w:space="0" w:color="auto"/>
        <w:left w:val="none" w:sz="0" w:space="0" w:color="auto"/>
        <w:bottom w:val="none" w:sz="0" w:space="0" w:color="auto"/>
        <w:right w:val="none" w:sz="0" w:space="0" w:color="auto"/>
      </w:divBdr>
    </w:div>
    <w:div w:id="1217744024">
      <w:bodyDiv w:val="1"/>
      <w:marLeft w:val="0"/>
      <w:marRight w:val="0"/>
      <w:marTop w:val="0"/>
      <w:marBottom w:val="0"/>
      <w:divBdr>
        <w:top w:val="none" w:sz="0" w:space="0" w:color="auto"/>
        <w:left w:val="none" w:sz="0" w:space="0" w:color="auto"/>
        <w:bottom w:val="none" w:sz="0" w:space="0" w:color="auto"/>
        <w:right w:val="none" w:sz="0" w:space="0" w:color="auto"/>
      </w:divBdr>
    </w:div>
    <w:div w:id="1218005625">
      <w:bodyDiv w:val="1"/>
      <w:marLeft w:val="0"/>
      <w:marRight w:val="0"/>
      <w:marTop w:val="0"/>
      <w:marBottom w:val="0"/>
      <w:divBdr>
        <w:top w:val="none" w:sz="0" w:space="0" w:color="auto"/>
        <w:left w:val="none" w:sz="0" w:space="0" w:color="auto"/>
        <w:bottom w:val="none" w:sz="0" w:space="0" w:color="auto"/>
        <w:right w:val="none" w:sz="0" w:space="0" w:color="auto"/>
      </w:divBdr>
    </w:div>
    <w:div w:id="1218468714">
      <w:bodyDiv w:val="1"/>
      <w:marLeft w:val="0"/>
      <w:marRight w:val="0"/>
      <w:marTop w:val="0"/>
      <w:marBottom w:val="0"/>
      <w:divBdr>
        <w:top w:val="none" w:sz="0" w:space="0" w:color="auto"/>
        <w:left w:val="none" w:sz="0" w:space="0" w:color="auto"/>
        <w:bottom w:val="none" w:sz="0" w:space="0" w:color="auto"/>
        <w:right w:val="none" w:sz="0" w:space="0" w:color="auto"/>
      </w:divBdr>
    </w:div>
    <w:div w:id="1220287147">
      <w:bodyDiv w:val="1"/>
      <w:marLeft w:val="0"/>
      <w:marRight w:val="0"/>
      <w:marTop w:val="0"/>
      <w:marBottom w:val="0"/>
      <w:divBdr>
        <w:top w:val="none" w:sz="0" w:space="0" w:color="auto"/>
        <w:left w:val="none" w:sz="0" w:space="0" w:color="auto"/>
        <w:bottom w:val="none" w:sz="0" w:space="0" w:color="auto"/>
        <w:right w:val="none" w:sz="0" w:space="0" w:color="auto"/>
      </w:divBdr>
    </w:div>
    <w:div w:id="1220635160">
      <w:bodyDiv w:val="1"/>
      <w:marLeft w:val="0"/>
      <w:marRight w:val="0"/>
      <w:marTop w:val="0"/>
      <w:marBottom w:val="0"/>
      <w:divBdr>
        <w:top w:val="none" w:sz="0" w:space="0" w:color="auto"/>
        <w:left w:val="none" w:sz="0" w:space="0" w:color="auto"/>
        <w:bottom w:val="none" w:sz="0" w:space="0" w:color="auto"/>
        <w:right w:val="none" w:sz="0" w:space="0" w:color="auto"/>
      </w:divBdr>
    </w:div>
    <w:div w:id="1222444340">
      <w:bodyDiv w:val="1"/>
      <w:marLeft w:val="0"/>
      <w:marRight w:val="0"/>
      <w:marTop w:val="0"/>
      <w:marBottom w:val="0"/>
      <w:divBdr>
        <w:top w:val="none" w:sz="0" w:space="0" w:color="auto"/>
        <w:left w:val="none" w:sz="0" w:space="0" w:color="auto"/>
        <w:bottom w:val="none" w:sz="0" w:space="0" w:color="auto"/>
        <w:right w:val="none" w:sz="0" w:space="0" w:color="auto"/>
      </w:divBdr>
    </w:div>
    <w:div w:id="1226145263">
      <w:bodyDiv w:val="1"/>
      <w:marLeft w:val="0"/>
      <w:marRight w:val="0"/>
      <w:marTop w:val="0"/>
      <w:marBottom w:val="0"/>
      <w:divBdr>
        <w:top w:val="none" w:sz="0" w:space="0" w:color="auto"/>
        <w:left w:val="none" w:sz="0" w:space="0" w:color="auto"/>
        <w:bottom w:val="none" w:sz="0" w:space="0" w:color="auto"/>
        <w:right w:val="none" w:sz="0" w:space="0" w:color="auto"/>
      </w:divBdr>
    </w:div>
    <w:div w:id="1227833732">
      <w:bodyDiv w:val="1"/>
      <w:marLeft w:val="0"/>
      <w:marRight w:val="0"/>
      <w:marTop w:val="0"/>
      <w:marBottom w:val="0"/>
      <w:divBdr>
        <w:top w:val="none" w:sz="0" w:space="0" w:color="auto"/>
        <w:left w:val="none" w:sz="0" w:space="0" w:color="auto"/>
        <w:bottom w:val="none" w:sz="0" w:space="0" w:color="auto"/>
        <w:right w:val="none" w:sz="0" w:space="0" w:color="auto"/>
      </w:divBdr>
    </w:div>
    <w:div w:id="1228958570">
      <w:bodyDiv w:val="1"/>
      <w:marLeft w:val="0"/>
      <w:marRight w:val="0"/>
      <w:marTop w:val="0"/>
      <w:marBottom w:val="0"/>
      <w:divBdr>
        <w:top w:val="none" w:sz="0" w:space="0" w:color="auto"/>
        <w:left w:val="none" w:sz="0" w:space="0" w:color="auto"/>
        <w:bottom w:val="none" w:sz="0" w:space="0" w:color="auto"/>
        <w:right w:val="none" w:sz="0" w:space="0" w:color="auto"/>
      </w:divBdr>
    </w:div>
    <w:div w:id="1234895574">
      <w:bodyDiv w:val="1"/>
      <w:marLeft w:val="0"/>
      <w:marRight w:val="0"/>
      <w:marTop w:val="0"/>
      <w:marBottom w:val="0"/>
      <w:divBdr>
        <w:top w:val="none" w:sz="0" w:space="0" w:color="auto"/>
        <w:left w:val="none" w:sz="0" w:space="0" w:color="auto"/>
        <w:bottom w:val="none" w:sz="0" w:space="0" w:color="auto"/>
        <w:right w:val="none" w:sz="0" w:space="0" w:color="auto"/>
      </w:divBdr>
    </w:div>
    <w:div w:id="1235892408">
      <w:bodyDiv w:val="1"/>
      <w:marLeft w:val="0"/>
      <w:marRight w:val="0"/>
      <w:marTop w:val="0"/>
      <w:marBottom w:val="0"/>
      <w:divBdr>
        <w:top w:val="none" w:sz="0" w:space="0" w:color="auto"/>
        <w:left w:val="none" w:sz="0" w:space="0" w:color="auto"/>
        <w:bottom w:val="none" w:sz="0" w:space="0" w:color="auto"/>
        <w:right w:val="none" w:sz="0" w:space="0" w:color="auto"/>
      </w:divBdr>
    </w:div>
    <w:div w:id="1240020420">
      <w:bodyDiv w:val="1"/>
      <w:marLeft w:val="0"/>
      <w:marRight w:val="0"/>
      <w:marTop w:val="0"/>
      <w:marBottom w:val="0"/>
      <w:divBdr>
        <w:top w:val="none" w:sz="0" w:space="0" w:color="auto"/>
        <w:left w:val="none" w:sz="0" w:space="0" w:color="auto"/>
        <w:bottom w:val="none" w:sz="0" w:space="0" w:color="auto"/>
        <w:right w:val="none" w:sz="0" w:space="0" w:color="auto"/>
      </w:divBdr>
    </w:div>
    <w:div w:id="1243878386">
      <w:bodyDiv w:val="1"/>
      <w:marLeft w:val="0"/>
      <w:marRight w:val="0"/>
      <w:marTop w:val="0"/>
      <w:marBottom w:val="0"/>
      <w:divBdr>
        <w:top w:val="none" w:sz="0" w:space="0" w:color="auto"/>
        <w:left w:val="none" w:sz="0" w:space="0" w:color="auto"/>
        <w:bottom w:val="none" w:sz="0" w:space="0" w:color="auto"/>
        <w:right w:val="none" w:sz="0" w:space="0" w:color="auto"/>
      </w:divBdr>
    </w:div>
    <w:div w:id="1246691337">
      <w:bodyDiv w:val="1"/>
      <w:marLeft w:val="0"/>
      <w:marRight w:val="0"/>
      <w:marTop w:val="0"/>
      <w:marBottom w:val="0"/>
      <w:divBdr>
        <w:top w:val="none" w:sz="0" w:space="0" w:color="auto"/>
        <w:left w:val="none" w:sz="0" w:space="0" w:color="auto"/>
        <w:bottom w:val="none" w:sz="0" w:space="0" w:color="auto"/>
        <w:right w:val="none" w:sz="0" w:space="0" w:color="auto"/>
      </w:divBdr>
    </w:div>
    <w:div w:id="1248467098">
      <w:bodyDiv w:val="1"/>
      <w:marLeft w:val="0"/>
      <w:marRight w:val="0"/>
      <w:marTop w:val="0"/>
      <w:marBottom w:val="0"/>
      <w:divBdr>
        <w:top w:val="none" w:sz="0" w:space="0" w:color="auto"/>
        <w:left w:val="none" w:sz="0" w:space="0" w:color="auto"/>
        <w:bottom w:val="none" w:sz="0" w:space="0" w:color="auto"/>
        <w:right w:val="none" w:sz="0" w:space="0" w:color="auto"/>
      </w:divBdr>
    </w:div>
    <w:div w:id="1252471348">
      <w:bodyDiv w:val="1"/>
      <w:marLeft w:val="0"/>
      <w:marRight w:val="0"/>
      <w:marTop w:val="0"/>
      <w:marBottom w:val="0"/>
      <w:divBdr>
        <w:top w:val="none" w:sz="0" w:space="0" w:color="auto"/>
        <w:left w:val="none" w:sz="0" w:space="0" w:color="auto"/>
        <w:bottom w:val="none" w:sz="0" w:space="0" w:color="auto"/>
        <w:right w:val="none" w:sz="0" w:space="0" w:color="auto"/>
      </w:divBdr>
    </w:div>
    <w:div w:id="1257711609">
      <w:bodyDiv w:val="1"/>
      <w:marLeft w:val="0"/>
      <w:marRight w:val="0"/>
      <w:marTop w:val="0"/>
      <w:marBottom w:val="0"/>
      <w:divBdr>
        <w:top w:val="none" w:sz="0" w:space="0" w:color="auto"/>
        <w:left w:val="none" w:sz="0" w:space="0" w:color="auto"/>
        <w:bottom w:val="none" w:sz="0" w:space="0" w:color="auto"/>
        <w:right w:val="none" w:sz="0" w:space="0" w:color="auto"/>
      </w:divBdr>
    </w:div>
    <w:div w:id="1259947874">
      <w:bodyDiv w:val="1"/>
      <w:marLeft w:val="0"/>
      <w:marRight w:val="0"/>
      <w:marTop w:val="0"/>
      <w:marBottom w:val="0"/>
      <w:divBdr>
        <w:top w:val="none" w:sz="0" w:space="0" w:color="auto"/>
        <w:left w:val="none" w:sz="0" w:space="0" w:color="auto"/>
        <w:bottom w:val="none" w:sz="0" w:space="0" w:color="auto"/>
        <w:right w:val="none" w:sz="0" w:space="0" w:color="auto"/>
      </w:divBdr>
    </w:div>
    <w:div w:id="1260262235">
      <w:bodyDiv w:val="1"/>
      <w:marLeft w:val="0"/>
      <w:marRight w:val="0"/>
      <w:marTop w:val="0"/>
      <w:marBottom w:val="0"/>
      <w:divBdr>
        <w:top w:val="none" w:sz="0" w:space="0" w:color="auto"/>
        <w:left w:val="none" w:sz="0" w:space="0" w:color="auto"/>
        <w:bottom w:val="none" w:sz="0" w:space="0" w:color="auto"/>
        <w:right w:val="none" w:sz="0" w:space="0" w:color="auto"/>
      </w:divBdr>
    </w:div>
    <w:div w:id="1261912074">
      <w:bodyDiv w:val="1"/>
      <w:marLeft w:val="0"/>
      <w:marRight w:val="0"/>
      <w:marTop w:val="0"/>
      <w:marBottom w:val="0"/>
      <w:divBdr>
        <w:top w:val="none" w:sz="0" w:space="0" w:color="auto"/>
        <w:left w:val="none" w:sz="0" w:space="0" w:color="auto"/>
        <w:bottom w:val="none" w:sz="0" w:space="0" w:color="auto"/>
        <w:right w:val="none" w:sz="0" w:space="0" w:color="auto"/>
      </w:divBdr>
    </w:div>
    <w:div w:id="1263028404">
      <w:bodyDiv w:val="1"/>
      <w:marLeft w:val="0"/>
      <w:marRight w:val="0"/>
      <w:marTop w:val="0"/>
      <w:marBottom w:val="0"/>
      <w:divBdr>
        <w:top w:val="none" w:sz="0" w:space="0" w:color="auto"/>
        <w:left w:val="none" w:sz="0" w:space="0" w:color="auto"/>
        <w:bottom w:val="none" w:sz="0" w:space="0" w:color="auto"/>
        <w:right w:val="none" w:sz="0" w:space="0" w:color="auto"/>
      </w:divBdr>
    </w:div>
    <w:div w:id="1265571181">
      <w:bodyDiv w:val="1"/>
      <w:marLeft w:val="0"/>
      <w:marRight w:val="0"/>
      <w:marTop w:val="0"/>
      <w:marBottom w:val="0"/>
      <w:divBdr>
        <w:top w:val="none" w:sz="0" w:space="0" w:color="auto"/>
        <w:left w:val="none" w:sz="0" w:space="0" w:color="auto"/>
        <w:bottom w:val="none" w:sz="0" w:space="0" w:color="auto"/>
        <w:right w:val="none" w:sz="0" w:space="0" w:color="auto"/>
      </w:divBdr>
    </w:div>
    <w:div w:id="1275283786">
      <w:bodyDiv w:val="1"/>
      <w:marLeft w:val="0"/>
      <w:marRight w:val="0"/>
      <w:marTop w:val="0"/>
      <w:marBottom w:val="0"/>
      <w:divBdr>
        <w:top w:val="none" w:sz="0" w:space="0" w:color="auto"/>
        <w:left w:val="none" w:sz="0" w:space="0" w:color="auto"/>
        <w:bottom w:val="none" w:sz="0" w:space="0" w:color="auto"/>
        <w:right w:val="none" w:sz="0" w:space="0" w:color="auto"/>
      </w:divBdr>
    </w:div>
    <w:div w:id="1276519255">
      <w:bodyDiv w:val="1"/>
      <w:marLeft w:val="0"/>
      <w:marRight w:val="0"/>
      <w:marTop w:val="0"/>
      <w:marBottom w:val="0"/>
      <w:divBdr>
        <w:top w:val="none" w:sz="0" w:space="0" w:color="auto"/>
        <w:left w:val="none" w:sz="0" w:space="0" w:color="auto"/>
        <w:bottom w:val="none" w:sz="0" w:space="0" w:color="auto"/>
        <w:right w:val="none" w:sz="0" w:space="0" w:color="auto"/>
      </w:divBdr>
    </w:div>
    <w:div w:id="1278296562">
      <w:bodyDiv w:val="1"/>
      <w:marLeft w:val="0"/>
      <w:marRight w:val="0"/>
      <w:marTop w:val="0"/>
      <w:marBottom w:val="0"/>
      <w:divBdr>
        <w:top w:val="none" w:sz="0" w:space="0" w:color="auto"/>
        <w:left w:val="none" w:sz="0" w:space="0" w:color="auto"/>
        <w:bottom w:val="none" w:sz="0" w:space="0" w:color="auto"/>
        <w:right w:val="none" w:sz="0" w:space="0" w:color="auto"/>
      </w:divBdr>
    </w:div>
    <w:div w:id="1278487167">
      <w:bodyDiv w:val="1"/>
      <w:marLeft w:val="0"/>
      <w:marRight w:val="0"/>
      <w:marTop w:val="0"/>
      <w:marBottom w:val="0"/>
      <w:divBdr>
        <w:top w:val="none" w:sz="0" w:space="0" w:color="auto"/>
        <w:left w:val="none" w:sz="0" w:space="0" w:color="auto"/>
        <w:bottom w:val="none" w:sz="0" w:space="0" w:color="auto"/>
        <w:right w:val="none" w:sz="0" w:space="0" w:color="auto"/>
      </w:divBdr>
    </w:div>
    <w:div w:id="1278636390">
      <w:bodyDiv w:val="1"/>
      <w:marLeft w:val="0"/>
      <w:marRight w:val="0"/>
      <w:marTop w:val="0"/>
      <w:marBottom w:val="0"/>
      <w:divBdr>
        <w:top w:val="none" w:sz="0" w:space="0" w:color="auto"/>
        <w:left w:val="none" w:sz="0" w:space="0" w:color="auto"/>
        <w:bottom w:val="none" w:sz="0" w:space="0" w:color="auto"/>
        <w:right w:val="none" w:sz="0" w:space="0" w:color="auto"/>
      </w:divBdr>
    </w:div>
    <w:div w:id="1280574942">
      <w:bodyDiv w:val="1"/>
      <w:marLeft w:val="0"/>
      <w:marRight w:val="0"/>
      <w:marTop w:val="0"/>
      <w:marBottom w:val="0"/>
      <w:divBdr>
        <w:top w:val="none" w:sz="0" w:space="0" w:color="auto"/>
        <w:left w:val="none" w:sz="0" w:space="0" w:color="auto"/>
        <w:bottom w:val="none" w:sz="0" w:space="0" w:color="auto"/>
        <w:right w:val="none" w:sz="0" w:space="0" w:color="auto"/>
      </w:divBdr>
    </w:div>
    <w:div w:id="1282305037">
      <w:bodyDiv w:val="1"/>
      <w:marLeft w:val="0"/>
      <w:marRight w:val="0"/>
      <w:marTop w:val="0"/>
      <w:marBottom w:val="0"/>
      <w:divBdr>
        <w:top w:val="none" w:sz="0" w:space="0" w:color="auto"/>
        <w:left w:val="none" w:sz="0" w:space="0" w:color="auto"/>
        <w:bottom w:val="none" w:sz="0" w:space="0" w:color="auto"/>
        <w:right w:val="none" w:sz="0" w:space="0" w:color="auto"/>
      </w:divBdr>
    </w:div>
    <w:div w:id="1283147388">
      <w:bodyDiv w:val="1"/>
      <w:marLeft w:val="0"/>
      <w:marRight w:val="0"/>
      <w:marTop w:val="0"/>
      <w:marBottom w:val="0"/>
      <w:divBdr>
        <w:top w:val="none" w:sz="0" w:space="0" w:color="auto"/>
        <w:left w:val="none" w:sz="0" w:space="0" w:color="auto"/>
        <w:bottom w:val="none" w:sz="0" w:space="0" w:color="auto"/>
        <w:right w:val="none" w:sz="0" w:space="0" w:color="auto"/>
      </w:divBdr>
    </w:div>
    <w:div w:id="1283267117">
      <w:bodyDiv w:val="1"/>
      <w:marLeft w:val="0"/>
      <w:marRight w:val="0"/>
      <w:marTop w:val="0"/>
      <w:marBottom w:val="0"/>
      <w:divBdr>
        <w:top w:val="none" w:sz="0" w:space="0" w:color="auto"/>
        <w:left w:val="none" w:sz="0" w:space="0" w:color="auto"/>
        <w:bottom w:val="none" w:sz="0" w:space="0" w:color="auto"/>
        <w:right w:val="none" w:sz="0" w:space="0" w:color="auto"/>
      </w:divBdr>
    </w:div>
    <w:div w:id="1284463824">
      <w:bodyDiv w:val="1"/>
      <w:marLeft w:val="0"/>
      <w:marRight w:val="0"/>
      <w:marTop w:val="0"/>
      <w:marBottom w:val="0"/>
      <w:divBdr>
        <w:top w:val="none" w:sz="0" w:space="0" w:color="auto"/>
        <w:left w:val="none" w:sz="0" w:space="0" w:color="auto"/>
        <w:bottom w:val="none" w:sz="0" w:space="0" w:color="auto"/>
        <w:right w:val="none" w:sz="0" w:space="0" w:color="auto"/>
      </w:divBdr>
    </w:div>
    <w:div w:id="1287082645">
      <w:bodyDiv w:val="1"/>
      <w:marLeft w:val="0"/>
      <w:marRight w:val="0"/>
      <w:marTop w:val="0"/>
      <w:marBottom w:val="0"/>
      <w:divBdr>
        <w:top w:val="none" w:sz="0" w:space="0" w:color="auto"/>
        <w:left w:val="none" w:sz="0" w:space="0" w:color="auto"/>
        <w:bottom w:val="none" w:sz="0" w:space="0" w:color="auto"/>
        <w:right w:val="none" w:sz="0" w:space="0" w:color="auto"/>
      </w:divBdr>
    </w:div>
    <w:div w:id="1289509090">
      <w:bodyDiv w:val="1"/>
      <w:marLeft w:val="0"/>
      <w:marRight w:val="0"/>
      <w:marTop w:val="0"/>
      <w:marBottom w:val="0"/>
      <w:divBdr>
        <w:top w:val="none" w:sz="0" w:space="0" w:color="auto"/>
        <w:left w:val="none" w:sz="0" w:space="0" w:color="auto"/>
        <w:bottom w:val="none" w:sz="0" w:space="0" w:color="auto"/>
        <w:right w:val="none" w:sz="0" w:space="0" w:color="auto"/>
      </w:divBdr>
    </w:div>
    <w:div w:id="1291396815">
      <w:bodyDiv w:val="1"/>
      <w:marLeft w:val="0"/>
      <w:marRight w:val="0"/>
      <w:marTop w:val="0"/>
      <w:marBottom w:val="0"/>
      <w:divBdr>
        <w:top w:val="none" w:sz="0" w:space="0" w:color="auto"/>
        <w:left w:val="none" w:sz="0" w:space="0" w:color="auto"/>
        <w:bottom w:val="none" w:sz="0" w:space="0" w:color="auto"/>
        <w:right w:val="none" w:sz="0" w:space="0" w:color="auto"/>
      </w:divBdr>
    </w:div>
    <w:div w:id="1292908066">
      <w:bodyDiv w:val="1"/>
      <w:marLeft w:val="0"/>
      <w:marRight w:val="0"/>
      <w:marTop w:val="0"/>
      <w:marBottom w:val="0"/>
      <w:divBdr>
        <w:top w:val="none" w:sz="0" w:space="0" w:color="auto"/>
        <w:left w:val="none" w:sz="0" w:space="0" w:color="auto"/>
        <w:bottom w:val="none" w:sz="0" w:space="0" w:color="auto"/>
        <w:right w:val="none" w:sz="0" w:space="0" w:color="auto"/>
      </w:divBdr>
    </w:div>
    <w:div w:id="1293173490">
      <w:bodyDiv w:val="1"/>
      <w:marLeft w:val="0"/>
      <w:marRight w:val="0"/>
      <w:marTop w:val="0"/>
      <w:marBottom w:val="0"/>
      <w:divBdr>
        <w:top w:val="none" w:sz="0" w:space="0" w:color="auto"/>
        <w:left w:val="none" w:sz="0" w:space="0" w:color="auto"/>
        <w:bottom w:val="none" w:sz="0" w:space="0" w:color="auto"/>
        <w:right w:val="none" w:sz="0" w:space="0" w:color="auto"/>
      </w:divBdr>
    </w:div>
    <w:div w:id="1293562968">
      <w:bodyDiv w:val="1"/>
      <w:marLeft w:val="0"/>
      <w:marRight w:val="0"/>
      <w:marTop w:val="0"/>
      <w:marBottom w:val="0"/>
      <w:divBdr>
        <w:top w:val="none" w:sz="0" w:space="0" w:color="auto"/>
        <w:left w:val="none" w:sz="0" w:space="0" w:color="auto"/>
        <w:bottom w:val="none" w:sz="0" w:space="0" w:color="auto"/>
        <w:right w:val="none" w:sz="0" w:space="0" w:color="auto"/>
      </w:divBdr>
    </w:div>
    <w:div w:id="1295408154">
      <w:bodyDiv w:val="1"/>
      <w:marLeft w:val="0"/>
      <w:marRight w:val="0"/>
      <w:marTop w:val="0"/>
      <w:marBottom w:val="0"/>
      <w:divBdr>
        <w:top w:val="none" w:sz="0" w:space="0" w:color="auto"/>
        <w:left w:val="none" w:sz="0" w:space="0" w:color="auto"/>
        <w:bottom w:val="none" w:sz="0" w:space="0" w:color="auto"/>
        <w:right w:val="none" w:sz="0" w:space="0" w:color="auto"/>
      </w:divBdr>
    </w:div>
    <w:div w:id="1298685249">
      <w:bodyDiv w:val="1"/>
      <w:marLeft w:val="0"/>
      <w:marRight w:val="0"/>
      <w:marTop w:val="0"/>
      <w:marBottom w:val="0"/>
      <w:divBdr>
        <w:top w:val="none" w:sz="0" w:space="0" w:color="auto"/>
        <w:left w:val="none" w:sz="0" w:space="0" w:color="auto"/>
        <w:bottom w:val="none" w:sz="0" w:space="0" w:color="auto"/>
        <w:right w:val="none" w:sz="0" w:space="0" w:color="auto"/>
      </w:divBdr>
    </w:div>
    <w:div w:id="1299187523">
      <w:bodyDiv w:val="1"/>
      <w:marLeft w:val="0"/>
      <w:marRight w:val="0"/>
      <w:marTop w:val="0"/>
      <w:marBottom w:val="0"/>
      <w:divBdr>
        <w:top w:val="none" w:sz="0" w:space="0" w:color="auto"/>
        <w:left w:val="none" w:sz="0" w:space="0" w:color="auto"/>
        <w:bottom w:val="none" w:sz="0" w:space="0" w:color="auto"/>
        <w:right w:val="none" w:sz="0" w:space="0" w:color="auto"/>
      </w:divBdr>
    </w:div>
    <w:div w:id="1301301470">
      <w:bodyDiv w:val="1"/>
      <w:marLeft w:val="0"/>
      <w:marRight w:val="0"/>
      <w:marTop w:val="0"/>
      <w:marBottom w:val="0"/>
      <w:divBdr>
        <w:top w:val="none" w:sz="0" w:space="0" w:color="auto"/>
        <w:left w:val="none" w:sz="0" w:space="0" w:color="auto"/>
        <w:bottom w:val="none" w:sz="0" w:space="0" w:color="auto"/>
        <w:right w:val="none" w:sz="0" w:space="0" w:color="auto"/>
      </w:divBdr>
    </w:div>
    <w:div w:id="1302348120">
      <w:bodyDiv w:val="1"/>
      <w:marLeft w:val="0"/>
      <w:marRight w:val="0"/>
      <w:marTop w:val="0"/>
      <w:marBottom w:val="0"/>
      <w:divBdr>
        <w:top w:val="none" w:sz="0" w:space="0" w:color="auto"/>
        <w:left w:val="none" w:sz="0" w:space="0" w:color="auto"/>
        <w:bottom w:val="none" w:sz="0" w:space="0" w:color="auto"/>
        <w:right w:val="none" w:sz="0" w:space="0" w:color="auto"/>
      </w:divBdr>
    </w:div>
    <w:div w:id="1304890219">
      <w:bodyDiv w:val="1"/>
      <w:marLeft w:val="0"/>
      <w:marRight w:val="0"/>
      <w:marTop w:val="0"/>
      <w:marBottom w:val="0"/>
      <w:divBdr>
        <w:top w:val="none" w:sz="0" w:space="0" w:color="auto"/>
        <w:left w:val="none" w:sz="0" w:space="0" w:color="auto"/>
        <w:bottom w:val="none" w:sz="0" w:space="0" w:color="auto"/>
        <w:right w:val="none" w:sz="0" w:space="0" w:color="auto"/>
      </w:divBdr>
    </w:div>
    <w:div w:id="1308630886">
      <w:bodyDiv w:val="1"/>
      <w:marLeft w:val="0"/>
      <w:marRight w:val="0"/>
      <w:marTop w:val="0"/>
      <w:marBottom w:val="0"/>
      <w:divBdr>
        <w:top w:val="none" w:sz="0" w:space="0" w:color="auto"/>
        <w:left w:val="none" w:sz="0" w:space="0" w:color="auto"/>
        <w:bottom w:val="none" w:sz="0" w:space="0" w:color="auto"/>
        <w:right w:val="none" w:sz="0" w:space="0" w:color="auto"/>
      </w:divBdr>
    </w:div>
    <w:div w:id="1310208076">
      <w:bodyDiv w:val="1"/>
      <w:marLeft w:val="0"/>
      <w:marRight w:val="0"/>
      <w:marTop w:val="0"/>
      <w:marBottom w:val="0"/>
      <w:divBdr>
        <w:top w:val="none" w:sz="0" w:space="0" w:color="auto"/>
        <w:left w:val="none" w:sz="0" w:space="0" w:color="auto"/>
        <w:bottom w:val="none" w:sz="0" w:space="0" w:color="auto"/>
        <w:right w:val="none" w:sz="0" w:space="0" w:color="auto"/>
      </w:divBdr>
    </w:div>
    <w:div w:id="1311204433">
      <w:bodyDiv w:val="1"/>
      <w:marLeft w:val="0"/>
      <w:marRight w:val="0"/>
      <w:marTop w:val="0"/>
      <w:marBottom w:val="0"/>
      <w:divBdr>
        <w:top w:val="none" w:sz="0" w:space="0" w:color="auto"/>
        <w:left w:val="none" w:sz="0" w:space="0" w:color="auto"/>
        <w:bottom w:val="none" w:sz="0" w:space="0" w:color="auto"/>
        <w:right w:val="none" w:sz="0" w:space="0" w:color="auto"/>
      </w:divBdr>
    </w:div>
    <w:div w:id="1312708501">
      <w:bodyDiv w:val="1"/>
      <w:marLeft w:val="0"/>
      <w:marRight w:val="0"/>
      <w:marTop w:val="0"/>
      <w:marBottom w:val="0"/>
      <w:divBdr>
        <w:top w:val="none" w:sz="0" w:space="0" w:color="auto"/>
        <w:left w:val="none" w:sz="0" w:space="0" w:color="auto"/>
        <w:bottom w:val="none" w:sz="0" w:space="0" w:color="auto"/>
        <w:right w:val="none" w:sz="0" w:space="0" w:color="auto"/>
      </w:divBdr>
    </w:div>
    <w:div w:id="1315648119">
      <w:bodyDiv w:val="1"/>
      <w:marLeft w:val="0"/>
      <w:marRight w:val="0"/>
      <w:marTop w:val="0"/>
      <w:marBottom w:val="0"/>
      <w:divBdr>
        <w:top w:val="none" w:sz="0" w:space="0" w:color="auto"/>
        <w:left w:val="none" w:sz="0" w:space="0" w:color="auto"/>
        <w:bottom w:val="none" w:sz="0" w:space="0" w:color="auto"/>
        <w:right w:val="none" w:sz="0" w:space="0" w:color="auto"/>
      </w:divBdr>
    </w:div>
    <w:div w:id="1315836325">
      <w:bodyDiv w:val="1"/>
      <w:marLeft w:val="0"/>
      <w:marRight w:val="0"/>
      <w:marTop w:val="0"/>
      <w:marBottom w:val="0"/>
      <w:divBdr>
        <w:top w:val="none" w:sz="0" w:space="0" w:color="auto"/>
        <w:left w:val="none" w:sz="0" w:space="0" w:color="auto"/>
        <w:bottom w:val="none" w:sz="0" w:space="0" w:color="auto"/>
        <w:right w:val="none" w:sz="0" w:space="0" w:color="auto"/>
      </w:divBdr>
    </w:div>
    <w:div w:id="1318805814">
      <w:bodyDiv w:val="1"/>
      <w:marLeft w:val="0"/>
      <w:marRight w:val="0"/>
      <w:marTop w:val="0"/>
      <w:marBottom w:val="0"/>
      <w:divBdr>
        <w:top w:val="none" w:sz="0" w:space="0" w:color="auto"/>
        <w:left w:val="none" w:sz="0" w:space="0" w:color="auto"/>
        <w:bottom w:val="none" w:sz="0" w:space="0" w:color="auto"/>
        <w:right w:val="none" w:sz="0" w:space="0" w:color="auto"/>
      </w:divBdr>
    </w:div>
    <w:div w:id="1321542377">
      <w:bodyDiv w:val="1"/>
      <w:marLeft w:val="0"/>
      <w:marRight w:val="0"/>
      <w:marTop w:val="0"/>
      <w:marBottom w:val="0"/>
      <w:divBdr>
        <w:top w:val="none" w:sz="0" w:space="0" w:color="auto"/>
        <w:left w:val="none" w:sz="0" w:space="0" w:color="auto"/>
        <w:bottom w:val="none" w:sz="0" w:space="0" w:color="auto"/>
        <w:right w:val="none" w:sz="0" w:space="0" w:color="auto"/>
      </w:divBdr>
    </w:div>
    <w:div w:id="1321805828">
      <w:bodyDiv w:val="1"/>
      <w:marLeft w:val="0"/>
      <w:marRight w:val="0"/>
      <w:marTop w:val="0"/>
      <w:marBottom w:val="0"/>
      <w:divBdr>
        <w:top w:val="none" w:sz="0" w:space="0" w:color="auto"/>
        <w:left w:val="none" w:sz="0" w:space="0" w:color="auto"/>
        <w:bottom w:val="none" w:sz="0" w:space="0" w:color="auto"/>
        <w:right w:val="none" w:sz="0" w:space="0" w:color="auto"/>
      </w:divBdr>
    </w:div>
    <w:div w:id="1323853949">
      <w:bodyDiv w:val="1"/>
      <w:marLeft w:val="0"/>
      <w:marRight w:val="0"/>
      <w:marTop w:val="0"/>
      <w:marBottom w:val="0"/>
      <w:divBdr>
        <w:top w:val="none" w:sz="0" w:space="0" w:color="auto"/>
        <w:left w:val="none" w:sz="0" w:space="0" w:color="auto"/>
        <w:bottom w:val="none" w:sz="0" w:space="0" w:color="auto"/>
        <w:right w:val="none" w:sz="0" w:space="0" w:color="auto"/>
      </w:divBdr>
    </w:div>
    <w:div w:id="1325011202">
      <w:bodyDiv w:val="1"/>
      <w:marLeft w:val="0"/>
      <w:marRight w:val="0"/>
      <w:marTop w:val="0"/>
      <w:marBottom w:val="0"/>
      <w:divBdr>
        <w:top w:val="none" w:sz="0" w:space="0" w:color="auto"/>
        <w:left w:val="none" w:sz="0" w:space="0" w:color="auto"/>
        <w:bottom w:val="none" w:sz="0" w:space="0" w:color="auto"/>
        <w:right w:val="none" w:sz="0" w:space="0" w:color="auto"/>
      </w:divBdr>
    </w:div>
    <w:div w:id="1326402269">
      <w:bodyDiv w:val="1"/>
      <w:marLeft w:val="0"/>
      <w:marRight w:val="0"/>
      <w:marTop w:val="0"/>
      <w:marBottom w:val="0"/>
      <w:divBdr>
        <w:top w:val="none" w:sz="0" w:space="0" w:color="auto"/>
        <w:left w:val="none" w:sz="0" w:space="0" w:color="auto"/>
        <w:bottom w:val="none" w:sz="0" w:space="0" w:color="auto"/>
        <w:right w:val="none" w:sz="0" w:space="0" w:color="auto"/>
      </w:divBdr>
    </w:div>
    <w:div w:id="1327972620">
      <w:bodyDiv w:val="1"/>
      <w:marLeft w:val="0"/>
      <w:marRight w:val="0"/>
      <w:marTop w:val="0"/>
      <w:marBottom w:val="0"/>
      <w:divBdr>
        <w:top w:val="none" w:sz="0" w:space="0" w:color="auto"/>
        <w:left w:val="none" w:sz="0" w:space="0" w:color="auto"/>
        <w:bottom w:val="none" w:sz="0" w:space="0" w:color="auto"/>
        <w:right w:val="none" w:sz="0" w:space="0" w:color="auto"/>
      </w:divBdr>
    </w:div>
    <w:div w:id="1331760012">
      <w:bodyDiv w:val="1"/>
      <w:marLeft w:val="0"/>
      <w:marRight w:val="0"/>
      <w:marTop w:val="0"/>
      <w:marBottom w:val="0"/>
      <w:divBdr>
        <w:top w:val="none" w:sz="0" w:space="0" w:color="auto"/>
        <w:left w:val="none" w:sz="0" w:space="0" w:color="auto"/>
        <w:bottom w:val="none" w:sz="0" w:space="0" w:color="auto"/>
        <w:right w:val="none" w:sz="0" w:space="0" w:color="auto"/>
      </w:divBdr>
    </w:div>
    <w:div w:id="1333994980">
      <w:bodyDiv w:val="1"/>
      <w:marLeft w:val="0"/>
      <w:marRight w:val="0"/>
      <w:marTop w:val="0"/>
      <w:marBottom w:val="0"/>
      <w:divBdr>
        <w:top w:val="none" w:sz="0" w:space="0" w:color="auto"/>
        <w:left w:val="none" w:sz="0" w:space="0" w:color="auto"/>
        <w:bottom w:val="none" w:sz="0" w:space="0" w:color="auto"/>
        <w:right w:val="none" w:sz="0" w:space="0" w:color="auto"/>
      </w:divBdr>
    </w:div>
    <w:div w:id="1337147943">
      <w:bodyDiv w:val="1"/>
      <w:marLeft w:val="0"/>
      <w:marRight w:val="0"/>
      <w:marTop w:val="0"/>
      <w:marBottom w:val="0"/>
      <w:divBdr>
        <w:top w:val="none" w:sz="0" w:space="0" w:color="auto"/>
        <w:left w:val="none" w:sz="0" w:space="0" w:color="auto"/>
        <w:bottom w:val="none" w:sz="0" w:space="0" w:color="auto"/>
        <w:right w:val="none" w:sz="0" w:space="0" w:color="auto"/>
      </w:divBdr>
    </w:div>
    <w:div w:id="1341199824">
      <w:bodyDiv w:val="1"/>
      <w:marLeft w:val="0"/>
      <w:marRight w:val="0"/>
      <w:marTop w:val="0"/>
      <w:marBottom w:val="0"/>
      <w:divBdr>
        <w:top w:val="none" w:sz="0" w:space="0" w:color="auto"/>
        <w:left w:val="none" w:sz="0" w:space="0" w:color="auto"/>
        <w:bottom w:val="none" w:sz="0" w:space="0" w:color="auto"/>
        <w:right w:val="none" w:sz="0" w:space="0" w:color="auto"/>
      </w:divBdr>
    </w:div>
    <w:div w:id="1341547623">
      <w:bodyDiv w:val="1"/>
      <w:marLeft w:val="0"/>
      <w:marRight w:val="0"/>
      <w:marTop w:val="0"/>
      <w:marBottom w:val="0"/>
      <w:divBdr>
        <w:top w:val="none" w:sz="0" w:space="0" w:color="auto"/>
        <w:left w:val="none" w:sz="0" w:space="0" w:color="auto"/>
        <w:bottom w:val="none" w:sz="0" w:space="0" w:color="auto"/>
        <w:right w:val="none" w:sz="0" w:space="0" w:color="auto"/>
      </w:divBdr>
    </w:div>
    <w:div w:id="1348364631">
      <w:bodyDiv w:val="1"/>
      <w:marLeft w:val="0"/>
      <w:marRight w:val="0"/>
      <w:marTop w:val="0"/>
      <w:marBottom w:val="0"/>
      <w:divBdr>
        <w:top w:val="none" w:sz="0" w:space="0" w:color="auto"/>
        <w:left w:val="none" w:sz="0" w:space="0" w:color="auto"/>
        <w:bottom w:val="none" w:sz="0" w:space="0" w:color="auto"/>
        <w:right w:val="none" w:sz="0" w:space="0" w:color="auto"/>
      </w:divBdr>
    </w:div>
    <w:div w:id="1348480185">
      <w:bodyDiv w:val="1"/>
      <w:marLeft w:val="0"/>
      <w:marRight w:val="0"/>
      <w:marTop w:val="0"/>
      <w:marBottom w:val="0"/>
      <w:divBdr>
        <w:top w:val="none" w:sz="0" w:space="0" w:color="auto"/>
        <w:left w:val="none" w:sz="0" w:space="0" w:color="auto"/>
        <w:bottom w:val="none" w:sz="0" w:space="0" w:color="auto"/>
        <w:right w:val="none" w:sz="0" w:space="0" w:color="auto"/>
      </w:divBdr>
    </w:div>
    <w:div w:id="1353455591">
      <w:bodyDiv w:val="1"/>
      <w:marLeft w:val="0"/>
      <w:marRight w:val="0"/>
      <w:marTop w:val="0"/>
      <w:marBottom w:val="0"/>
      <w:divBdr>
        <w:top w:val="none" w:sz="0" w:space="0" w:color="auto"/>
        <w:left w:val="none" w:sz="0" w:space="0" w:color="auto"/>
        <w:bottom w:val="none" w:sz="0" w:space="0" w:color="auto"/>
        <w:right w:val="none" w:sz="0" w:space="0" w:color="auto"/>
      </w:divBdr>
    </w:div>
    <w:div w:id="1353998661">
      <w:bodyDiv w:val="1"/>
      <w:marLeft w:val="0"/>
      <w:marRight w:val="0"/>
      <w:marTop w:val="0"/>
      <w:marBottom w:val="0"/>
      <w:divBdr>
        <w:top w:val="none" w:sz="0" w:space="0" w:color="auto"/>
        <w:left w:val="none" w:sz="0" w:space="0" w:color="auto"/>
        <w:bottom w:val="none" w:sz="0" w:space="0" w:color="auto"/>
        <w:right w:val="none" w:sz="0" w:space="0" w:color="auto"/>
      </w:divBdr>
    </w:div>
    <w:div w:id="1356806228">
      <w:bodyDiv w:val="1"/>
      <w:marLeft w:val="0"/>
      <w:marRight w:val="0"/>
      <w:marTop w:val="0"/>
      <w:marBottom w:val="0"/>
      <w:divBdr>
        <w:top w:val="none" w:sz="0" w:space="0" w:color="auto"/>
        <w:left w:val="none" w:sz="0" w:space="0" w:color="auto"/>
        <w:bottom w:val="none" w:sz="0" w:space="0" w:color="auto"/>
        <w:right w:val="none" w:sz="0" w:space="0" w:color="auto"/>
      </w:divBdr>
    </w:div>
    <w:div w:id="1359043258">
      <w:bodyDiv w:val="1"/>
      <w:marLeft w:val="0"/>
      <w:marRight w:val="0"/>
      <w:marTop w:val="0"/>
      <w:marBottom w:val="0"/>
      <w:divBdr>
        <w:top w:val="none" w:sz="0" w:space="0" w:color="auto"/>
        <w:left w:val="none" w:sz="0" w:space="0" w:color="auto"/>
        <w:bottom w:val="none" w:sz="0" w:space="0" w:color="auto"/>
        <w:right w:val="none" w:sz="0" w:space="0" w:color="auto"/>
      </w:divBdr>
    </w:div>
    <w:div w:id="1359969159">
      <w:bodyDiv w:val="1"/>
      <w:marLeft w:val="0"/>
      <w:marRight w:val="0"/>
      <w:marTop w:val="0"/>
      <w:marBottom w:val="0"/>
      <w:divBdr>
        <w:top w:val="none" w:sz="0" w:space="0" w:color="auto"/>
        <w:left w:val="none" w:sz="0" w:space="0" w:color="auto"/>
        <w:bottom w:val="none" w:sz="0" w:space="0" w:color="auto"/>
        <w:right w:val="none" w:sz="0" w:space="0" w:color="auto"/>
      </w:divBdr>
    </w:div>
    <w:div w:id="1364094628">
      <w:bodyDiv w:val="1"/>
      <w:marLeft w:val="0"/>
      <w:marRight w:val="0"/>
      <w:marTop w:val="0"/>
      <w:marBottom w:val="0"/>
      <w:divBdr>
        <w:top w:val="none" w:sz="0" w:space="0" w:color="auto"/>
        <w:left w:val="none" w:sz="0" w:space="0" w:color="auto"/>
        <w:bottom w:val="none" w:sz="0" w:space="0" w:color="auto"/>
        <w:right w:val="none" w:sz="0" w:space="0" w:color="auto"/>
      </w:divBdr>
    </w:div>
    <w:div w:id="1366561692">
      <w:bodyDiv w:val="1"/>
      <w:marLeft w:val="0"/>
      <w:marRight w:val="0"/>
      <w:marTop w:val="0"/>
      <w:marBottom w:val="0"/>
      <w:divBdr>
        <w:top w:val="none" w:sz="0" w:space="0" w:color="auto"/>
        <w:left w:val="none" w:sz="0" w:space="0" w:color="auto"/>
        <w:bottom w:val="none" w:sz="0" w:space="0" w:color="auto"/>
        <w:right w:val="none" w:sz="0" w:space="0" w:color="auto"/>
      </w:divBdr>
    </w:div>
    <w:div w:id="1367636315">
      <w:bodyDiv w:val="1"/>
      <w:marLeft w:val="0"/>
      <w:marRight w:val="0"/>
      <w:marTop w:val="0"/>
      <w:marBottom w:val="0"/>
      <w:divBdr>
        <w:top w:val="none" w:sz="0" w:space="0" w:color="auto"/>
        <w:left w:val="none" w:sz="0" w:space="0" w:color="auto"/>
        <w:bottom w:val="none" w:sz="0" w:space="0" w:color="auto"/>
        <w:right w:val="none" w:sz="0" w:space="0" w:color="auto"/>
      </w:divBdr>
    </w:div>
    <w:div w:id="1368677126">
      <w:bodyDiv w:val="1"/>
      <w:marLeft w:val="0"/>
      <w:marRight w:val="0"/>
      <w:marTop w:val="0"/>
      <w:marBottom w:val="0"/>
      <w:divBdr>
        <w:top w:val="none" w:sz="0" w:space="0" w:color="auto"/>
        <w:left w:val="none" w:sz="0" w:space="0" w:color="auto"/>
        <w:bottom w:val="none" w:sz="0" w:space="0" w:color="auto"/>
        <w:right w:val="none" w:sz="0" w:space="0" w:color="auto"/>
      </w:divBdr>
    </w:div>
    <w:div w:id="1370299893">
      <w:bodyDiv w:val="1"/>
      <w:marLeft w:val="0"/>
      <w:marRight w:val="0"/>
      <w:marTop w:val="0"/>
      <w:marBottom w:val="0"/>
      <w:divBdr>
        <w:top w:val="none" w:sz="0" w:space="0" w:color="auto"/>
        <w:left w:val="none" w:sz="0" w:space="0" w:color="auto"/>
        <w:bottom w:val="none" w:sz="0" w:space="0" w:color="auto"/>
        <w:right w:val="none" w:sz="0" w:space="0" w:color="auto"/>
      </w:divBdr>
    </w:div>
    <w:div w:id="1372222780">
      <w:bodyDiv w:val="1"/>
      <w:marLeft w:val="0"/>
      <w:marRight w:val="0"/>
      <w:marTop w:val="0"/>
      <w:marBottom w:val="0"/>
      <w:divBdr>
        <w:top w:val="none" w:sz="0" w:space="0" w:color="auto"/>
        <w:left w:val="none" w:sz="0" w:space="0" w:color="auto"/>
        <w:bottom w:val="none" w:sz="0" w:space="0" w:color="auto"/>
        <w:right w:val="none" w:sz="0" w:space="0" w:color="auto"/>
      </w:divBdr>
    </w:div>
    <w:div w:id="1373117566">
      <w:bodyDiv w:val="1"/>
      <w:marLeft w:val="0"/>
      <w:marRight w:val="0"/>
      <w:marTop w:val="0"/>
      <w:marBottom w:val="0"/>
      <w:divBdr>
        <w:top w:val="none" w:sz="0" w:space="0" w:color="auto"/>
        <w:left w:val="none" w:sz="0" w:space="0" w:color="auto"/>
        <w:bottom w:val="none" w:sz="0" w:space="0" w:color="auto"/>
        <w:right w:val="none" w:sz="0" w:space="0" w:color="auto"/>
      </w:divBdr>
    </w:div>
    <w:div w:id="1374034137">
      <w:bodyDiv w:val="1"/>
      <w:marLeft w:val="0"/>
      <w:marRight w:val="0"/>
      <w:marTop w:val="0"/>
      <w:marBottom w:val="0"/>
      <w:divBdr>
        <w:top w:val="none" w:sz="0" w:space="0" w:color="auto"/>
        <w:left w:val="none" w:sz="0" w:space="0" w:color="auto"/>
        <w:bottom w:val="none" w:sz="0" w:space="0" w:color="auto"/>
        <w:right w:val="none" w:sz="0" w:space="0" w:color="auto"/>
      </w:divBdr>
    </w:div>
    <w:div w:id="1375737071">
      <w:bodyDiv w:val="1"/>
      <w:marLeft w:val="0"/>
      <w:marRight w:val="0"/>
      <w:marTop w:val="0"/>
      <w:marBottom w:val="0"/>
      <w:divBdr>
        <w:top w:val="none" w:sz="0" w:space="0" w:color="auto"/>
        <w:left w:val="none" w:sz="0" w:space="0" w:color="auto"/>
        <w:bottom w:val="none" w:sz="0" w:space="0" w:color="auto"/>
        <w:right w:val="none" w:sz="0" w:space="0" w:color="auto"/>
      </w:divBdr>
    </w:div>
    <w:div w:id="1375809713">
      <w:bodyDiv w:val="1"/>
      <w:marLeft w:val="0"/>
      <w:marRight w:val="0"/>
      <w:marTop w:val="0"/>
      <w:marBottom w:val="0"/>
      <w:divBdr>
        <w:top w:val="none" w:sz="0" w:space="0" w:color="auto"/>
        <w:left w:val="none" w:sz="0" w:space="0" w:color="auto"/>
        <w:bottom w:val="none" w:sz="0" w:space="0" w:color="auto"/>
        <w:right w:val="none" w:sz="0" w:space="0" w:color="auto"/>
      </w:divBdr>
    </w:div>
    <w:div w:id="1375931981">
      <w:bodyDiv w:val="1"/>
      <w:marLeft w:val="0"/>
      <w:marRight w:val="0"/>
      <w:marTop w:val="0"/>
      <w:marBottom w:val="0"/>
      <w:divBdr>
        <w:top w:val="none" w:sz="0" w:space="0" w:color="auto"/>
        <w:left w:val="none" w:sz="0" w:space="0" w:color="auto"/>
        <w:bottom w:val="none" w:sz="0" w:space="0" w:color="auto"/>
        <w:right w:val="none" w:sz="0" w:space="0" w:color="auto"/>
      </w:divBdr>
    </w:div>
    <w:div w:id="1377774293">
      <w:bodyDiv w:val="1"/>
      <w:marLeft w:val="0"/>
      <w:marRight w:val="0"/>
      <w:marTop w:val="0"/>
      <w:marBottom w:val="0"/>
      <w:divBdr>
        <w:top w:val="none" w:sz="0" w:space="0" w:color="auto"/>
        <w:left w:val="none" w:sz="0" w:space="0" w:color="auto"/>
        <w:bottom w:val="none" w:sz="0" w:space="0" w:color="auto"/>
        <w:right w:val="none" w:sz="0" w:space="0" w:color="auto"/>
      </w:divBdr>
    </w:div>
    <w:div w:id="1380784318">
      <w:bodyDiv w:val="1"/>
      <w:marLeft w:val="0"/>
      <w:marRight w:val="0"/>
      <w:marTop w:val="0"/>
      <w:marBottom w:val="0"/>
      <w:divBdr>
        <w:top w:val="none" w:sz="0" w:space="0" w:color="auto"/>
        <w:left w:val="none" w:sz="0" w:space="0" w:color="auto"/>
        <w:bottom w:val="none" w:sz="0" w:space="0" w:color="auto"/>
        <w:right w:val="none" w:sz="0" w:space="0" w:color="auto"/>
      </w:divBdr>
    </w:div>
    <w:div w:id="1383939140">
      <w:bodyDiv w:val="1"/>
      <w:marLeft w:val="0"/>
      <w:marRight w:val="0"/>
      <w:marTop w:val="0"/>
      <w:marBottom w:val="0"/>
      <w:divBdr>
        <w:top w:val="none" w:sz="0" w:space="0" w:color="auto"/>
        <w:left w:val="none" w:sz="0" w:space="0" w:color="auto"/>
        <w:bottom w:val="none" w:sz="0" w:space="0" w:color="auto"/>
        <w:right w:val="none" w:sz="0" w:space="0" w:color="auto"/>
      </w:divBdr>
    </w:div>
    <w:div w:id="1385332594">
      <w:bodyDiv w:val="1"/>
      <w:marLeft w:val="0"/>
      <w:marRight w:val="0"/>
      <w:marTop w:val="0"/>
      <w:marBottom w:val="0"/>
      <w:divBdr>
        <w:top w:val="none" w:sz="0" w:space="0" w:color="auto"/>
        <w:left w:val="none" w:sz="0" w:space="0" w:color="auto"/>
        <w:bottom w:val="none" w:sz="0" w:space="0" w:color="auto"/>
        <w:right w:val="none" w:sz="0" w:space="0" w:color="auto"/>
      </w:divBdr>
    </w:div>
    <w:div w:id="1385644281">
      <w:bodyDiv w:val="1"/>
      <w:marLeft w:val="0"/>
      <w:marRight w:val="0"/>
      <w:marTop w:val="0"/>
      <w:marBottom w:val="0"/>
      <w:divBdr>
        <w:top w:val="none" w:sz="0" w:space="0" w:color="auto"/>
        <w:left w:val="none" w:sz="0" w:space="0" w:color="auto"/>
        <w:bottom w:val="none" w:sz="0" w:space="0" w:color="auto"/>
        <w:right w:val="none" w:sz="0" w:space="0" w:color="auto"/>
      </w:divBdr>
    </w:div>
    <w:div w:id="1387338096">
      <w:bodyDiv w:val="1"/>
      <w:marLeft w:val="0"/>
      <w:marRight w:val="0"/>
      <w:marTop w:val="0"/>
      <w:marBottom w:val="0"/>
      <w:divBdr>
        <w:top w:val="none" w:sz="0" w:space="0" w:color="auto"/>
        <w:left w:val="none" w:sz="0" w:space="0" w:color="auto"/>
        <w:bottom w:val="none" w:sz="0" w:space="0" w:color="auto"/>
        <w:right w:val="none" w:sz="0" w:space="0" w:color="auto"/>
      </w:divBdr>
    </w:div>
    <w:div w:id="1389526002">
      <w:bodyDiv w:val="1"/>
      <w:marLeft w:val="0"/>
      <w:marRight w:val="0"/>
      <w:marTop w:val="0"/>
      <w:marBottom w:val="0"/>
      <w:divBdr>
        <w:top w:val="none" w:sz="0" w:space="0" w:color="auto"/>
        <w:left w:val="none" w:sz="0" w:space="0" w:color="auto"/>
        <w:bottom w:val="none" w:sz="0" w:space="0" w:color="auto"/>
        <w:right w:val="none" w:sz="0" w:space="0" w:color="auto"/>
      </w:divBdr>
    </w:div>
    <w:div w:id="1394432408">
      <w:bodyDiv w:val="1"/>
      <w:marLeft w:val="0"/>
      <w:marRight w:val="0"/>
      <w:marTop w:val="0"/>
      <w:marBottom w:val="0"/>
      <w:divBdr>
        <w:top w:val="none" w:sz="0" w:space="0" w:color="auto"/>
        <w:left w:val="none" w:sz="0" w:space="0" w:color="auto"/>
        <w:bottom w:val="none" w:sz="0" w:space="0" w:color="auto"/>
        <w:right w:val="none" w:sz="0" w:space="0" w:color="auto"/>
      </w:divBdr>
    </w:div>
    <w:div w:id="1396784545">
      <w:bodyDiv w:val="1"/>
      <w:marLeft w:val="0"/>
      <w:marRight w:val="0"/>
      <w:marTop w:val="0"/>
      <w:marBottom w:val="0"/>
      <w:divBdr>
        <w:top w:val="none" w:sz="0" w:space="0" w:color="auto"/>
        <w:left w:val="none" w:sz="0" w:space="0" w:color="auto"/>
        <w:bottom w:val="none" w:sz="0" w:space="0" w:color="auto"/>
        <w:right w:val="none" w:sz="0" w:space="0" w:color="auto"/>
      </w:divBdr>
    </w:div>
    <w:div w:id="1398749032">
      <w:bodyDiv w:val="1"/>
      <w:marLeft w:val="0"/>
      <w:marRight w:val="0"/>
      <w:marTop w:val="0"/>
      <w:marBottom w:val="0"/>
      <w:divBdr>
        <w:top w:val="none" w:sz="0" w:space="0" w:color="auto"/>
        <w:left w:val="none" w:sz="0" w:space="0" w:color="auto"/>
        <w:bottom w:val="none" w:sz="0" w:space="0" w:color="auto"/>
        <w:right w:val="none" w:sz="0" w:space="0" w:color="auto"/>
      </w:divBdr>
    </w:div>
    <w:div w:id="1400135965">
      <w:bodyDiv w:val="1"/>
      <w:marLeft w:val="0"/>
      <w:marRight w:val="0"/>
      <w:marTop w:val="0"/>
      <w:marBottom w:val="0"/>
      <w:divBdr>
        <w:top w:val="none" w:sz="0" w:space="0" w:color="auto"/>
        <w:left w:val="none" w:sz="0" w:space="0" w:color="auto"/>
        <w:bottom w:val="none" w:sz="0" w:space="0" w:color="auto"/>
        <w:right w:val="none" w:sz="0" w:space="0" w:color="auto"/>
      </w:divBdr>
    </w:div>
    <w:div w:id="1401633020">
      <w:bodyDiv w:val="1"/>
      <w:marLeft w:val="0"/>
      <w:marRight w:val="0"/>
      <w:marTop w:val="0"/>
      <w:marBottom w:val="0"/>
      <w:divBdr>
        <w:top w:val="none" w:sz="0" w:space="0" w:color="auto"/>
        <w:left w:val="none" w:sz="0" w:space="0" w:color="auto"/>
        <w:bottom w:val="none" w:sz="0" w:space="0" w:color="auto"/>
        <w:right w:val="none" w:sz="0" w:space="0" w:color="auto"/>
      </w:divBdr>
    </w:div>
    <w:div w:id="1403404713">
      <w:bodyDiv w:val="1"/>
      <w:marLeft w:val="0"/>
      <w:marRight w:val="0"/>
      <w:marTop w:val="0"/>
      <w:marBottom w:val="0"/>
      <w:divBdr>
        <w:top w:val="none" w:sz="0" w:space="0" w:color="auto"/>
        <w:left w:val="none" w:sz="0" w:space="0" w:color="auto"/>
        <w:bottom w:val="none" w:sz="0" w:space="0" w:color="auto"/>
        <w:right w:val="none" w:sz="0" w:space="0" w:color="auto"/>
      </w:divBdr>
      <w:divsChild>
        <w:div w:id="3174887">
          <w:marLeft w:val="0"/>
          <w:marRight w:val="0"/>
          <w:marTop w:val="0"/>
          <w:marBottom w:val="0"/>
          <w:divBdr>
            <w:top w:val="none" w:sz="0" w:space="0" w:color="auto"/>
            <w:left w:val="none" w:sz="0" w:space="0" w:color="auto"/>
            <w:bottom w:val="none" w:sz="0" w:space="0" w:color="auto"/>
            <w:right w:val="none" w:sz="0" w:space="0" w:color="auto"/>
          </w:divBdr>
        </w:div>
        <w:div w:id="348727737">
          <w:marLeft w:val="0"/>
          <w:marRight w:val="0"/>
          <w:marTop w:val="0"/>
          <w:marBottom w:val="0"/>
          <w:divBdr>
            <w:top w:val="none" w:sz="0" w:space="0" w:color="auto"/>
            <w:left w:val="none" w:sz="0" w:space="0" w:color="auto"/>
            <w:bottom w:val="none" w:sz="0" w:space="0" w:color="auto"/>
            <w:right w:val="none" w:sz="0" w:space="0" w:color="auto"/>
          </w:divBdr>
        </w:div>
        <w:div w:id="573516118">
          <w:marLeft w:val="0"/>
          <w:marRight w:val="0"/>
          <w:marTop w:val="0"/>
          <w:marBottom w:val="0"/>
          <w:divBdr>
            <w:top w:val="none" w:sz="0" w:space="0" w:color="auto"/>
            <w:left w:val="none" w:sz="0" w:space="0" w:color="auto"/>
            <w:bottom w:val="none" w:sz="0" w:space="0" w:color="auto"/>
            <w:right w:val="none" w:sz="0" w:space="0" w:color="auto"/>
          </w:divBdr>
        </w:div>
        <w:div w:id="633875133">
          <w:marLeft w:val="0"/>
          <w:marRight w:val="0"/>
          <w:marTop w:val="0"/>
          <w:marBottom w:val="0"/>
          <w:divBdr>
            <w:top w:val="none" w:sz="0" w:space="0" w:color="auto"/>
            <w:left w:val="none" w:sz="0" w:space="0" w:color="auto"/>
            <w:bottom w:val="none" w:sz="0" w:space="0" w:color="auto"/>
            <w:right w:val="none" w:sz="0" w:space="0" w:color="auto"/>
          </w:divBdr>
        </w:div>
        <w:div w:id="697123293">
          <w:marLeft w:val="0"/>
          <w:marRight w:val="0"/>
          <w:marTop w:val="0"/>
          <w:marBottom w:val="0"/>
          <w:divBdr>
            <w:top w:val="none" w:sz="0" w:space="0" w:color="auto"/>
            <w:left w:val="none" w:sz="0" w:space="0" w:color="auto"/>
            <w:bottom w:val="none" w:sz="0" w:space="0" w:color="auto"/>
            <w:right w:val="none" w:sz="0" w:space="0" w:color="auto"/>
          </w:divBdr>
        </w:div>
        <w:div w:id="961299774">
          <w:marLeft w:val="0"/>
          <w:marRight w:val="0"/>
          <w:marTop w:val="0"/>
          <w:marBottom w:val="0"/>
          <w:divBdr>
            <w:top w:val="none" w:sz="0" w:space="0" w:color="auto"/>
            <w:left w:val="none" w:sz="0" w:space="0" w:color="auto"/>
            <w:bottom w:val="none" w:sz="0" w:space="0" w:color="auto"/>
            <w:right w:val="none" w:sz="0" w:space="0" w:color="auto"/>
          </w:divBdr>
        </w:div>
        <w:div w:id="1394541870">
          <w:marLeft w:val="0"/>
          <w:marRight w:val="0"/>
          <w:marTop w:val="0"/>
          <w:marBottom w:val="0"/>
          <w:divBdr>
            <w:top w:val="none" w:sz="0" w:space="0" w:color="auto"/>
            <w:left w:val="none" w:sz="0" w:space="0" w:color="auto"/>
            <w:bottom w:val="none" w:sz="0" w:space="0" w:color="auto"/>
            <w:right w:val="none" w:sz="0" w:space="0" w:color="auto"/>
          </w:divBdr>
        </w:div>
        <w:div w:id="1418408407">
          <w:marLeft w:val="0"/>
          <w:marRight w:val="0"/>
          <w:marTop w:val="0"/>
          <w:marBottom w:val="0"/>
          <w:divBdr>
            <w:top w:val="none" w:sz="0" w:space="0" w:color="auto"/>
            <w:left w:val="none" w:sz="0" w:space="0" w:color="auto"/>
            <w:bottom w:val="none" w:sz="0" w:space="0" w:color="auto"/>
            <w:right w:val="none" w:sz="0" w:space="0" w:color="auto"/>
          </w:divBdr>
        </w:div>
      </w:divsChild>
    </w:div>
    <w:div w:id="1403791805">
      <w:bodyDiv w:val="1"/>
      <w:marLeft w:val="0"/>
      <w:marRight w:val="0"/>
      <w:marTop w:val="0"/>
      <w:marBottom w:val="0"/>
      <w:divBdr>
        <w:top w:val="none" w:sz="0" w:space="0" w:color="auto"/>
        <w:left w:val="none" w:sz="0" w:space="0" w:color="auto"/>
        <w:bottom w:val="none" w:sz="0" w:space="0" w:color="auto"/>
        <w:right w:val="none" w:sz="0" w:space="0" w:color="auto"/>
      </w:divBdr>
      <w:divsChild>
        <w:div w:id="67657308">
          <w:marLeft w:val="0"/>
          <w:marRight w:val="0"/>
          <w:marTop w:val="0"/>
          <w:marBottom w:val="0"/>
          <w:divBdr>
            <w:top w:val="none" w:sz="0" w:space="0" w:color="auto"/>
            <w:left w:val="none" w:sz="0" w:space="0" w:color="auto"/>
            <w:bottom w:val="none" w:sz="0" w:space="0" w:color="auto"/>
            <w:right w:val="none" w:sz="0" w:space="0" w:color="auto"/>
          </w:divBdr>
        </w:div>
        <w:div w:id="102192416">
          <w:marLeft w:val="0"/>
          <w:marRight w:val="0"/>
          <w:marTop w:val="0"/>
          <w:marBottom w:val="0"/>
          <w:divBdr>
            <w:top w:val="none" w:sz="0" w:space="0" w:color="auto"/>
            <w:left w:val="none" w:sz="0" w:space="0" w:color="auto"/>
            <w:bottom w:val="none" w:sz="0" w:space="0" w:color="auto"/>
            <w:right w:val="none" w:sz="0" w:space="0" w:color="auto"/>
          </w:divBdr>
        </w:div>
        <w:div w:id="168447625">
          <w:marLeft w:val="0"/>
          <w:marRight w:val="0"/>
          <w:marTop w:val="0"/>
          <w:marBottom w:val="0"/>
          <w:divBdr>
            <w:top w:val="none" w:sz="0" w:space="0" w:color="auto"/>
            <w:left w:val="none" w:sz="0" w:space="0" w:color="auto"/>
            <w:bottom w:val="none" w:sz="0" w:space="0" w:color="auto"/>
            <w:right w:val="none" w:sz="0" w:space="0" w:color="auto"/>
          </w:divBdr>
        </w:div>
        <w:div w:id="210533059">
          <w:marLeft w:val="0"/>
          <w:marRight w:val="0"/>
          <w:marTop w:val="0"/>
          <w:marBottom w:val="0"/>
          <w:divBdr>
            <w:top w:val="none" w:sz="0" w:space="0" w:color="auto"/>
            <w:left w:val="none" w:sz="0" w:space="0" w:color="auto"/>
            <w:bottom w:val="none" w:sz="0" w:space="0" w:color="auto"/>
            <w:right w:val="none" w:sz="0" w:space="0" w:color="auto"/>
          </w:divBdr>
        </w:div>
        <w:div w:id="235089146">
          <w:marLeft w:val="0"/>
          <w:marRight w:val="0"/>
          <w:marTop w:val="0"/>
          <w:marBottom w:val="0"/>
          <w:divBdr>
            <w:top w:val="none" w:sz="0" w:space="0" w:color="auto"/>
            <w:left w:val="none" w:sz="0" w:space="0" w:color="auto"/>
            <w:bottom w:val="none" w:sz="0" w:space="0" w:color="auto"/>
            <w:right w:val="none" w:sz="0" w:space="0" w:color="auto"/>
          </w:divBdr>
        </w:div>
        <w:div w:id="250625210">
          <w:marLeft w:val="0"/>
          <w:marRight w:val="0"/>
          <w:marTop w:val="0"/>
          <w:marBottom w:val="0"/>
          <w:divBdr>
            <w:top w:val="none" w:sz="0" w:space="0" w:color="auto"/>
            <w:left w:val="none" w:sz="0" w:space="0" w:color="auto"/>
            <w:bottom w:val="none" w:sz="0" w:space="0" w:color="auto"/>
            <w:right w:val="none" w:sz="0" w:space="0" w:color="auto"/>
          </w:divBdr>
        </w:div>
        <w:div w:id="288515171">
          <w:marLeft w:val="0"/>
          <w:marRight w:val="0"/>
          <w:marTop w:val="0"/>
          <w:marBottom w:val="0"/>
          <w:divBdr>
            <w:top w:val="none" w:sz="0" w:space="0" w:color="auto"/>
            <w:left w:val="none" w:sz="0" w:space="0" w:color="auto"/>
            <w:bottom w:val="none" w:sz="0" w:space="0" w:color="auto"/>
            <w:right w:val="none" w:sz="0" w:space="0" w:color="auto"/>
          </w:divBdr>
        </w:div>
        <w:div w:id="372006309">
          <w:marLeft w:val="0"/>
          <w:marRight w:val="0"/>
          <w:marTop w:val="0"/>
          <w:marBottom w:val="0"/>
          <w:divBdr>
            <w:top w:val="none" w:sz="0" w:space="0" w:color="auto"/>
            <w:left w:val="none" w:sz="0" w:space="0" w:color="auto"/>
            <w:bottom w:val="none" w:sz="0" w:space="0" w:color="auto"/>
            <w:right w:val="none" w:sz="0" w:space="0" w:color="auto"/>
          </w:divBdr>
        </w:div>
        <w:div w:id="425807548">
          <w:marLeft w:val="0"/>
          <w:marRight w:val="0"/>
          <w:marTop w:val="0"/>
          <w:marBottom w:val="0"/>
          <w:divBdr>
            <w:top w:val="none" w:sz="0" w:space="0" w:color="auto"/>
            <w:left w:val="none" w:sz="0" w:space="0" w:color="auto"/>
            <w:bottom w:val="none" w:sz="0" w:space="0" w:color="auto"/>
            <w:right w:val="none" w:sz="0" w:space="0" w:color="auto"/>
          </w:divBdr>
        </w:div>
        <w:div w:id="577709964">
          <w:marLeft w:val="0"/>
          <w:marRight w:val="0"/>
          <w:marTop w:val="0"/>
          <w:marBottom w:val="0"/>
          <w:divBdr>
            <w:top w:val="none" w:sz="0" w:space="0" w:color="auto"/>
            <w:left w:val="none" w:sz="0" w:space="0" w:color="auto"/>
            <w:bottom w:val="none" w:sz="0" w:space="0" w:color="auto"/>
            <w:right w:val="none" w:sz="0" w:space="0" w:color="auto"/>
          </w:divBdr>
        </w:div>
        <w:div w:id="721290360">
          <w:marLeft w:val="0"/>
          <w:marRight w:val="0"/>
          <w:marTop w:val="0"/>
          <w:marBottom w:val="0"/>
          <w:divBdr>
            <w:top w:val="none" w:sz="0" w:space="0" w:color="auto"/>
            <w:left w:val="none" w:sz="0" w:space="0" w:color="auto"/>
            <w:bottom w:val="none" w:sz="0" w:space="0" w:color="auto"/>
            <w:right w:val="none" w:sz="0" w:space="0" w:color="auto"/>
          </w:divBdr>
        </w:div>
        <w:div w:id="740760309">
          <w:marLeft w:val="0"/>
          <w:marRight w:val="0"/>
          <w:marTop w:val="0"/>
          <w:marBottom w:val="0"/>
          <w:divBdr>
            <w:top w:val="none" w:sz="0" w:space="0" w:color="auto"/>
            <w:left w:val="none" w:sz="0" w:space="0" w:color="auto"/>
            <w:bottom w:val="none" w:sz="0" w:space="0" w:color="auto"/>
            <w:right w:val="none" w:sz="0" w:space="0" w:color="auto"/>
          </w:divBdr>
        </w:div>
        <w:div w:id="782192596">
          <w:marLeft w:val="0"/>
          <w:marRight w:val="0"/>
          <w:marTop w:val="0"/>
          <w:marBottom w:val="0"/>
          <w:divBdr>
            <w:top w:val="none" w:sz="0" w:space="0" w:color="auto"/>
            <w:left w:val="none" w:sz="0" w:space="0" w:color="auto"/>
            <w:bottom w:val="none" w:sz="0" w:space="0" w:color="auto"/>
            <w:right w:val="none" w:sz="0" w:space="0" w:color="auto"/>
          </w:divBdr>
        </w:div>
        <w:div w:id="885290124">
          <w:marLeft w:val="0"/>
          <w:marRight w:val="0"/>
          <w:marTop w:val="0"/>
          <w:marBottom w:val="0"/>
          <w:divBdr>
            <w:top w:val="none" w:sz="0" w:space="0" w:color="auto"/>
            <w:left w:val="none" w:sz="0" w:space="0" w:color="auto"/>
            <w:bottom w:val="none" w:sz="0" w:space="0" w:color="auto"/>
            <w:right w:val="none" w:sz="0" w:space="0" w:color="auto"/>
          </w:divBdr>
        </w:div>
        <w:div w:id="924191720">
          <w:marLeft w:val="0"/>
          <w:marRight w:val="0"/>
          <w:marTop w:val="0"/>
          <w:marBottom w:val="0"/>
          <w:divBdr>
            <w:top w:val="none" w:sz="0" w:space="0" w:color="auto"/>
            <w:left w:val="none" w:sz="0" w:space="0" w:color="auto"/>
            <w:bottom w:val="none" w:sz="0" w:space="0" w:color="auto"/>
            <w:right w:val="none" w:sz="0" w:space="0" w:color="auto"/>
          </w:divBdr>
        </w:div>
        <w:div w:id="991181664">
          <w:marLeft w:val="0"/>
          <w:marRight w:val="0"/>
          <w:marTop w:val="0"/>
          <w:marBottom w:val="0"/>
          <w:divBdr>
            <w:top w:val="none" w:sz="0" w:space="0" w:color="auto"/>
            <w:left w:val="none" w:sz="0" w:space="0" w:color="auto"/>
            <w:bottom w:val="none" w:sz="0" w:space="0" w:color="auto"/>
            <w:right w:val="none" w:sz="0" w:space="0" w:color="auto"/>
          </w:divBdr>
        </w:div>
        <w:div w:id="1004744900">
          <w:marLeft w:val="0"/>
          <w:marRight w:val="0"/>
          <w:marTop w:val="0"/>
          <w:marBottom w:val="0"/>
          <w:divBdr>
            <w:top w:val="none" w:sz="0" w:space="0" w:color="auto"/>
            <w:left w:val="none" w:sz="0" w:space="0" w:color="auto"/>
            <w:bottom w:val="none" w:sz="0" w:space="0" w:color="auto"/>
            <w:right w:val="none" w:sz="0" w:space="0" w:color="auto"/>
          </w:divBdr>
        </w:div>
        <w:div w:id="1045105259">
          <w:marLeft w:val="0"/>
          <w:marRight w:val="0"/>
          <w:marTop w:val="0"/>
          <w:marBottom w:val="0"/>
          <w:divBdr>
            <w:top w:val="none" w:sz="0" w:space="0" w:color="auto"/>
            <w:left w:val="none" w:sz="0" w:space="0" w:color="auto"/>
            <w:bottom w:val="none" w:sz="0" w:space="0" w:color="auto"/>
            <w:right w:val="none" w:sz="0" w:space="0" w:color="auto"/>
          </w:divBdr>
        </w:div>
        <w:div w:id="1140927475">
          <w:marLeft w:val="0"/>
          <w:marRight w:val="0"/>
          <w:marTop w:val="0"/>
          <w:marBottom w:val="0"/>
          <w:divBdr>
            <w:top w:val="none" w:sz="0" w:space="0" w:color="auto"/>
            <w:left w:val="none" w:sz="0" w:space="0" w:color="auto"/>
            <w:bottom w:val="none" w:sz="0" w:space="0" w:color="auto"/>
            <w:right w:val="none" w:sz="0" w:space="0" w:color="auto"/>
          </w:divBdr>
        </w:div>
        <w:div w:id="1192765373">
          <w:marLeft w:val="0"/>
          <w:marRight w:val="0"/>
          <w:marTop w:val="0"/>
          <w:marBottom w:val="0"/>
          <w:divBdr>
            <w:top w:val="none" w:sz="0" w:space="0" w:color="auto"/>
            <w:left w:val="none" w:sz="0" w:space="0" w:color="auto"/>
            <w:bottom w:val="none" w:sz="0" w:space="0" w:color="auto"/>
            <w:right w:val="none" w:sz="0" w:space="0" w:color="auto"/>
          </w:divBdr>
        </w:div>
        <w:div w:id="1429960248">
          <w:marLeft w:val="0"/>
          <w:marRight w:val="0"/>
          <w:marTop w:val="0"/>
          <w:marBottom w:val="0"/>
          <w:divBdr>
            <w:top w:val="none" w:sz="0" w:space="0" w:color="auto"/>
            <w:left w:val="none" w:sz="0" w:space="0" w:color="auto"/>
            <w:bottom w:val="none" w:sz="0" w:space="0" w:color="auto"/>
            <w:right w:val="none" w:sz="0" w:space="0" w:color="auto"/>
          </w:divBdr>
        </w:div>
        <w:div w:id="1456096082">
          <w:marLeft w:val="0"/>
          <w:marRight w:val="0"/>
          <w:marTop w:val="0"/>
          <w:marBottom w:val="0"/>
          <w:divBdr>
            <w:top w:val="none" w:sz="0" w:space="0" w:color="auto"/>
            <w:left w:val="none" w:sz="0" w:space="0" w:color="auto"/>
            <w:bottom w:val="none" w:sz="0" w:space="0" w:color="auto"/>
            <w:right w:val="none" w:sz="0" w:space="0" w:color="auto"/>
          </w:divBdr>
        </w:div>
        <w:div w:id="1471898409">
          <w:marLeft w:val="0"/>
          <w:marRight w:val="0"/>
          <w:marTop w:val="0"/>
          <w:marBottom w:val="0"/>
          <w:divBdr>
            <w:top w:val="none" w:sz="0" w:space="0" w:color="auto"/>
            <w:left w:val="none" w:sz="0" w:space="0" w:color="auto"/>
            <w:bottom w:val="none" w:sz="0" w:space="0" w:color="auto"/>
            <w:right w:val="none" w:sz="0" w:space="0" w:color="auto"/>
          </w:divBdr>
        </w:div>
        <w:div w:id="1502544793">
          <w:marLeft w:val="0"/>
          <w:marRight w:val="0"/>
          <w:marTop w:val="0"/>
          <w:marBottom w:val="0"/>
          <w:divBdr>
            <w:top w:val="none" w:sz="0" w:space="0" w:color="auto"/>
            <w:left w:val="none" w:sz="0" w:space="0" w:color="auto"/>
            <w:bottom w:val="none" w:sz="0" w:space="0" w:color="auto"/>
            <w:right w:val="none" w:sz="0" w:space="0" w:color="auto"/>
          </w:divBdr>
        </w:div>
        <w:div w:id="1643577714">
          <w:marLeft w:val="0"/>
          <w:marRight w:val="0"/>
          <w:marTop w:val="0"/>
          <w:marBottom w:val="0"/>
          <w:divBdr>
            <w:top w:val="none" w:sz="0" w:space="0" w:color="auto"/>
            <w:left w:val="none" w:sz="0" w:space="0" w:color="auto"/>
            <w:bottom w:val="none" w:sz="0" w:space="0" w:color="auto"/>
            <w:right w:val="none" w:sz="0" w:space="0" w:color="auto"/>
          </w:divBdr>
        </w:div>
        <w:div w:id="1771855699">
          <w:marLeft w:val="0"/>
          <w:marRight w:val="0"/>
          <w:marTop w:val="0"/>
          <w:marBottom w:val="0"/>
          <w:divBdr>
            <w:top w:val="none" w:sz="0" w:space="0" w:color="auto"/>
            <w:left w:val="none" w:sz="0" w:space="0" w:color="auto"/>
            <w:bottom w:val="none" w:sz="0" w:space="0" w:color="auto"/>
            <w:right w:val="none" w:sz="0" w:space="0" w:color="auto"/>
          </w:divBdr>
        </w:div>
        <w:div w:id="1803763370">
          <w:marLeft w:val="0"/>
          <w:marRight w:val="0"/>
          <w:marTop w:val="0"/>
          <w:marBottom w:val="0"/>
          <w:divBdr>
            <w:top w:val="none" w:sz="0" w:space="0" w:color="auto"/>
            <w:left w:val="none" w:sz="0" w:space="0" w:color="auto"/>
            <w:bottom w:val="none" w:sz="0" w:space="0" w:color="auto"/>
            <w:right w:val="none" w:sz="0" w:space="0" w:color="auto"/>
          </w:divBdr>
        </w:div>
      </w:divsChild>
    </w:div>
    <w:div w:id="1404328211">
      <w:bodyDiv w:val="1"/>
      <w:marLeft w:val="0"/>
      <w:marRight w:val="0"/>
      <w:marTop w:val="0"/>
      <w:marBottom w:val="0"/>
      <w:divBdr>
        <w:top w:val="none" w:sz="0" w:space="0" w:color="auto"/>
        <w:left w:val="none" w:sz="0" w:space="0" w:color="auto"/>
        <w:bottom w:val="none" w:sz="0" w:space="0" w:color="auto"/>
        <w:right w:val="none" w:sz="0" w:space="0" w:color="auto"/>
      </w:divBdr>
    </w:div>
    <w:div w:id="1405180954">
      <w:bodyDiv w:val="1"/>
      <w:marLeft w:val="0"/>
      <w:marRight w:val="0"/>
      <w:marTop w:val="0"/>
      <w:marBottom w:val="0"/>
      <w:divBdr>
        <w:top w:val="none" w:sz="0" w:space="0" w:color="auto"/>
        <w:left w:val="none" w:sz="0" w:space="0" w:color="auto"/>
        <w:bottom w:val="none" w:sz="0" w:space="0" w:color="auto"/>
        <w:right w:val="none" w:sz="0" w:space="0" w:color="auto"/>
      </w:divBdr>
    </w:div>
    <w:div w:id="1410153417">
      <w:bodyDiv w:val="1"/>
      <w:marLeft w:val="0"/>
      <w:marRight w:val="0"/>
      <w:marTop w:val="0"/>
      <w:marBottom w:val="0"/>
      <w:divBdr>
        <w:top w:val="none" w:sz="0" w:space="0" w:color="auto"/>
        <w:left w:val="none" w:sz="0" w:space="0" w:color="auto"/>
        <w:bottom w:val="none" w:sz="0" w:space="0" w:color="auto"/>
        <w:right w:val="none" w:sz="0" w:space="0" w:color="auto"/>
      </w:divBdr>
    </w:div>
    <w:div w:id="1419520665">
      <w:bodyDiv w:val="1"/>
      <w:marLeft w:val="0"/>
      <w:marRight w:val="0"/>
      <w:marTop w:val="0"/>
      <w:marBottom w:val="0"/>
      <w:divBdr>
        <w:top w:val="none" w:sz="0" w:space="0" w:color="auto"/>
        <w:left w:val="none" w:sz="0" w:space="0" w:color="auto"/>
        <w:bottom w:val="none" w:sz="0" w:space="0" w:color="auto"/>
        <w:right w:val="none" w:sz="0" w:space="0" w:color="auto"/>
      </w:divBdr>
    </w:div>
    <w:div w:id="1426802518">
      <w:bodyDiv w:val="1"/>
      <w:marLeft w:val="0"/>
      <w:marRight w:val="0"/>
      <w:marTop w:val="0"/>
      <w:marBottom w:val="0"/>
      <w:divBdr>
        <w:top w:val="none" w:sz="0" w:space="0" w:color="auto"/>
        <w:left w:val="none" w:sz="0" w:space="0" w:color="auto"/>
        <w:bottom w:val="none" w:sz="0" w:space="0" w:color="auto"/>
        <w:right w:val="none" w:sz="0" w:space="0" w:color="auto"/>
      </w:divBdr>
    </w:div>
    <w:div w:id="1426875865">
      <w:bodyDiv w:val="1"/>
      <w:marLeft w:val="0"/>
      <w:marRight w:val="0"/>
      <w:marTop w:val="0"/>
      <w:marBottom w:val="0"/>
      <w:divBdr>
        <w:top w:val="none" w:sz="0" w:space="0" w:color="auto"/>
        <w:left w:val="none" w:sz="0" w:space="0" w:color="auto"/>
        <w:bottom w:val="none" w:sz="0" w:space="0" w:color="auto"/>
        <w:right w:val="none" w:sz="0" w:space="0" w:color="auto"/>
      </w:divBdr>
    </w:div>
    <w:div w:id="1428767636">
      <w:bodyDiv w:val="1"/>
      <w:marLeft w:val="0"/>
      <w:marRight w:val="0"/>
      <w:marTop w:val="0"/>
      <w:marBottom w:val="0"/>
      <w:divBdr>
        <w:top w:val="none" w:sz="0" w:space="0" w:color="auto"/>
        <w:left w:val="none" w:sz="0" w:space="0" w:color="auto"/>
        <w:bottom w:val="none" w:sz="0" w:space="0" w:color="auto"/>
        <w:right w:val="none" w:sz="0" w:space="0" w:color="auto"/>
      </w:divBdr>
      <w:divsChild>
        <w:div w:id="197861606">
          <w:marLeft w:val="0"/>
          <w:marRight w:val="0"/>
          <w:marTop w:val="0"/>
          <w:marBottom w:val="0"/>
          <w:divBdr>
            <w:top w:val="none" w:sz="0" w:space="0" w:color="auto"/>
            <w:left w:val="none" w:sz="0" w:space="0" w:color="auto"/>
            <w:bottom w:val="none" w:sz="0" w:space="0" w:color="auto"/>
            <w:right w:val="none" w:sz="0" w:space="0" w:color="auto"/>
          </w:divBdr>
        </w:div>
        <w:div w:id="601954894">
          <w:marLeft w:val="0"/>
          <w:marRight w:val="0"/>
          <w:marTop w:val="0"/>
          <w:marBottom w:val="0"/>
          <w:divBdr>
            <w:top w:val="none" w:sz="0" w:space="0" w:color="auto"/>
            <w:left w:val="none" w:sz="0" w:space="0" w:color="auto"/>
            <w:bottom w:val="none" w:sz="0" w:space="0" w:color="auto"/>
            <w:right w:val="none" w:sz="0" w:space="0" w:color="auto"/>
          </w:divBdr>
        </w:div>
        <w:div w:id="685014777">
          <w:marLeft w:val="0"/>
          <w:marRight w:val="0"/>
          <w:marTop w:val="0"/>
          <w:marBottom w:val="0"/>
          <w:divBdr>
            <w:top w:val="none" w:sz="0" w:space="0" w:color="auto"/>
            <w:left w:val="none" w:sz="0" w:space="0" w:color="auto"/>
            <w:bottom w:val="none" w:sz="0" w:space="0" w:color="auto"/>
            <w:right w:val="none" w:sz="0" w:space="0" w:color="auto"/>
          </w:divBdr>
        </w:div>
        <w:div w:id="815758759">
          <w:marLeft w:val="0"/>
          <w:marRight w:val="0"/>
          <w:marTop w:val="0"/>
          <w:marBottom w:val="0"/>
          <w:divBdr>
            <w:top w:val="none" w:sz="0" w:space="0" w:color="auto"/>
            <w:left w:val="none" w:sz="0" w:space="0" w:color="auto"/>
            <w:bottom w:val="none" w:sz="0" w:space="0" w:color="auto"/>
            <w:right w:val="none" w:sz="0" w:space="0" w:color="auto"/>
          </w:divBdr>
        </w:div>
        <w:div w:id="842663257">
          <w:marLeft w:val="0"/>
          <w:marRight w:val="0"/>
          <w:marTop w:val="0"/>
          <w:marBottom w:val="0"/>
          <w:divBdr>
            <w:top w:val="none" w:sz="0" w:space="0" w:color="auto"/>
            <w:left w:val="none" w:sz="0" w:space="0" w:color="auto"/>
            <w:bottom w:val="none" w:sz="0" w:space="0" w:color="auto"/>
            <w:right w:val="none" w:sz="0" w:space="0" w:color="auto"/>
          </w:divBdr>
        </w:div>
        <w:div w:id="1028071170">
          <w:marLeft w:val="0"/>
          <w:marRight w:val="0"/>
          <w:marTop w:val="0"/>
          <w:marBottom w:val="0"/>
          <w:divBdr>
            <w:top w:val="none" w:sz="0" w:space="0" w:color="auto"/>
            <w:left w:val="none" w:sz="0" w:space="0" w:color="auto"/>
            <w:bottom w:val="none" w:sz="0" w:space="0" w:color="auto"/>
            <w:right w:val="none" w:sz="0" w:space="0" w:color="auto"/>
          </w:divBdr>
        </w:div>
        <w:div w:id="1392730127">
          <w:marLeft w:val="0"/>
          <w:marRight w:val="0"/>
          <w:marTop w:val="0"/>
          <w:marBottom w:val="0"/>
          <w:divBdr>
            <w:top w:val="none" w:sz="0" w:space="0" w:color="auto"/>
            <w:left w:val="none" w:sz="0" w:space="0" w:color="auto"/>
            <w:bottom w:val="none" w:sz="0" w:space="0" w:color="auto"/>
            <w:right w:val="none" w:sz="0" w:space="0" w:color="auto"/>
          </w:divBdr>
        </w:div>
        <w:div w:id="1653368994">
          <w:marLeft w:val="0"/>
          <w:marRight w:val="0"/>
          <w:marTop w:val="0"/>
          <w:marBottom w:val="0"/>
          <w:divBdr>
            <w:top w:val="none" w:sz="0" w:space="0" w:color="auto"/>
            <w:left w:val="none" w:sz="0" w:space="0" w:color="auto"/>
            <w:bottom w:val="none" w:sz="0" w:space="0" w:color="auto"/>
            <w:right w:val="none" w:sz="0" w:space="0" w:color="auto"/>
          </w:divBdr>
        </w:div>
      </w:divsChild>
    </w:div>
    <w:div w:id="1431269739">
      <w:bodyDiv w:val="1"/>
      <w:marLeft w:val="0"/>
      <w:marRight w:val="0"/>
      <w:marTop w:val="0"/>
      <w:marBottom w:val="0"/>
      <w:divBdr>
        <w:top w:val="none" w:sz="0" w:space="0" w:color="auto"/>
        <w:left w:val="none" w:sz="0" w:space="0" w:color="auto"/>
        <w:bottom w:val="none" w:sz="0" w:space="0" w:color="auto"/>
        <w:right w:val="none" w:sz="0" w:space="0" w:color="auto"/>
      </w:divBdr>
    </w:div>
    <w:div w:id="1435204414">
      <w:bodyDiv w:val="1"/>
      <w:marLeft w:val="0"/>
      <w:marRight w:val="0"/>
      <w:marTop w:val="0"/>
      <w:marBottom w:val="0"/>
      <w:divBdr>
        <w:top w:val="none" w:sz="0" w:space="0" w:color="auto"/>
        <w:left w:val="none" w:sz="0" w:space="0" w:color="auto"/>
        <w:bottom w:val="none" w:sz="0" w:space="0" w:color="auto"/>
        <w:right w:val="none" w:sz="0" w:space="0" w:color="auto"/>
      </w:divBdr>
    </w:div>
    <w:div w:id="1439906079">
      <w:bodyDiv w:val="1"/>
      <w:marLeft w:val="0"/>
      <w:marRight w:val="0"/>
      <w:marTop w:val="0"/>
      <w:marBottom w:val="0"/>
      <w:divBdr>
        <w:top w:val="none" w:sz="0" w:space="0" w:color="auto"/>
        <w:left w:val="none" w:sz="0" w:space="0" w:color="auto"/>
        <w:bottom w:val="none" w:sz="0" w:space="0" w:color="auto"/>
        <w:right w:val="none" w:sz="0" w:space="0" w:color="auto"/>
      </w:divBdr>
    </w:div>
    <w:div w:id="1441415378">
      <w:bodyDiv w:val="1"/>
      <w:marLeft w:val="0"/>
      <w:marRight w:val="0"/>
      <w:marTop w:val="0"/>
      <w:marBottom w:val="0"/>
      <w:divBdr>
        <w:top w:val="none" w:sz="0" w:space="0" w:color="auto"/>
        <w:left w:val="none" w:sz="0" w:space="0" w:color="auto"/>
        <w:bottom w:val="none" w:sz="0" w:space="0" w:color="auto"/>
        <w:right w:val="none" w:sz="0" w:space="0" w:color="auto"/>
      </w:divBdr>
    </w:div>
    <w:div w:id="1443766417">
      <w:bodyDiv w:val="1"/>
      <w:marLeft w:val="0"/>
      <w:marRight w:val="0"/>
      <w:marTop w:val="0"/>
      <w:marBottom w:val="0"/>
      <w:divBdr>
        <w:top w:val="none" w:sz="0" w:space="0" w:color="auto"/>
        <w:left w:val="none" w:sz="0" w:space="0" w:color="auto"/>
        <w:bottom w:val="none" w:sz="0" w:space="0" w:color="auto"/>
        <w:right w:val="none" w:sz="0" w:space="0" w:color="auto"/>
      </w:divBdr>
    </w:div>
    <w:div w:id="1446846428">
      <w:bodyDiv w:val="1"/>
      <w:marLeft w:val="0"/>
      <w:marRight w:val="0"/>
      <w:marTop w:val="0"/>
      <w:marBottom w:val="0"/>
      <w:divBdr>
        <w:top w:val="none" w:sz="0" w:space="0" w:color="auto"/>
        <w:left w:val="none" w:sz="0" w:space="0" w:color="auto"/>
        <w:bottom w:val="none" w:sz="0" w:space="0" w:color="auto"/>
        <w:right w:val="none" w:sz="0" w:space="0" w:color="auto"/>
      </w:divBdr>
    </w:div>
    <w:div w:id="1448114041">
      <w:bodyDiv w:val="1"/>
      <w:marLeft w:val="0"/>
      <w:marRight w:val="0"/>
      <w:marTop w:val="0"/>
      <w:marBottom w:val="0"/>
      <w:divBdr>
        <w:top w:val="none" w:sz="0" w:space="0" w:color="auto"/>
        <w:left w:val="none" w:sz="0" w:space="0" w:color="auto"/>
        <w:bottom w:val="none" w:sz="0" w:space="0" w:color="auto"/>
        <w:right w:val="none" w:sz="0" w:space="0" w:color="auto"/>
      </w:divBdr>
    </w:div>
    <w:div w:id="1450082127">
      <w:bodyDiv w:val="1"/>
      <w:marLeft w:val="0"/>
      <w:marRight w:val="0"/>
      <w:marTop w:val="0"/>
      <w:marBottom w:val="0"/>
      <w:divBdr>
        <w:top w:val="none" w:sz="0" w:space="0" w:color="auto"/>
        <w:left w:val="none" w:sz="0" w:space="0" w:color="auto"/>
        <w:bottom w:val="none" w:sz="0" w:space="0" w:color="auto"/>
        <w:right w:val="none" w:sz="0" w:space="0" w:color="auto"/>
      </w:divBdr>
    </w:div>
    <w:div w:id="1451972041">
      <w:bodyDiv w:val="1"/>
      <w:marLeft w:val="0"/>
      <w:marRight w:val="0"/>
      <w:marTop w:val="0"/>
      <w:marBottom w:val="0"/>
      <w:divBdr>
        <w:top w:val="none" w:sz="0" w:space="0" w:color="auto"/>
        <w:left w:val="none" w:sz="0" w:space="0" w:color="auto"/>
        <w:bottom w:val="none" w:sz="0" w:space="0" w:color="auto"/>
        <w:right w:val="none" w:sz="0" w:space="0" w:color="auto"/>
      </w:divBdr>
    </w:div>
    <w:div w:id="1453013995">
      <w:bodyDiv w:val="1"/>
      <w:marLeft w:val="0"/>
      <w:marRight w:val="0"/>
      <w:marTop w:val="0"/>
      <w:marBottom w:val="0"/>
      <w:divBdr>
        <w:top w:val="none" w:sz="0" w:space="0" w:color="auto"/>
        <w:left w:val="none" w:sz="0" w:space="0" w:color="auto"/>
        <w:bottom w:val="none" w:sz="0" w:space="0" w:color="auto"/>
        <w:right w:val="none" w:sz="0" w:space="0" w:color="auto"/>
      </w:divBdr>
    </w:div>
    <w:div w:id="1453594521">
      <w:bodyDiv w:val="1"/>
      <w:marLeft w:val="0"/>
      <w:marRight w:val="0"/>
      <w:marTop w:val="0"/>
      <w:marBottom w:val="0"/>
      <w:divBdr>
        <w:top w:val="none" w:sz="0" w:space="0" w:color="auto"/>
        <w:left w:val="none" w:sz="0" w:space="0" w:color="auto"/>
        <w:bottom w:val="none" w:sz="0" w:space="0" w:color="auto"/>
        <w:right w:val="none" w:sz="0" w:space="0" w:color="auto"/>
      </w:divBdr>
    </w:div>
    <w:div w:id="1456828591">
      <w:bodyDiv w:val="1"/>
      <w:marLeft w:val="0"/>
      <w:marRight w:val="0"/>
      <w:marTop w:val="0"/>
      <w:marBottom w:val="0"/>
      <w:divBdr>
        <w:top w:val="none" w:sz="0" w:space="0" w:color="auto"/>
        <w:left w:val="none" w:sz="0" w:space="0" w:color="auto"/>
        <w:bottom w:val="none" w:sz="0" w:space="0" w:color="auto"/>
        <w:right w:val="none" w:sz="0" w:space="0" w:color="auto"/>
      </w:divBdr>
    </w:div>
    <w:div w:id="1459643962">
      <w:bodyDiv w:val="1"/>
      <w:marLeft w:val="0"/>
      <w:marRight w:val="0"/>
      <w:marTop w:val="0"/>
      <w:marBottom w:val="0"/>
      <w:divBdr>
        <w:top w:val="none" w:sz="0" w:space="0" w:color="auto"/>
        <w:left w:val="none" w:sz="0" w:space="0" w:color="auto"/>
        <w:bottom w:val="none" w:sz="0" w:space="0" w:color="auto"/>
        <w:right w:val="none" w:sz="0" w:space="0" w:color="auto"/>
      </w:divBdr>
    </w:div>
    <w:div w:id="1463496825">
      <w:bodyDiv w:val="1"/>
      <w:marLeft w:val="0"/>
      <w:marRight w:val="0"/>
      <w:marTop w:val="0"/>
      <w:marBottom w:val="0"/>
      <w:divBdr>
        <w:top w:val="none" w:sz="0" w:space="0" w:color="auto"/>
        <w:left w:val="none" w:sz="0" w:space="0" w:color="auto"/>
        <w:bottom w:val="none" w:sz="0" w:space="0" w:color="auto"/>
        <w:right w:val="none" w:sz="0" w:space="0" w:color="auto"/>
      </w:divBdr>
    </w:div>
    <w:div w:id="1474299281">
      <w:bodyDiv w:val="1"/>
      <w:marLeft w:val="0"/>
      <w:marRight w:val="0"/>
      <w:marTop w:val="0"/>
      <w:marBottom w:val="0"/>
      <w:divBdr>
        <w:top w:val="none" w:sz="0" w:space="0" w:color="auto"/>
        <w:left w:val="none" w:sz="0" w:space="0" w:color="auto"/>
        <w:bottom w:val="none" w:sz="0" w:space="0" w:color="auto"/>
        <w:right w:val="none" w:sz="0" w:space="0" w:color="auto"/>
      </w:divBdr>
    </w:div>
    <w:div w:id="1481121118">
      <w:bodyDiv w:val="1"/>
      <w:marLeft w:val="0"/>
      <w:marRight w:val="0"/>
      <w:marTop w:val="0"/>
      <w:marBottom w:val="0"/>
      <w:divBdr>
        <w:top w:val="none" w:sz="0" w:space="0" w:color="auto"/>
        <w:left w:val="none" w:sz="0" w:space="0" w:color="auto"/>
        <w:bottom w:val="none" w:sz="0" w:space="0" w:color="auto"/>
        <w:right w:val="none" w:sz="0" w:space="0" w:color="auto"/>
      </w:divBdr>
    </w:div>
    <w:div w:id="1481534507">
      <w:bodyDiv w:val="1"/>
      <w:marLeft w:val="0"/>
      <w:marRight w:val="0"/>
      <w:marTop w:val="0"/>
      <w:marBottom w:val="0"/>
      <w:divBdr>
        <w:top w:val="none" w:sz="0" w:space="0" w:color="auto"/>
        <w:left w:val="none" w:sz="0" w:space="0" w:color="auto"/>
        <w:bottom w:val="none" w:sz="0" w:space="0" w:color="auto"/>
        <w:right w:val="none" w:sz="0" w:space="0" w:color="auto"/>
      </w:divBdr>
    </w:div>
    <w:div w:id="1481573850">
      <w:bodyDiv w:val="1"/>
      <w:marLeft w:val="0"/>
      <w:marRight w:val="0"/>
      <w:marTop w:val="0"/>
      <w:marBottom w:val="0"/>
      <w:divBdr>
        <w:top w:val="none" w:sz="0" w:space="0" w:color="auto"/>
        <w:left w:val="none" w:sz="0" w:space="0" w:color="auto"/>
        <w:bottom w:val="none" w:sz="0" w:space="0" w:color="auto"/>
        <w:right w:val="none" w:sz="0" w:space="0" w:color="auto"/>
      </w:divBdr>
    </w:div>
    <w:div w:id="1482113172">
      <w:bodyDiv w:val="1"/>
      <w:marLeft w:val="0"/>
      <w:marRight w:val="0"/>
      <w:marTop w:val="0"/>
      <w:marBottom w:val="0"/>
      <w:divBdr>
        <w:top w:val="none" w:sz="0" w:space="0" w:color="auto"/>
        <w:left w:val="none" w:sz="0" w:space="0" w:color="auto"/>
        <w:bottom w:val="none" w:sz="0" w:space="0" w:color="auto"/>
        <w:right w:val="none" w:sz="0" w:space="0" w:color="auto"/>
      </w:divBdr>
    </w:div>
    <w:div w:id="1490898204">
      <w:bodyDiv w:val="1"/>
      <w:marLeft w:val="0"/>
      <w:marRight w:val="0"/>
      <w:marTop w:val="0"/>
      <w:marBottom w:val="0"/>
      <w:divBdr>
        <w:top w:val="none" w:sz="0" w:space="0" w:color="auto"/>
        <w:left w:val="none" w:sz="0" w:space="0" w:color="auto"/>
        <w:bottom w:val="none" w:sz="0" w:space="0" w:color="auto"/>
        <w:right w:val="none" w:sz="0" w:space="0" w:color="auto"/>
      </w:divBdr>
    </w:div>
    <w:div w:id="1495876945">
      <w:bodyDiv w:val="1"/>
      <w:marLeft w:val="0"/>
      <w:marRight w:val="0"/>
      <w:marTop w:val="0"/>
      <w:marBottom w:val="0"/>
      <w:divBdr>
        <w:top w:val="none" w:sz="0" w:space="0" w:color="auto"/>
        <w:left w:val="none" w:sz="0" w:space="0" w:color="auto"/>
        <w:bottom w:val="none" w:sz="0" w:space="0" w:color="auto"/>
        <w:right w:val="none" w:sz="0" w:space="0" w:color="auto"/>
      </w:divBdr>
    </w:div>
    <w:div w:id="1498302175">
      <w:bodyDiv w:val="1"/>
      <w:marLeft w:val="0"/>
      <w:marRight w:val="0"/>
      <w:marTop w:val="0"/>
      <w:marBottom w:val="0"/>
      <w:divBdr>
        <w:top w:val="none" w:sz="0" w:space="0" w:color="auto"/>
        <w:left w:val="none" w:sz="0" w:space="0" w:color="auto"/>
        <w:bottom w:val="none" w:sz="0" w:space="0" w:color="auto"/>
        <w:right w:val="none" w:sz="0" w:space="0" w:color="auto"/>
      </w:divBdr>
    </w:div>
    <w:div w:id="1503012501">
      <w:bodyDiv w:val="1"/>
      <w:marLeft w:val="0"/>
      <w:marRight w:val="0"/>
      <w:marTop w:val="0"/>
      <w:marBottom w:val="0"/>
      <w:divBdr>
        <w:top w:val="none" w:sz="0" w:space="0" w:color="auto"/>
        <w:left w:val="none" w:sz="0" w:space="0" w:color="auto"/>
        <w:bottom w:val="none" w:sz="0" w:space="0" w:color="auto"/>
        <w:right w:val="none" w:sz="0" w:space="0" w:color="auto"/>
      </w:divBdr>
    </w:div>
    <w:div w:id="1503931150">
      <w:bodyDiv w:val="1"/>
      <w:marLeft w:val="0"/>
      <w:marRight w:val="0"/>
      <w:marTop w:val="0"/>
      <w:marBottom w:val="0"/>
      <w:divBdr>
        <w:top w:val="none" w:sz="0" w:space="0" w:color="auto"/>
        <w:left w:val="none" w:sz="0" w:space="0" w:color="auto"/>
        <w:bottom w:val="none" w:sz="0" w:space="0" w:color="auto"/>
        <w:right w:val="none" w:sz="0" w:space="0" w:color="auto"/>
      </w:divBdr>
    </w:div>
    <w:div w:id="1508056217">
      <w:bodyDiv w:val="1"/>
      <w:marLeft w:val="0"/>
      <w:marRight w:val="0"/>
      <w:marTop w:val="0"/>
      <w:marBottom w:val="0"/>
      <w:divBdr>
        <w:top w:val="none" w:sz="0" w:space="0" w:color="auto"/>
        <w:left w:val="none" w:sz="0" w:space="0" w:color="auto"/>
        <w:bottom w:val="none" w:sz="0" w:space="0" w:color="auto"/>
        <w:right w:val="none" w:sz="0" w:space="0" w:color="auto"/>
      </w:divBdr>
    </w:div>
    <w:div w:id="1508984476">
      <w:bodyDiv w:val="1"/>
      <w:marLeft w:val="0"/>
      <w:marRight w:val="0"/>
      <w:marTop w:val="0"/>
      <w:marBottom w:val="0"/>
      <w:divBdr>
        <w:top w:val="none" w:sz="0" w:space="0" w:color="auto"/>
        <w:left w:val="none" w:sz="0" w:space="0" w:color="auto"/>
        <w:bottom w:val="none" w:sz="0" w:space="0" w:color="auto"/>
        <w:right w:val="none" w:sz="0" w:space="0" w:color="auto"/>
      </w:divBdr>
    </w:div>
    <w:div w:id="1512718984">
      <w:bodyDiv w:val="1"/>
      <w:marLeft w:val="0"/>
      <w:marRight w:val="0"/>
      <w:marTop w:val="0"/>
      <w:marBottom w:val="0"/>
      <w:divBdr>
        <w:top w:val="none" w:sz="0" w:space="0" w:color="auto"/>
        <w:left w:val="none" w:sz="0" w:space="0" w:color="auto"/>
        <w:bottom w:val="none" w:sz="0" w:space="0" w:color="auto"/>
        <w:right w:val="none" w:sz="0" w:space="0" w:color="auto"/>
      </w:divBdr>
    </w:div>
    <w:div w:id="1514488634">
      <w:bodyDiv w:val="1"/>
      <w:marLeft w:val="0"/>
      <w:marRight w:val="0"/>
      <w:marTop w:val="0"/>
      <w:marBottom w:val="0"/>
      <w:divBdr>
        <w:top w:val="none" w:sz="0" w:space="0" w:color="auto"/>
        <w:left w:val="none" w:sz="0" w:space="0" w:color="auto"/>
        <w:bottom w:val="none" w:sz="0" w:space="0" w:color="auto"/>
        <w:right w:val="none" w:sz="0" w:space="0" w:color="auto"/>
      </w:divBdr>
      <w:divsChild>
        <w:div w:id="506988560">
          <w:marLeft w:val="0"/>
          <w:marRight w:val="0"/>
          <w:marTop w:val="0"/>
          <w:marBottom w:val="0"/>
          <w:divBdr>
            <w:top w:val="none" w:sz="0" w:space="0" w:color="auto"/>
            <w:left w:val="none" w:sz="0" w:space="0" w:color="auto"/>
            <w:bottom w:val="none" w:sz="0" w:space="0" w:color="auto"/>
            <w:right w:val="none" w:sz="0" w:space="0" w:color="auto"/>
          </w:divBdr>
        </w:div>
        <w:div w:id="1536314172">
          <w:marLeft w:val="0"/>
          <w:marRight w:val="0"/>
          <w:marTop w:val="0"/>
          <w:marBottom w:val="0"/>
          <w:divBdr>
            <w:top w:val="none" w:sz="0" w:space="0" w:color="auto"/>
            <w:left w:val="none" w:sz="0" w:space="0" w:color="auto"/>
            <w:bottom w:val="none" w:sz="0" w:space="0" w:color="auto"/>
            <w:right w:val="none" w:sz="0" w:space="0" w:color="auto"/>
          </w:divBdr>
        </w:div>
        <w:div w:id="1540163874">
          <w:marLeft w:val="0"/>
          <w:marRight w:val="0"/>
          <w:marTop w:val="0"/>
          <w:marBottom w:val="0"/>
          <w:divBdr>
            <w:top w:val="none" w:sz="0" w:space="0" w:color="auto"/>
            <w:left w:val="none" w:sz="0" w:space="0" w:color="auto"/>
            <w:bottom w:val="none" w:sz="0" w:space="0" w:color="auto"/>
            <w:right w:val="none" w:sz="0" w:space="0" w:color="auto"/>
          </w:divBdr>
        </w:div>
        <w:div w:id="1746224294">
          <w:marLeft w:val="0"/>
          <w:marRight w:val="0"/>
          <w:marTop w:val="0"/>
          <w:marBottom w:val="0"/>
          <w:divBdr>
            <w:top w:val="none" w:sz="0" w:space="0" w:color="auto"/>
            <w:left w:val="none" w:sz="0" w:space="0" w:color="auto"/>
            <w:bottom w:val="none" w:sz="0" w:space="0" w:color="auto"/>
            <w:right w:val="none" w:sz="0" w:space="0" w:color="auto"/>
          </w:divBdr>
        </w:div>
      </w:divsChild>
    </w:div>
    <w:div w:id="1516187785">
      <w:bodyDiv w:val="1"/>
      <w:marLeft w:val="0"/>
      <w:marRight w:val="0"/>
      <w:marTop w:val="0"/>
      <w:marBottom w:val="0"/>
      <w:divBdr>
        <w:top w:val="none" w:sz="0" w:space="0" w:color="auto"/>
        <w:left w:val="none" w:sz="0" w:space="0" w:color="auto"/>
        <w:bottom w:val="none" w:sz="0" w:space="0" w:color="auto"/>
        <w:right w:val="none" w:sz="0" w:space="0" w:color="auto"/>
      </w:divBdr>
    </w:div>
    <w:div w:id="1520925518">
      <w:bodyDiv w:val="1"/>
      <w:marLeft w:val="0"/>
      <w:marRight w:val="0"/>
      <w:marTop w:val="0"/>
      <w:marBottom w:val="0"/>
      <w:divBdr>
        <w:top w:val="none" w:sz="0" w:space="0" w:color="auto"/>
        <w:left w:val="none" w:sz="0" w:space="0" w:color="auto"/>
        <w:bottom w:val="none" w:sz="0" w:space="0" w:color="auto"/>
        <w:right w:val="none" w:sz="0" w:space="0" w:color="auto"/>
      </w:divBdr>
    </w:div>
    <w:div w:id="1522669843">
      <w:bodyDiv w:val="1"/>
      <w:marLeft w:val="0"/>
      <w:marRight w:val="0"/>
      <w:marTop w:val="0"/>
      <w:marBottom w:val="0"/>
      <w:divBdr>
        <w:top w:val="none" w:sz="0" w:space="0" w:color="auto"/>
        <w:left w:val="none" w:sz="0" w:space="0" w:color="auto"/>
        <w:bottom w:val="none" w:sz="0" w:space="0" w:color="auto"/>
        <w:right w:val="none" w:sz="0" w:space="0" w:color="auto"/>
      </w:divBdr>
    </w:div>
    <w:div w:id="1525095151">
      <w:bodyDiv w:val="1"/>
      <w:marLeft w:val="0"/>
      <w:marRight w:val="0"/>
      <w:marTop w:val="0"/>
      <w:marBottom w:val="0"/>
      <w:divBdr>
        <w:top w:val="none" w:sz="0" w:space="0" w:color="auto"/>
        <w:left w:val="none" w:sz="0" w:space="0" w:color="auto"/>
        <w:bottom w:val="none" w:sz="0" w:space="0" w:color="auto"/>
        <w:right w:val="none" w:sz="0" w:space="0" w:color="auto"/>
      </w:divBdr>
    </w:div>
    <w:div w:id="1526554706">
      <w:bodyDiv w:val="1"/>
      <w:marLeft w:val="0"/>
      <w:marRight w:val="0"/>
      <w:marTop w:val="0"/>
      <w:marBottom w:val="0"/>
      <w:divBdr>
        <w:top w:val="none" w:sz="0" w:space="0" w:color="auto"/>
        <w:left w:val="none" w:sz="0" w:space="0" w:color="auto"/>
        <w:bottom w:val="none" w:sz="0" w:space="0" w:color="auto"/>
        <w:right w:val="none" w:sz="0" w:space="0" w:color="auto"/>
      </w:divBdr>
    </w:div>
    <w:div w:id="1531652241">
      <w:bodyDiv w:val="1"/>
      <w:marLeft w:val="0"/>
      <w:marRight w:val="0"/>
      <w:marTop w:val="0"/>
      <w:marBottom w:val="0"/>
      <w:divBdr>
        <w:top w:val="none" w:sz="0" w:space="0" w:color="auto"/>
        <w:left w:val="none" w:sz="0" w:space="0" w:color="auto"/>
        <w:bottom w:val="none" w:sz="0" w:space="0" w:color="auto"/>
        <w:right w:val="none" w:sz="0" w:space="0" w:color="auto"/>
      </w:divBdr>
    </w:div>
    <w:div w:id="1533492102">
      <w:bodyDiv w:val="1"/>
      <w:marLeft w:val="0"/>
      <w:marRight w:val="0"/>
      <w:marTop w:val="0"/>
      <w:marBottom w:val="0"/>
      <w:divBdr>
        <w:top w:val="none" w:sz="0" w:space="0" w:color="auto"/>
        <w:left w:val="none" w:sz="0" w:space="0" w:color="auto"/>
        <w:bottom w:val="none" w:sz="0" w:space="0" w:color="auto"/>
        <w:right w:val="none" w:sz="0" w:space="0" w:color="auto"/>
      </w:divBdr>
    </w:div>
    <w:div w:id="1534342966">
      <w:bodyDiv w:val="1"/>
      <w:marLeft w:val="0"/>
      <w:marRight w:val="0"/>
      <w:marTop w:val="0"/>
      <w:marBottom w:val="0"/>
      <w:divBdr>
        <w:top w:val="none" w:sz="0" w:space="0" w:color="auto"/>
        <w:left w:val="none" w:sz="0" w:space="0" w:color="auto"/>
        <w:bottom w:val="none" w:sz="0" w:space="0" w:color="auto"/>
        <w:right w:val="none" w:sz="0" w:space="0" w:color="auto"/>
      </w:divBdr>
    </w:div>
    <w:div w:id="1534688473">
      <w:bodyDiv w:val="1"/>
      <w:marLeft w:val="0"/>
      <w:marRight w:val="0"/>
      <w:marTop w:val="0"/>
      <w:marBottom w:val="0"/>
      <w:divBdr>
        <w:top w:val="none" w:sz="0" w:space="0" w:color="auto"/>
        <w:left w:val="none" w:sz="0" w:space="0" w:color="auto"/>
        <w:bottom w:val="none" w:sz="0" w:space="0" w:color="auto"/>
        <w:right w:val="none" w:sz="0" w:space="0" w:color="auto"/>
      </w:divBdr>
    </w:div>
    <w:div w:id="1535465556">
      <w:bodyDiv w:val="1"/>
      <w:marLeft w:val="0"/>
      <w:marRight w:val="0"/>
      <w:marTop w:val="0"/>
      <w:marBottom w:val="0"/>
      <w:divBdr>
        <w:top w:val="none" w:sz="0" w:space="0" w:color="auto"/>
        <w:left w:val="none" w:sz="0" w:space="0" w:color="auto"/>
        <w:bottom w:val="none" w:sz="0" w:space="0" w:color="auto"/>
        <w:right w:val="none" w:sz="0" w:space="0" w:color="auto"/>
      </w:divBdr>
    </w:div>
    <w:div w:id="1539048623">
      <w:bodyDiv w:val="1"/>
      <w:marLeft w:val="0"/>
      <w:marRight w:val="0"/>
      <w:marTop w:val="0"/>
      <w:marBottom w:val="0"/>
      <w:divBdr>
        <w:top w:val="none" w:sz="0" w:space="0" w:color="auto"/>
        <w:left w:val="none" w:sz="0" w:space="0" w:color="auto"/>
        <w:bottom w:val="none" w:sz="0" w:space="0" w:color="auto"/>
        <w:right w:val="none" w:sz="0" w:space="0" w:color="auto"/>
      </w:divBdr>
    </w:div>
    <w:div w:id="1542010558">
      <w:bodyDiv w:val="1"/>
      <w:marLeft w:val="0"/>
      <w:marRight w:val="0"/>
      <w:marTop w:val="0"/>
      <w:marBottom w:val="0"/>
      <w:divBdr>
        <w:top w:val="none" w:sz="0" w:space="0" w:color="auto"/>
        <w:left w:val="none" w:sz="0" w:space="0" w:color="auto"/>
        <w:bottom w:val="none" w:sz="0" w:space="0" w:color="auto"/>
        <w:right w:val="none" w:sz="0" w:space="0" w:color="auto"/>
      </w:divBdr>
      <w:divsChild>
        <w:div w:id="828594131">
          <w:marLeft w:val="0"/>
          <w:marRight w:val="0"/>
          <w:marTop w:val="0"/>
          <w:marBottom w:val="0"/>
          <w:divBdr>
            <w:top w:val="none" w:sz="0" w:space="0" w:color="auto"/>
            <w:left w:val="none" w:sz="0" w:space="0" w:color="auto"/>
            <w:bottom w:val="none" w:sz="0" w:space="0" w:color="auto"/>
            <w:right w:val="none" w:sz="0" w:space="0" w:color="auto"/>
          </w:divBdr>
        </w:div>
      </w:divsChild>
    </w:div>
    <w:div w:id="1542087050">
      <w:bodyDiv w:val="1"/>
      <w:marLeft w:val="0"/>
      <w:marRight w:val="0"/>
      <w:marTop w:val="0"/>
      <w:marBottom w:val="0"/>
      <w:divBdr>
        <w:top w:val="none" w:sz="0" w:space="0" w:color="auto"/>
        <w:left w:val="none" w:sz="0" w:space="0" w:color="auto"/>
        <w:bottom w:val="none" w:sz="0" w:space="0" w:color="auto"/>
        <w:right w:val="none" w:sz="0" w:space="0" w:color="auto"/>
      </w:divBdr>
    </w:div>
    <w:div w:id="1551720507">
      <w:bodyDiv w:val="1"/>
      <w:marLeft w:val="0"/>
      <w:marRight w:val="0"/>
      <w:marTop w:val="0"/>
      <w:marBottom w:val="0"/>
      <w:divBdr>
        <w:top w:val="none" w:sz="0" w:space="0" w:color="auto"/>
        <w:left w:val="none" w:sz="0" w:space="0" w:color="auto"/>
        <w:bottom w:val="none" w:sz="0" w:space="0" w:color="auto"/>
        <w:right w:val="none" w:sz="0" w:space="0" w:color="auto"/>
      </w:divBdr>
    </w:div>
    <w:div w:id="1551845969">
      <w:bodyDiv w:val="1"/>
      <w:marLeft w:val="0"/>
      <w:marRight w:val="0"/>
      <w:marTop w:val="0"/>
      <w:marBottom w:val="0"/>
      <w:divBdr>
        <w:top w:val="none" w:sz="0" w:space="0" w:color="auto"/>
        <w:left w:val="none" w:sz="0" w:space="0" w:color="auto"/>
        <w:bottom w:val="none" w:sz="0" w:space="0" w:color="auto"/>
        <w:right w:val="none" w:sz="0" w:space="0" w:color="auto"/>
      </w:divBdr>
    </w:div>
    <w:div w:id="1553301254">
      <w:bodyDiv w:val="1"/>
      <w:marLeft w:val="0"/>
      <w:marRight w:val="0"/>
      <w:marTop w:val="0"/>
      <w:marBottom w:val="0"/>
      <w:divBdr>
        <w:top w:val="none" w:sz="0" w:space="0" w:color="auto"/>
        <w:left w:val="none" w:sz="0" w:space="0" w:color="auto"/>
        <w:bottom w:val="none" w:sz="0" w:space="0" w:color="auto"/>
        <w:right w:val="none" w:sz="0" w:space="0" w:color="auto"/>
      </w:divBdr>
    </w:div>
    <w:div w:id="1557887880">
      <w:bodyDiv w:val="1"/>
      <w:marLeft w:val="0"/>
      <w:marRight w:val="0"/>
      <w:marTop w:val="0"/>
      <w:marBottom w:val="0"/>
      <w:divBdr>
        <w:top w:val="none" w:sz="0" w:space="0" w:color="auto"/>
        <w:left w:val="none" w:sz="0" w:space="0" w:color="auto"/>
        <w:bottom w:val="none" w:sz="0" w:space="0" w:color="auto"/>
        <w:right w:val="none" w:sz="0" w:space="0" w:color="auto"/>
      </w:divBdr>
    </w:div>
    <w:div w:id="1559979205">
      <w:bodyDiv w:val="1"/>
      <w:marLeft w:val="0"/>
      <w:marRight w:val="0"/>
      <w:marTop w:val="0"/>
      <w:marBottom w:val="0"/>
      <w:divBdr>
        <w:top w:val="none" w:sz="0" w:space="0" w:color="auto"/>
        <w:left w:val="none" w:sz="0" w:space="0" w:color="auto"/>
        <w:bottom w:val="none" w:sz="0" w:space="0" w:color="auto"/>
        <w:right w:val="none" w:sz="0" w:space="0" w:color="auto"/>
      </w:divBdr>
    </w:div>
    <w:div w:id="1560362458">
      <w:bodyDiv w:val="1"/>
      <w:marLeft w:val="0"/>
      <w:marRight w:val="0"/>
      <w:marTop w:val="0"/>
      <w:marBottom w:val="0"/>
      <w:divBdr>
        <w:top w:val="none" w:sz="0" w:space="0" w:color="auto"/>
        <w:left w:val="none" w:sz="0" w:space="0" w:color="auto"/>
        <w:bottom w:val="none" w:sz="0" w:space="0" w:color="auto"/>
        <w:right w:val="none" w:sz="0" w:space="0" w:color="auto"/>
      </w:divBdr>
    </w:div>
    <w:div w:id="1561213355">
      <w:bodyDiv w:val="1"/>
      <w:marLeft w:val="0"/>
      <w:marRight w:val="0"/>
      <w:marTop w:val="0"/>
      <w:marBottom w:val="0"/>
      <w:divBdr>
        <w:top w:val="none" w:sz="0" w:space="0" w:color="auto"/>
        <w:left w:val="none" w:sz="0" w:space="0" w:color="auto"/>
        <w:bottom w:val="none" w:sz="0" w:space="0" w:color="auto"/>
        <w:right w:val="none" w:sz="0" w:space="0" w:color="auto"/>
      </w:divBdr>
    </w:div>
    <w:div w:id="1562252631">
      <w:bodyDiv w:val="1"/>
      <w:marLeft w:val="0"/>
      <w:marRight w:val="0"/>
      <w:marTop w:val="0"/>
      <w:marBottom w:val="0"/>
      <w:divBdr>
        <w:top w:val="none" w:sz="0" w:space="0" w:color="auto"/>
        <w:left w:val="none" w:sz="0" w:space="0" w:color="auto"/>
        <w:bottom w:val="none" w:sz="0" w:space="0" w:color="auto"/>
        <w:right w:val="none" w:sz="0" w:space="0" w:color="auto"/>
      </w:divBdr>
    </w:div>
    <w:div w:id="1562668245">
      <w:bodyDiv w:val="1"/>
      <w:marLeft w:val="0"/>
      <w:marRight w:val="0"/>
      <w:marTop w:val="0"/>
      <w:marBottom w:val="0"/>
      <w:divBdr>
        <w:top w:val="none" w:sz="0" w:space="0" w:color="auto"/>
        <w:left w:val="none" w:sz="0" w:space="0" w:color="auto"/>
        <w:bottom w:val="none" w:sz="0" w:space="0" w:color="auto"/>
        <w:right w:val="none" w:sz="0" w:space="0" w:color="auto"/>
      </w:divBdr>
    </w:div>
    <w:div w:id="1563053002">
      <w:bodyDiv w:val="1"/>
      <w:marLeft w:val="0"/>
      <w:marRight w:val="0"/>
      <w:marTop w:val="0"/>
      <w:marBottom w:val="0"/>
      <w:divBdr>
        <w:top w:val="none" w:sz="0" w:space="0" w:color="auto"/>
        <w:left w:val="none" w:sz="0" w:space="0" w:color="auto"/>
        <w:bottom w:val="none" w:sz="0" w:space="0" w:color="auto"/>
        <w:right w:val="none" w:sz="0" w:space="0" w:color="auto"/>
      </w:divBdr>
    </w:div>
    <w:div w:id="1563327101">
      <w:bodyDiv w:val="1"/>
      <w:marLeft w:val="0"/>
      <w:marRight w:val="0"/>
      <w:marTop w:val="0"/>
      <w:marBottom w:val="0"/>
      <w:divBdr>
        <w:top w:val="none" w:sz="0" w:space="0" w:color="auto"/>
        <w:left w:val="none" w:sz="0" w:space="0" w:color="auto"/>
        <w:bottom w:val="none" w:sz="0" w:space="0" w:color="auto"/>
        <w:right w:val="none" w:sz="0" w:space="0" w:color="auto"/>
      </w:divBdr>
    </w:div>
    <w:div w:id="1570192880">
      <w:bodyDiv w:val="1"/>
      <w:marLeft w:val="0"/>
      <w:marRight w:val="0"/>
      <w:marTop w:val="0"/>
      <w:marBottom w:val="0"/>
      <w:divBdr>
        <w:top w:val="none" w:sz="0" w:space="0" w:color="auto"/>
        <w:left w:val="none" w:sz="0" w:space="0" w:color="auto"/>
        <w:bottom w:val="none" w:sz="0" w:space="0" w:color="auto"/>
        <w:right w:val="none" w:sz="0" w:space="0" w:color="auto"/>
      </w:divBdr>
      <w:divsChild>
        <w:div w:id="175190489">
          <w:marLeft w:val="0"/>
          <w:marRight w:val="0"/>
          <w:marTop w:val="0"/>
          <w:marBottom w:val="0"/>
          <w:divBdr>
            <w:top w:val="none" w:sz="0" w:space="0" w:color="auto"/>
            <w:left w:val="none" w:sz="0" w:space="0" w:color="auto"/>
            <w:bottom w:val="none" w:sz="0" w:space="0" w:color="auto"/>
            <w:right w:val="none" w:sz="0" w:space="0" w:color="auto"/>
          </w:divBdr>
        </w:div>
        <w:div w:id="1159882779">
          <w:marLeft w:val="0"/>
          <w:marRight w:val="0"/>
          <w:marTop w:val="0"/>
          <w:marBottom w:val="0"/>
          <w:divBdr>
            <w:top w:val="none" w:sz="0" w:space="0" w:color="auto"/>
            <w:left w:val="none" w:sz="0" w:space="0" w:color="auto"/>
            <w:bottom w:val="none" w:sz="0" w:space="0" w:color="auto"/>
            <w:right w:val="none" w:sz="0" w:space="0" w:color="auto"/>
          </w:divBdr>
        </w:div>
        <w:div w:id="1418750425">
          <w:marLeft w:val="0"/>
          <w:marRight w:val="0"/>
          <w:marTop w:val="0"/>
          <w:marBottom w:val="0"/>
          <w:divBdr>
            <w:top w:val="none" w:sz="0" w:space="0" w:color="auto"/>
            <w:left w:val="none" w:sz="0" w:space="0" w:color="auto"/>
            <w:bottom w:val="none" w:sz="0" w:space="0" w:color="auto"/>
            <w:right w:val="none" w:sz="0" w:space="0" w:color="auto"/>
          </w:divBdr>
        </w:div>
        <w:div w:id="1516921554">
          <w:marLeft w:val="0"/>
          <w:marRight w:val="0"/>
          <w:marTop w:val="0"/>
          <w:marBottom w:val="0"/>
          <w:divBdr>
            <w:top w:val="none" w:sz="0" w:space="0" w:color="auto"/>
            <w:left w:val="none" w:sz="0" w:space="0" w:color="auto"/>
            <w:bottom w:val="none" w:sz="0" w:space="0" w:color="auto"/>
            <w:right w:val="none" w:sz="0" w:space="0" w:color="auto"/>
          </w:divBdr>
        </w:div>
      </w:divsChild>
    </w:div>
    <w:div w:id="1574974611">
      <w:bodyDiv w:val="1"/>
      <w:marLeft w:val="0"/>
      <w:marRight w:val="0"/>
      <w:marTop w:val="0"/>
      <w:marBottom w:val="0"/>
      <w:divBdr>
        <w:top w:val="none" w:sz="0" w:space="0" w:color="auto"/>
        <w:left w:val="none" w:sz="0" w:space="0" w:color="auto"/>
        <w:bottom w:val="none" w:sz="0" w:space="0" w:color="auto"/>
        <w:right w:val="none" w:sz="0" w:space="0" w:color="auto"/>
      </w:divBdr>
    </w:div>
    <w:div w:id="1576041489">
      <w:bodyDiv w:val="1"/>
      <w:marLeft w:val="0"/>
      <w:marRight w:val="0"/>
      <w:marTop w:val="0"/>
      <w:marBottom w:val="0"/>
      <w:divBdr>
        <w:top w:val="none" w:sz="0" w:space="0" w:color="auto"/>
        <w:left w:val="none" w:sz="0" w:space="0" w:color="auto"/>
        <w:bottom w:val="none" w:sz="0" w:space="0" w:color="auto"/>
        <w:right w:val="none" w:sz="0" w:space="0" w:color="auto"/>
      </w:divBdr>
    </w:div>
    <w:div w:id="1579367367">
      <w:bodyDiv w:val="1"/>
      <w:marLeft w:val="0"/>
      <w:marRight w:val="0"/>
      <w:marTop w:val="0"/>
      <w:marBottom w:val="0"/>
      <w:divBdr>
        <w:top w:val="none" w:sz="0" w:space="0" w:color="auto"/>
        <w:left w:val="none" w:sz="0" w:space="0" w:color="auto"/>
        <w:bottom w:val="none" w:sz="0" w:space="0" w:color="auto"/>
        <w:right w:val="none" w:sz="0" w:space="0" w:color="auto"/>
      </w:divBdr>
    </w:div>
    <w:div w:id="1580216797">
      <w:bodyDiv w:val="1"/>
      <w:marLeft w:val="0"/>
      <w:marRight w:val="0"/>
      <w:marTop w:val="0"/>
      <w:marBottom w:val="0"/>
      <w:divBdr>
        <w:top w:val="none" w:sz="0" w:space="0" w:color="auto"/>
        <w:left w:val="none" w:sz="0" w:space="0" w:color="auto"/>
        <w:bottom w:val="none" w:sz="0" w:space="0" w:color="auto"/>
        <w:right w:val="none" w:sz="0" w:space="0" w:color="auto"/>
      </w:divBdr>
    </w:div>
    <w:div w:id="1584022259">
      <w:bodyDiv w:val="1"/>
      <w:marLeft w:val="0"/>
      <w:marRight w:val="0"/>
      <w:marTop w:val="0"/>
      <w:marBottom w:val="0"/>
      <w:divBdr>
        <w:top w:val="none" w:sz="0" w:space="0" w:color="auto"/>
        <w:left w:val="none" w:sz="0" w:space="0" w:color="auto"/>
        <w:bottom w:val="none" w:sz="0" w:space="0" w:color="auto"/>
        <w:right w:val="none" w:sz="0" w:space="0" w:color="auto"/>
      </w:divBdr>
    </w:div>
    <w:div w:id="1588885373">
      <w:bodyDiv w:val="1"/>
      <w:marLeft w:val="0"/>
      <w:marRight w:val="0"/>
      <w:marTop w:val="0"/>
      <w:marBottom w:val="0"/>
      <w:divBdr>
        <w:top w:val="none" w:sz="0" w:space="0" w:color="auto"/>
        <w:left w:val="none" w:sz="0" w:space="0" w:color="auto"/>
        <w:bottom w:val="none" w:sz="0" w:space="0" w:color="auto"/>
        <w:right w:val="none" w:sz="0" w:space="0" w:color="auto"/>
      </w:divBdr>
    </w:div>
    <w:div w:id="1589803291">
      <w:bodyDiv w:val="1"/>
      <w:marLeft w:val="0"/>
      <w:marRight w:val="0"/>
      <w:marTop w:val="0"/>
      <w:marBottom w:val="0"/>
      <w:divBdr>
        <w:top w:val="none" w:sz="0" w:space="0" w:color="auto"/>
        <w:left w:val="none" w:sz="0" w:space="0" w:color="auto"/>
        <w:bottom w:val="none" w:sz="0" w:space="0" w:color="auto"/>
        <w:right w:val="none" w:sz="0" w:space="0" w:color="auto"/>
      </w:divBdr>
    </w:div>
    <w:div w:id="1590894199">
      <w:bodyDiv w:val="1"/>
      <w:marLeft w:val="0"/>
      <w:marRight w:val="0"/>
      <w:marTop w:val="0"/>
      <w:marBottom w:val="0"/>
      <w:divBdr>
        <w:top w:val="none" w:sz="0" w:space="0" w:color="auto"/>
        <w:left w:val="none" w:sz="0" w:space="0" w:color="auto"/>
        <w:bottom w:val="none" w:sz="0" w:space="0" w:color="auto"/>
        <w:right w:val="none" w:sz="0" w:space="0" w:color="auto"/>
      </w:divBdr>
    </w:div>
    <w:div w:id="1593467049">
      <w:bodyDiv w:val="1"/>
      <w:marLeft w:val="0"/>
      <w:marRight w:val="0"/>
      <w:marTop w:val="0"/>
      <w:marBottom w:val="0"/>
      <w:divBdr>
        <w:top w:val="none" w:sz="0" w:space="0" w:color="auto"/>
        <w:left w:val="none" w:sz="0" w:space="0" w:color="auto"/>
        <w:bottom w:val="none" w:sz="0" w:space="0" w:color="auto"/>
        <w:right w:val="none" w:sz="0" w:space="0" w:color="auto"/>
      </w:divBdr>
    </w:div>
    <w:div w:id="1595280462">
      <w:bodyDiv w:val="1"/>
      <w:marLeft w:val="0"/>
      <w:marRight w:val="0"/>
      <w:marTop w:val="0"/>
      <w:marBottom w:val="0"/>
      <w:divBdr>
        <w:top w:val="none" w:sz="0" w:space="0" w:color="auto"/>
        <w:left w:val="none" w:sz="0" w:space="0" w:color="auto"/>
        <w:bottom w:val="none" w:sz="0" w:space="0" w:color="auto"/>
        <w:right w:val="none" w:sz="0" w:space="0" w:color="auto"/>
      </w:divBdr>
    </w:div>
    <w:div w:id="1597056786">
      <w:bodyDiv w:val="1"/>
      <w:marLeft w:val="0"/>
      <w:marRight w:val="0"/>
      <w:marTop w:val="0"/>
      <w:marBottom w:val="0"/>
      <w:divBdr>
        <w:top w:val="none" w:sz="0" w:space="0" w:color="auto"/>
        <w:left w:val="none" w:sz="0" w:space="0" w:color="auto"/>
        <w:bottom w:val="none" w:sz="0" w:space="0" w:color="auto"/>
        <w:right w:val="none" w:sz="0" w:space="0" w:color="auto"/>
      </w:divBdr>
    </w:div>
    <w:div w:id="1597981588">
      <w:bodyDiv w:val="1"/>
      <w:marLeft w:val="0"/>
      <w:marRight w:val="0"/>
      <w:marTop w:val="0"/>
      <w:marBottom w:val="0"/>
      <w:divBdr>
        <w:top w:val="none" w:sz="0" w:space="0" w:color="auto"/>
        <w:left w:val="none" w:sz="0" w:space="0" w:color="auto"/>
        <w:bottom w:val="none" w:sz="0" w:space="0" w:color="auto"/>
        <w:right w:val="none" w:sz="0" w:space="0" w:color="auto"/>
      </w:divBdr>
    </w:div>
    <w:div w:id="1599410758">
      <w:bodyDiv w:val="1"/>
      <w:marLeft w:val="0"/>
      <w:marRight w:val="0"/>
      <w:marTop w:val="0"/>
      <w:marBottom w:val="0"/>
      <w:divBdr>
        <w:top w:val="none" w:sz="0" w:space="0" w:color="auto"/>
        <w:left w:val="none" w:sz="0" w:space="0" w:color="auto"/>
        <w:bottom w:val="none" w:sz="0" w:space="0" w:color="auto"/>
        <w:right w:val="none" w:sz="0" w:space="0" w:color="auto"/>
      </w:divBdr>
    </w:div>
    <w:div w:id="1601136643">
      <w:bodyDiv w:val="1"/>
      <w:marLeft w:val="0"/>
      <w:marRight w:val="0"/>
      <w:marTop w:val="0"/>
      <w:marBottom w:val="0"/>
      <w:divBdr>
        <w:top w:val="none" w:sz="0" w:space="0" w:color="auto"/>
        <w:left w:val="none" w:sz="0" w:space="0" w:color="auto"/>
        <w:bottom w:val="none" w:sz="0" w:space="0" w:color="auto"/>
        <w:right w:val="none" w:sz="0" w:space="0" w:color="auto"/>
      </w:divBdr>
    </w:div>
    <w:div w:id="1608582724">
      <w:bodyDiv w:val="1"/>
      <w:marLeft w:val="0"/>
      <w:marRight w:val="0"/>
      <w:marTop w:val="0"/>
      <w:marBottom w:val="0"/>
      <w:divBdr>
        <w:top w:val="none" w:sz="0" w:space="0" w:color="auto"/>
        <w:left w:val="none" w:sz="0" w:space="0" w:color="auto"/>
        <w:bottom w:val="none" w:sz="0" w:space="0" w:color="auto"/>
        <w:right w:val="none" w:sz="0" w:space="0" w:color="auto"/>
      </w:divBdr>
    </w:div>
    <w:div w:id="1609312519">
      <w:bodyDiv w:val="1"/>
      <w:marLeft w:val="0"/>
      <w:marRight w:val="0"/>
      <w:marTop w:val="0"/>
      <w:marBottom w:val="0"/>
      <w:divBdr>
        <w:top w:val="none" w:sz="0" w:space="0" w:color="auto"/>
        <w:left w:val="none" w:sz="0" w:space="0" w:color="auto"/>
        <w:bottom w:val="none" w:sz="0" w:space="0" w:color="auto"/>
        <w:right w:val="none" w:sz="0" w:space="0" w:color="auto"/>
      </w:divBdr>
    </w:div>
    <w:div w:id="1612735678">
      <w:bodyDiv w:val="1"/>
      <w:marLeft w:val="0"/>
      <w:marRight w:val="0"/>
      <w:marTop w:val="0"/>
      <w:marBottom w:val="0"/>
      <w:divBdr>
        <w:top w:val="none" w:sz="0" w:space="0" w:color="auto"/>
        <w:left w:val="none" w:sz="0" w:space="0" w:color="auto"/>
        <w:bottom w:val="none" w:sz="0" w:space="0" w:color="auto"/>
        <w:right w:val="none" w:sz="0" w:space="0" w:color="auto"/>
      </w:divBdr>
    </w:div>
    <w:div w:id="1614286783">
      <w:bodyDiv w:val="1"/>
      <w:marLeft w:val="0"/>
      <w:marRight w:val="0"/>
      <w:marTop w:val="0"/>
      <w:marBottom w:val="0"/>
      <w:divBdr>
        <w:top w:val="none" w:sz="0" w:space="0" w:color="auto"/>
        <w:left w:val="none" w:sz="0" w:space="0" w:color="auto"/>
        <w:bottom w:val="none" w:sz="0" w:space="0" w:color="auto"/>
        <w:right w:val="none" w:sz="0" w:space="0" w:color="auto"/>
      </w:divBdr>
    </w:div>
    <w:div w:id="1617254799">
      <w:bodyDiv w:val="1"/>
      <w:marLeft w:val="0"/>
      <w:marRight w:val="0"/>
      <w:marTop w:val="0"/>
      <w:marBottom w:val="0"/>
      <w:divBdr>
        <w:top w:val="none" w:sz="0" w:space="0" w:color="auto"/>
        <w:left w:val="none" w:sz="0" w:space="0" w:color="auto"/>
        <w:bottom w:val="none" w:sz="0" w:space="0" w:color="auto"/>
        <w:right w:val="none" w:sz="0" w:space="0" w:color="auto"/>
      </w:divBdr>
    </w:div>
    <w:div w:id="1626960820">
      <w:bodyDiv w:val="1"/>
      <w:marLeft w:val="0"/>
      <w:marRight w:val="0"/>
      <w:marTop w:val="0"/>
      <w:marBottom w:val="0"/>
      <w:divBdr>
        <w:top w:val="none" w:sz="0" w:space="0" w:color="auto"/>
        <w:left w:val="none" w:sz="0" w:space="0" w:color="auto"/>
        <w:bottom w:val="none" w:sz="0" w:space="0" w:color="auto"/>
        <w:right w:val="none" w:sz="0" w:space="0" w:color="auto"/>
      </w:divBdr>
    </w:div>
    <w:div w:id="1627858380">
      <w:bodyDiv w:val="1"/>
      <w:marLeft w:val="0"/>
      <w:marRight w:val="0"/>
      <w:marTop w:val="0"/>
      <w:marBottom w:val="0"/>
      <w:divBdr>
        <w:top w:val="none" w:sz="0" w:space="0" w:color="auto"/>
        <w:left w:val="none" w:sz="0" w:space="0" w:color="auto"/>
        <w:bottom w:val="none" w:sz="0" w:space="0" w:color="auto"/>
        <w:right w:val="none" w:sz="0" w:space="0" w:color="auto"/>
      </w:divBdr>
    </w:div>
    <w:div w:id="1628661463">
      <w:bodyDiv w:val="1"/>
      <w:marLeft w:val="0"/>
      <w:marRight w:val="0"/>
      <w:marTop w:val="0"/>
      <w:marBottom w:val="0"/>
      <w:divBdr>
        <w:top w:val="none" w:sz="0" w:space="0" w:color="auto"/>
        <w:left w:val="none" w:sz="0" w:space="0" w:color="auto"/>
        <w:bottom w:val="none" w:sz="0" w:space="0" w:color="auto"/>
        <w:right w:val="none" w:sz="0" w:space="0" w:color="auto"/>
      </w:divBdr>
    </w:div>
    <w:div w:id="1628928951">
      <w:bodyDiv w:val="1"/>
      <w:marLeft w:val="0"/>
      <w:marRight w:val="0"/>
      <w:marTop w:val="0"/>
      <w:marBottom w:val="0"/>
      <w:divBdr>
        <w:top w:val="none" w:sz="0" w:space="0" w:color="auto"/>
        <w:left w:val="none" w:sz="0" w:space="0" w:color="auto"/>
        <w:bottom w:val="none" w:sz="0" w:space="0" w:color="auto"/>
        <w:right w:val="none" w:sz="0" w:space="0" w:color="auto"/>
      </w:divBdr>
    </w:div>
    <w:div w:id="1629893355">
      <w:bodyDiv w:val="1"/>
      <w:marLeft w:val="0"/>
      <w:marRight w:val="0"/>
      <w:marTop w:val="0"/>
      <w:marBottom w:val="0"/>
      <w:divBdr>
        <w:top w:val="none" w:sz="0" w:space="0" w:color="auto"/>
        <w:left w:val="none" w:sz="0" w:space="0" w:color="auto"/>
        <w:bottom w:val="none" w:sz="0" w:space="0" w:color="auto"/>
        <w:right w:val="none" w:sz="0" w:space="0" w:color="auto"/>
      </w:divBdr>
    </w:div>
    <w:div w:id="1629965741">
      <w:bodyDiv w:val="1"/>
      <w:marLeft w:val="0"/>
      <w:marRight w:val="0"/>
      <w:marTop w:val="0"/>
      <w:marBottom w:val="0"/>
      <w:divBdr>
        <w:top w:val="none" w:sz="0" w:space="0" w:color="auto"/>
        <w:left w:val="none" w:sz="0" w:space="0" w:color="auto"/>
        <w:bottom w:val="none" w:sz="0" w:space="0" w:color="auto"/>
        <w:right w:val="none" w:sz="0" w:space="0" w:color="auto"/>
      </w:divBdr>
    </w:div>
    <w:div w:id="1630085958">
      <w:bodyDiv w:val="1"/>
      <w:marLeft w:val="0"/>
      <w:marRight w:val="0"/>
      <w:marTop w:val="0"/>
      <w:marBottom w:val="0"/>
      <w:divBdr>
        <w:top w:val="none" w:sz="0" w:space="0" w:color="auto"/>
        <w:left w:val="none" w:sz="0" w:space="0" w:color="auto"/>
        <w:bottom w:val="none" w:sz="0" w:space="0" w:color="auto"/>
        <w:right w:val="none" w:sz="0" w:space="0" w:color="auto"/>
      </w:divBdr>
    </w:div>
    <w:div w:id="1630739248">
      <w:bodyDiv w:val="1"/>
      <w:marLeft w:val="0"/>
      <w:marRight w:val="0"/>
      <w:marTop w:val="0"/>
      <w:marBottom w:val="0"/>
      <w:divBdr>
        <w:top w:val="none" w:sz="0" w:space="0" w:color="auto"/>
        <w:left w:val="none" w:sz="0" w:space="0" w:color="auto"/>
        <w:bottom w:val="none" w:sz="0" w:space="0" w:color="auto"/>
        <w:right w:val="none" w:sz="0" w:space="0" w:color="auto"/>
      </w:divBdr>
    </w:div>
    <w:div w:id="1630739573">
      <w:bodyDiv w:val="1"/>
      <w:marLeft w:val="0"/>
      <w:marRight w:val="0"/>
      <w:marTop w:val="0"/>
      <w:marBottom w:val="0"/>
      <w:divBdr>
        <w:top w:val="none" w:sz="0" w:space="0" w:color="auto"/>
        <w:left w:val="none" w:sz="0" w:space="0" w:color="auto"/>
        <w:bottom w:val="none" w:sz="0" w:space="0" w:color="auto"/>
        <w:right w:val="none" w:sz="0" w:space="0" w:color="auto"/>
      </w:divBdr>
    </w:div>
    <w:div w:id="1632831156">
      <w:bodyDiv w:val="1"/>
      <w:marLeft w:val="0"/>
      <w:marRight w:val="0"/>
      <w:marTop w:val="0"/>
      <w:marBottom w:val="0"/>
      <w:divBdr>
        <w:top w:val="none" w:sz="0" w:space="0" w:color="auto"/>
        <w:left w:val="none" w:sz="0" w:space="0" w:color="auto"/>
        <w:bottom w:val="none" w:sz="0" w:space="0" w:color="auto"/>
        <w:right w:val="none" w:sz="0" w:space="0" w:color="auto"/>
      </w:divBdr>
    </w:div>
    <w:div w:id="1640839055">
      <w:bodyDiv w:val="1"/>
      <w:marLeft w:val="0"/>
      <w:marRight w:val="0"/>
      <w:marTop w:val="0"/>
      <w:marBottom w:val="0"/>
      <w:divBdr>
        <w:top w:val="none" w:sz="0" w:space="0" w:color="auto"/>
        <w:left w:val="none" w:sz="0" w:space="0" w:color="auto"/>
        <w:bottom w:val="none" w:sz="0" w:space="0" w:color="auto"/>
        <w:right w:val="none" w:sz="0" w:space="0" w:color="auto"/>
      </w:divBdr>
    </w:div>
    <w:div w:id="1641106793">
      <w:bodyDiv w:val="1"/>
      <w:marLeft w:val="0"/>
      <w:marRight w:val="0"/>
      <w:marTop w:val="0"/>
      <w:marBottom w:val="0"/>
      <w:divBdr>
        <w:top w:val="none" w:sz="0" w:space="0" w:color="auto"/>
        <w:left w:val="none" w:sz="0" w:space="0" w:color="auto"/>
        <w:bottom w:val="none" w:sz="0" w:space="0" w:color="auto"/>
        <w:right w:val="none" w:sz="0" w:space="0" w:color="auto"/>
      </w:divBdr>
    </w:div>
    <w:div w:id="1642729148">
      <w:bodyDiv w:val="1"/>
      <w:marLeft w:val="0"/>
      <w:marRight w:val="0"/>
      <w:marTop w:val="0"/>
      <w:marBottom w:val="0"/>
      <w:divBdr>
        <w:top w:val="none" w:sz="0" w:space="0" w:color="auto"/>
        <w:left w:val="none" w:sz="0" w:space="0" w:color="auto"/>
        <w:bottom w:val="none" w:sz="0" w:space="0" w:color="auto"/>
        <w:right w:val="none" w:sz="0" w:space="0" w:color="auto"/>
      </w:divBdr>
    </w:div>
    <w:div w:id="1643851384">
      <w:bodyDiv w:val="1"/>
      <w:marLeft w:val="0"/>
      <w:marRight w:val="0"/>
      <w:marTop w:val="0"/>
      <w:marBottom w:val="0"/>
      <w:divBdr>
        <w:top w:val="none" w:sz="0" w:space="0" w:color="auto"/>
        <w:left w:val="none" w:sz="0" w:space="0" w:color="auto"/>
        <w:bottom w:val="none" w:sz="0" w:space="0" w:color="auto"/>
        <w:right w:val="none" w:sz="0" w:space="0" w:color="auto"/>
      </w:divBdr>
    </w:div>
    <w:div w:id="1645310051">
      <w:bodyDiv w:val="1"/>
      <w:marLeft w:val="0"/>
      <w:marRight w:val="0"/>
      <w:marTop w:val="0"/>
      <w:marBottom w:val="0"/>
      <w:divBdr>
        <w:top w:val="none" w:sz="0" w:space="0" w:color="auto"/>
        <w:left w:val="none" w:sz="0" w:space="0" w:color="auto"/>
        <w:bottom w:val="none" w:sz="0" w:space="0" w:color="auto"/>
        <w:right w:val="none" w:sz="0" w:space="0" w:color="auto"/>
      </w:divBdr>
    </w:div>
    <w:div w:id="1648124009">
      <w:bodyDiv w:val="1"/>
      <w:marLeft w:val="0"/>
      <w:marRight w:val="0"/>
      <w:marTop w:val="0"/>
      <w:marBottom w:val="0"/>
      <w:divBdr>
        <w:top w:val="none" w:sz="0" w:space="0" w:color="auto"/>
        <w:left w:val="none" w:sz="0" w:space="0" w:color="auto"/>
        <w:bottom w:val="none" w:sz="0" w:space="0" w:color="auto"/>
        <w:right w:val="none" w:sz="0" w:space="0" w:color="auto"/>
      </w:divBdr>
    </w:div>
    <w:div w:id="1649092599">
      <w:bodyDiv w:val="1"/>
      <w:marLeft w:val="0"/>
      <w:marRight w:val="0"/>
      <w:marTop w:val="0"/>
      <w:marBottom w:val="0"/>
      <w:divBdr>
        <w:top w:val="none" w:sz="0" w:space="0" w:color="auto"/>
        <w:left w:val="none" w:sz="0" w:space="0" w:color="auto"/>
        <w:bottom w:val="none" w:sz="0" w:space="0" w:color="auto"/>
        <w:right w:val="none" w:sz="0" w:space="0" w:color="auto"/>
      </w:divBdr>
    </w:div>
    <w:div w:id="1649238761">
      <w:bodyDiv w:val="1"/>
      <w:marLeft w:val="0"/>
      <w:marRight w:val="0"/>
      <w:marTop w:val="0"/>
      <w:marBottom w:val="0"/>
      <w:divBdr>
        <w:top w:val="none" w:sz="0" w:space="0" w:color="auto"/>
        <w:left w:val="none" w:sz="0" w:space="0" w:color="auto"/>
        <w:bottom w:val="none" w:sz="0" w:space="0" w:color="auto"/>
        <w:right w:val="none" w:sz="0" w:space="0" w:color="auto"/>
      </w:divBdr>
    </w:div>
    <w:div w:id="1656254737">
      <w:bodyDiv w:val="1"/>
      <w:marLeft w:val="0"/>
      <w:marRight w:val="0"/>
      <w:marTop w:val="0"/>
      <w:marBottom w:val="0"/>
      <w:divBdr>
        <w:top w:val="none" w:sz="0" w:space="0" w:color="auto"/>
        <w:left w:val="none" w:sz="0" w:space="0" w:color="auto"/>
        <w:bottom w:val="none" w:sz="0" w:space="0" w:color="auto"/>
        <w:right w:val="none" w:sz="0" w:space="0" w:color="auto"/>
      </w:divBdr>
    </w:div>
    <w:div w:id="1659262967">
      <w:bodyDiv w:val="1"/>
      <w:marLeft w:val="0"/>
      <w:marRight w:val="0"/>
      <w:marTop w:val="0"/>
      <w:marBottom w:val="0"/>
      <w:divBdr>
        <w:top w:val="none" w:sz="0" w:space="0" w:color="auto"/>
        <w:left w:val="none" w:sz="0" w:space="0" w:color="auto"/>
        <w:bottom w:val="none" w:sz="0" w:space="0" w:color="auto"/>
        <w:right w:val="none" w:sz="0" w:space="0" w:color="auto"/>
      </w:divBdr>
    </w:div>
    <w:div w:id="1659263838">
      <w:bodyDiv w:val="1"/>
      <w:marLeft w:val="0"/>
      <w:marRight w:val="0"/>
      <w:marTop w:val="0"/>
      <w:marBottom w:val="0"/>
      <w:divBdr>
        <w:top w:val="none" w:sz="0" w:space="0" w:color="auto"/>
        <w:left w:val="none" w:sz="0" w:space="0" w:color="auto"/>
        <w:bottom w:val="none" w:sz="0" w:space="0" w:color="auto"/>
        <w:right w:val="none" w:sz="0" w:space="0" w:color="auto"/>
      </w:divBdr>
    </w:div>
    <w:div w:id="1664118276">
      <w:bodyDiv w:val="1"/>
      <w:marLeft w:val="0"/>
      <w:marRight w:val="0"/>
      <w:marTop w:val="0"/>
      <w:marBottom w:val="0"/>
      <w:divBdr>
        <w:top w:val="none" w:sz="0" w:space="0" w:color="auto"/>
        <w:left w:val="none" w:sz="0" w:space="0" w:color="auto"/>
        <w:bottom w:val="none" w:sz="0" w:space="0" w:color="auto"/>
        <w:right w:val="none" w:sz="0" w:space="0" w:color="auto"/>
      </w:divBdr>
    </w:div>
    <w:div w:id="1664698465">
      <w:bodyDiv w:val="1"/>
      <w:marLeft w:val="0"/>
      <w:marRight w:val="0"/>
      <w:marTop w:val="0"/>
      <w:marBottom w:val="0"/>
      <w:divBdr>
        <w:top w:val="none" w:sz="0" w:space="0" w:color="auto"/>
        <w:left w:val="none" w:sz="0" w:space="0" w:color="auto"/>
        <w:bottom w:val="none" w:sz="0" w:space="0" w:color="auto"/>
        <w:right w:val="none" w:sz="0" w:space="0" w:color="auto"/>
      </w:divBdr>
    </w:div>
    <w:div w:id="1665468984">
      <w:bodyDiv w:val="1"/>
      <w:marLeft w:val="0"/>
      <w:marRight w:val="0"/>
      <w:marTop w:val="0"/>
      <w:marBottom w:val="0"/>
      <w:divBdr>
        <w:top w:val="none" w:sz="0" w:space="0" w:color="auto"/>
        <w:left w:val="none" w:sz="0" w:space="0" w:color="auto"/>
        <w:bottom w:val="none" w:sz="0" w:space="0" w:color="auto"/>
        <w:right w:val="none" w:sz="0" w:space="0" w:color="auto"/>
      </w:divBdr>
    </w:div>
    <w:div w:id="1667443475">
      <w:bodyDiv w:val="1"/>
      <w:marLeft w:val="0"/>
      <w:marRight w:val="0"/>
      <w:marTop w:val="0"/>
      <w:marBottom w:val="0"/>
      <w:divBdr>
        <w:top w:val="none" w:sz="0" w:space="0" w:color="auto"/>
        <w:left w:val="none" w:sz="0" w:space="0" w:color="auto"/>
        <w:bottom w:val="none" w:sz="0" w:space="0" w:color="auto"/>
        <w:right w:val="none" w:sz="0" w:space="0" w:color="auto"/>
      </w:divBdr>
    </w:div>
    <w:div w:id="1671256931">
      <w:bodyDiv w:val="1"/>
      <w:marLeft w:val="0"/>
      <w:marRight w:val="0"/>
      <w:marTop w:val="0"/>
      <w:marBottom w:val="0"/>
      <w:divBdr>
        <w:top w:val="none" w:sz="0" w:space="0" w:color="auto"/>
        <w:left w:val="none" w:sz="0" w:space="0" w:color="auto"/>
        <w:bottom w:val="none" w:sz="0" w:space="0" w:color="auto"/>
        <w:right w:val="none" w:sz="0" w:space="0" w:color="auto"/>
      </w:divBdr>
    </w:div>
    <w:div w:id="1673294048">
      <w:bodyDiv w:val="1"/>
      <w:marLeft w:val="0"/>
      <w:marRight w:val="0"/>
      <w:marTop w:val="0"/>
      <w:marBottom w:val="0"/>
      <w:divBdr>
        <w:top w:val="none" w:sz="0" w:space="0" w:color="auto"/>
        <w:left w:val="none" w:sz="0" w:space="0" w:color="auto"/>
        <w:bottom w:val="none" w:sz="0" w:space="0" w:color="auto"/>
        <w:right w:val="none" w:sz="0" w:space="0" w:color="auto"/>
      </w:divBdr>
    </w:div>
    <w:div w:id="1674067107">
      <w:bodyDiv w:val="1"/>
      <w:marLeft w:val="0"/>
      <w:marRight w:val="0"/>
      <w:marTop w:val="0"/>
      <w:marBottom w:val="0"/>
      <w:divBdr>
        <w:top w:val="none" w:sz="0" w:space="0" w:color="auto"/>
        <w:left w:val="none" w:sz="0" w:space="0" w:color="auto"/>
        <w:bottom w:val="none" w:sz="0" w:space="0" w:color="auto"/>
        <w:right w:val="none" w:sz="0" w:space="0" w:color="auto"/>
      </w:divBdr>
    </w:div>
    <w:div w:id="1675646917">
      <w:bodyDiv w:val="1"/>
      <w:marLeft w:val="0"/>
      <w:marRight w:val="0"/>
      <w:marTop w:val="0"/>
      <w:marBottom w:val="0"/>
      <w:divBdr>
        <w:top w:val="none" w:sz="0" w:space="0" w:color="auto"/>
        <w:left w:val="none" w:sz="0" w:space="0" w:color="auto"/>
        <w:bottom w:val="none" w:sz="0" w:space="0" w:color="auto"/>
        <w:right w:val="none" w:sz="0" w:space="0" w:color="auto"/>
      </w:divBdr>
    </w:div>
    <w:div w:id="1676110717">
      <w:bodyDiv w:val="1"/>
      <w:marLeft w:val="0"/>
      <w:marRight w:val="0"/>
      <w:marTop w:val="0"/>
      <w:marBottom w:val="0"/>
      <w:divBdr>
        <w:top w:val="none" w:sz="0" w:space="0" w:color="auto"/>
        <w:left w:val="none" w:sz="0" w:space="0" w:color="auto"/>
        <w:bottom w:val="none" w:sz="0" w:space="0" w:color="auto"/>
        <w:right w:val="none" w:sz="0" w:space="0" w:color="auto"/>
      </w:divBdr>
    </w:div>
    <w:div w:id="1676959652">
      <w:bodyDiv w:val="1"/>
      <w:marLeft w:val="0"/>
      <w:marRight w:val="0"/>
      <w:marTop w:val="0"/>
      <w:marBottom w:val="0"/>
      <w:divBdr>
        <w:top w:val="none" w:sz="0" w:space="0" w:color="auto"/>
        <w:left w:val="none" w:sz="0" w:space="0" w:color="auto"/>
        <w:bottom w:val="none" w:sz="0" w:space="0" w:color="auto"/>
        <w:right w:val="none" w:sz="0" w:space="0" w:color="auto"/>
      </w:divBdr>
    </w:div>
    <w:div w:id="1678655118">
      <w:bodyDiv w:val="1"/>
      <w:marLeft w:val="0"/>
      <w:marRight w:val="0"/>
      <w:marTop w:val="0"/>
      <w:marBottom w:val="0"/>
      <w:divBdr>
        <w:top w:val="none" w:sz="0" w:space="0" w:color="auto"/>
        <w:left w:val="none" w:sz="0" w:space="0" w:color="auto"/>
        <w:bottom w:val="none" w:sz="0" w:space="0" w:color="auto"/>
        <w:right w:val="none" w:sz="0" w:space="0" w:color="auto"/>
      </w:divBdr>
    </w:div>
    <w:div w:id="1681272574">
      <w:bodyDiv w:val="1"/>
      <w:marLeft w:val="0"/>
      <w:marRight w:val="0"/>
      <w:marTop w:val="0"/>
      <w:marBottom w:val="0"/>
      <w:divBdr>
        <w:top w:val="none" w:sz="0" w:space="0" w:color="auto"/>
        <w:left w:val="none" w:sz="0" w:space="0" w:color="auto"/>
        <w:bottom w:val="none" w:sz="0" w:space="0" w:color="auto"/>
        <w:right w:val="none" w:sz="0" w:space="0" w:color="auto"/>
      </w:divBdr>
    </w:div>
    <w:div w:id="1682274004">
      <w:bodyDiv w:val="1"/>
      <w:marLeft w:val="0"/>
      <w:marRight w:val="0"/>
      <w:marTop w:val="0"/>
      <w:marBottom w:val="0"/>
      <w:divBdr>
        <w:top w:val="none" w:sz="0" w:space="0" w:color="auto"/>
        <w:left w:val="none" w:sz="0" w:space="0" w:color="auto"/>
        <w:bottom w:val="none" w:sz="0" w:space="0" w:color="auto"/>
        <w:right w:val="none" w:sz="0" w:space="0" w:color="auto"/>
      </w:divBdr>
    </w:div>
    <w:div w:id="1683624524">
      <w:bodyDiv w:val="1"/>
      <w:marLeft w:val="0"/>
      <w:marRight w:val="0"/>
      <w:marTop w:val="0"/>
      <w:marBottom w:val="0"/>
      <w:divBdr>
        <w:top w:val="none" w:sz="0" w:space="0" w:color="auto"/>
        <w:left w:val="none" w:sz="0" w:space="0" w:color="auto"/>
        <w:bottom w:val="none" w:sz="0" w:space="0" w:color="auto"/>
        <w:right w:val="none" w:sz="0" w:space="0" w:color="auto"/>
      </w:divBdr>
    </w:div>
    <w:div w:id="1683706961">
      <w:bodyDiv w:val="1"/>
      <w:marLeft w:val="0"/>
      <w:marRight w:val="0"/>
      <w:marTop w:val="0"/>
      <w:marBottom w:val="0"/>
      <w:divBdr>
        <w:top w:val="none" w:sz="0" w:space="0" w:color="auto"/>
        <w:left w:val="none" w:sz="0" w:space="0" w:color="auto"/>
        <w:bottom w:val="none" w:sz="0" w:space="0" w:color="auto"/>
        <w:right w:val="none" w:sz="0" w:space="0" w:color="auto"/>
      </w:divBdr>
      <w:divsChild>
        <w:div w:id="72747258">
          <w:marLeft w:val="0"/>
          <w:marRight w:val="0"/>
          <w:marTop w:val="0"/>
          <w:marBottom w:val="0"/>
          <w:divBdr>
            <w:top w:val="none" w:sz="0" w:space="0" w:color="auto"/>
            <w:left w:val="none" w:sz="0" w:space="0" w:color="auto"/>
            <w:bottom w:val="none" w:sz="0" w:space="0" w:color="auto"/>
            <w:right w:val="none" w:sz="0" w:space="0" w:color="auto"/>
          </w:divBdr>
        </w:div>
        <w:div w:id="242372553">
          <w:marLeft w:val="0"/>
          <w:marRight w:val="0"/>
          <w:marTop w:val="0"/>
          <w:marBottom w:val="0"/>
          <w:divBdr>
            <w:top w:val="none" w:sz="0" w:space="0" w:color="auto"/>
            <w:left w:val="none" w:sz="0" w:space="0" w:color="auto"/>
            <w:bottom w:val="none" w:sz="0" w:space="0" w:color="auto"/>
            <w:right w:val="none" w:sz="0" w:space="0" w:color="auto"/>
          </w:divBdr>
        </w:div>
        <w:div w:id="294070984">
          <w:marLeft w:val="0"/>
          <w:marRight w:val="0"/>
          <w:marTop w:val="0"/>
          <w:marBottom w:val="0"/>
          <w:divBdr>
            <w:top w:val="none" w:sz="0" w:space="0" w:color="auto"/>
            <w:left w:val="none" w:sz="0" w:space="0" w:color="auto"/>
            <w:bottom w:val="none" w:sz="0" w:space="0" w:color="auto"/>
            <w:right w:val="none" w:sz="0" w:space="0" w:color="auto"/>
          </w:divBdr>
        </w:div>
        <w:div w:id="405422539">
          <w:marLeft w:val="0"/>
          <w:marRight w:val="0"/>
          <w:marTop w:val="0"/>
          <w:marBottom w:val="0"/>
          <w:divBdr>
            <w:top w:val="none" w:sz="0" w:space="0" w:color="auto"/>
            <w:left w:val="none" w:sz="0" w:space="0" w:color="auto"/>
            <w:bottom w:val="none" w:sz="0" w:space="0" w:color="auto"/>
            <w:right w:val="none" w:sz="0" w:space="0" w:color="auto"/>
          </w:divBdr>
        </w:div>
        <w:div w:id="425350075">
          <w:marLeft w:val="0"/>
          <w:marRight w:val="0"/>
          <w:marTop w:val="0"/>
          <w:marBottom w:val="0"/>
          <w:divBdr>
            <w:top w:val="none" w:sz="0" w:space="0" w:color="auto"/>
            <w:left w:val="none" w:sz="0" w:space="0" w:color="auto"/>
            <w:bottom w:val="none" w:sz="0" w:space="0" w:color="auto"/>
            <w:right w:val="none" w:sz="0" w:space="0" w:color="auto"/>
          </w:divBdr>
        </w:div>
        <w:div w:id="602882082">
          <w:marLeft w:val="0"/>
          <w:marRight w:val="0"/>
          <w:marTop w:val="0"/>
          <w:marBottom w:val="0"/>
          <w:divBdr>
            <w:top w:val="none" w:sz="0" w:space="0" w:color="auto"/>
            <w:left w:val="none" w:sz="0" w:space="0" w:color="auto"/>
            <w:bottom w:val="none" w:sz="0" w:space="0" w:color="auto"/>
            <w:right w:val="none" w:sz="0" w:space="0" w:color="auto"/>
          </w:divBdr>
        </w:div>
        <w:div w:id="1289579915">
          <w:marLeft w:val="0"/>
          <w:marRight w:val="0"/>
          <w:marTop w:val="0"/>
          <w:marBottom w:val="0"/>
          <w:divBdr>
            <w:top w:val="none" w:sz="0" w:space="0" w:color="auto"/>
            <w:left w:val="none" w:sz="0" w:space="0" w:color="auto"/>
            <w:bottom w:val="none" w:sz="0" w:space="0" w:color="auto"/>
            <w:right w:val="none" w:sz="0" w:space="0" w:color="auto"/>
          </w:divBdr>
        </w:div>
        <w:div w:id="1290280282">
          <w:marLeft w:val="0"/>
          <w:marRight w:val="0"/>
          <w:marTop w:val="0"/>
          <w:marBottom w:val="0"/>
          <w:divBdr>
            <w:top w:val="none" w:sz="0" w:space="0" w:color="auto"/>
            <w:left w:val="none" w:sz="0" w:space="0" w:color="auto"/>
            <w:bottom w:val="none" w:sz="0" w:space="0" w:color="auto"/>
            <w:right w:val="none" w:sz="0" w:space="0" w:color="auto"/>
          </w:divBdr>
        </w:div>
        <w:div w:id="1317303027">
          <w:marLeft w:val="0"/>
          <w:marRight w:val="0"/>
          <w:marTop w:val="0"/>
          <w:marBottom w:val="0"/>
          <w:divBdr>
            <w:top w:val="none" w:sz="0" w:space="0" w:color="auto"/>
            <w:left w:val="none" w:sz="0" w:space="0" w:color="auto"/>
            <w:bottom w:val="none" w:sz="0" w:space="0" w:color="auto"/>
            <w:right w:val="none" w:sz="0" w:space="0" w:color="auto"/>
          </w:divBdr>
        </w:div>
        <w:div w:id="1591426144">
          <w:marLeft w:val="0"/>
          <w:marRight w:val="0"/>
          <w:marTop w:val="0"/>
          <w:marBottom w:val="0"/>
          <w:divBdr>
            <w:top w:val="none" w:sz="0" w:space="0" w:color="auto"/>
            <w:left w:val="none" w:sz="0" w:space="0" w:color="auto"/>
            <w:bottom w:val="none" w:sz="0" w:space="0" w:color="auto"/>
            <w:right w:val="none" w:sz="0" w:space="0" w:color="auto"/>
          </w:divBdr>
        </w:div>
        <w:div w:id="1835487398">
          <w:marLeft w:val="0"/>
          <w:marRight w:val="0"/>
          <w:marTop w:val="0"/>
          <w:marBottom w:val="0"/>
          <w:divBdr>
            <w:top w:val="none" w:sz="0" w:space="0" w:color="auto"/>
            <w:left w:val="none" w:sz="0" w:space="0" w:color="auto"/>
            <w:bottom w:val="none" w:sz="0" w:space="0" w:color="auto"/>
            <w:right w:val="none" w:sz="0" w:space="0" w:color="auto"/>
          </w:divBdr>
        </w:div>
      </w:divsChild>
    </w:div>
    <w:div w:id="1686979553">
      <w:bodyDiv w:val="1"/>
      <w:marLeft w:val="0"/>
      <w:marRight w:val="0"/>
      <w:marTop w:val="0"/>
      <w:marBottom w:val="0"/>
      <w:divBdr>
        <w:top w:val="none" w:sz="0" w:space="0" w:color="auto"/>
        <w:left w:val="none" w:sz="0" w:space="0" w:color="auto"/>
        <w:bottom w:val="none" w:sz="0" w:space="0" w:color="auto"/>
        <w:right w:val="none" w:sz="0" w:space="0" w:color="auto"/>
      </w:divBdr>
    </w:div>
    <w:div w:id="1688557900">
      <w:bodyDiv w:val="1"/>
      <w:marLeft w:val="0"/>
      <w:marRight w:val="0"/>
      <w:marTop w:val="0"/>
      <w:marBottom w:val="0"/>
      <w:divBdr>
        <w:top w:val="none" w:sz="0" w:space="0" w:color="auto"/>
        <w:left w:val="none" w:sz="0" w:space="0" w:color="auto"/>
        <w:bottom w:val="none" w:sz="0" w:space="0" w:color="auto"/>
        <w:right w:val="none" w:sz="0" w:space="0" w:color="auto"/>
      </w:divBdr>
    </w:div>
    <w:div w:id="1690183054">
      <w:bodyDiv w:val="1"/>
      <w:marLeft w:val="0"/>
      <w:marRight w:val="0"/>
      <w:marTop w:val="0"/>
      <w:marBottom w:val="0"/>
      <w:divBdr>
        <w:top w:val="none" w:sz="0" w:space="0" w:color="auto"/>
        <w:left w:val="none" w:sz="0" w:space="0" w:color="auto"/>
        <w:bottom w:val="none" w:sz="0" w:space="0" w:color="auto"/>
        <w:right w:val="none" w:sz="0" w:space="0" w:color="auto"/>
      </w:divBdr>
    </w:div>
    <w:div w:id="1692299848">
      <w:bodyDiv w:val="1"/>
      <w:marLeft w:val="0"/>
      <w:marRight w:val="0"/>
      <w:marTop w:val="0"/>
      <w:marBottom w:val="0"/>
      <w:divBdr>
        <w:top w:val="none" w:sz="0" w:space="0" w:color="auto"/>
        <w:left w:val="none" w:sz="0" w:space="0" w:color="auto"/>
        <w:bottom w:val="none" w:sz="0" w:space="0" w:color="auto"/>
        <w:right w:val="none" w:sz="0" w:space="0" w:color="auto"/>
      </w:divBdr>
    </w:div>
    <w:div w:id="1692759525">
      <w:bodyDiv w:val="1"/>
      <w:marLeft w:val="0"/>
      <w:marRight w:val="0"/>
      <w:marTop w:val="0"/>
      <w:marBottom w:val="0"/>
      <w:divBdr>
        <w:top w:val="none" w:sz="0" w:space="0" w:color="auto"/>
        <w:left w:val="none" w:sz="0" w:space="0" w:color="auto"/>
        <w:bottom w:val="none" w:sz="0" w:space="0" w:color="auto"/>
        <w:right w:val="none" w:sz="0" w:space="0" w:color="auto"/>
      </w:divBdr>
    </w:div>
    <w:div w:id="1695811543">
      <w:bodyDiv w:val="1"/>
      <w:marLeft w:val="0"/>
      <w:marRight w:val="0"/>
      <w:marTop w:val="0"/>
      <w:marBottom w:val="0"/>
      <w:divBdr>
        <w:top w:val="none" w:sz="0" w:space="0" w:color="auto"/>
        <w:left w:val="none" w:sz="0" w:space="0" w:color="auto"/>
        <w:bottom w:val="none" w:sz="0" w:space="0" w:color="auto"/>
        <w:right w:val="none" w:sz="0" w:space="0" w:color="auto"/>
      </w:divBdr>
    </w:div>
    <w:div w:id="1697850140">
      <w:bodyDiv w:val="1"/>
      <w:marLeft w:val="0"/>
      <w:marRight w:val="0"/>
      <w:marTop w:val="0"/>
      <w:marBottom w:val="0"/>
      <w:divBdr>
        <w:top w:val="none" w:sz="0" w:space="0" w:color="auto"/>
        <w:left w:val="none" w:sz="0" w:space="0" w:color="auto"/>
        <w:bottom w:val="none" w:sz="0" w:space="0" w:color="auto"/>
        <w:right w:val="none" w:sz="0" w:space="0" w:color="auto"/>
      </w:divBdr>
    </w:div>
    <w:div w:id="1700162566">
      <w:bodyDiv w:val="1"/>
      <w:marLeft w:val="0"/>
      <w:marRight w:val="0"/>
      <w:marTop w:val="0"/>
      <w:marBottom w:val="0"/>
      <w:divBdr>
        <w:top w:val="none" w:sz="0" w:space="0" w:color="auto"/>
        <w:left w:val="none" w:sz="0" w:space="0" w:color="auto"/>
        <w:bottom w:val="none" w:sz="0" w:space="0" w:color="auto"/>
        <w:right w:val="none" w:sz="0" w:space="0" w:color="auto"/>
      </w:divBdr>
    </w:div>
    <w:div w:id="1701126658">
      <w:bodyDiv w:val="1"/>
      <w:marLeft w:val="0"/>
      <w:marRight w:val="0"/>
      <w:marTop w:val="0"/>
      <w:marBottom w:val="0"/>
      <w:divBdr>
        <w:top w:val="none" w:sz="0" w:space="0" w:color="auto"/>
        <w:left w:val="none" w:sz="0" w:space="0" w:color="auto"/>
        <w:bottom w:val="none" w:sz="0" w:space="0" w:color="auto"/>
        <w:right w:val="none" w:sz="0" w:space="0" w:color="auto"/>
      </w:divBdr>
    </w:div>
    <w:div w:id="1703742698">
      <w:bodyDiv w:val="1"/>
      <w:marLeft w:val="0"/>
      <w:marRight w:val="0"/>
      <w:marTop w:val="0"/>
      <w:marBottom w:val="0"/>
      <w:divBdr>
        <w:top w:val="none" w:sz="0" w:space="0" w:color="auto"/>
        <w:left w:val="none" w:sz="0" w:space="0" w:color="auto"/>
        <w:bottom w:val="none" w:sz="0" w:space="0" w:color="auto"/>
        <w:right w:val="none" w:sz="0" w:space="0" w:color="auto"/>
      </w:divBdr>
    </w:div>
    <w:div w:id="1708677010">
      <w:bodyDiv w:val="1"/>
      <w:marLeft w:val="0"/>
      <w:marRight w:val="0"/>
      <w:marTop w:val="0"/>
      <w:marBottom w:val="0"/>
      <w:divBdr>
        <w:top w:val="none" w:sz="0" w:space="0" w:color="auto"/>
        <w:left w:val="none" w:sz="0" w:space="0" w:color="auto"/>
        <w:bottom w:val="none" w:sz="0" w:space="0" w:color="auto"/>
        <w:right w:val="none" w:sz="0" w:space="0" w:color="auto"/>
      </w:divBdr>
    </w:div>
    <w:div w:id="1712269582">
      <w:bodyDiv w:val="1"/>
      <w:marLeft w:val="0"/>
      <w:marRight w:val="0"/>
      <w:marTop w:val="0"/>
      <w:marBottom w:val="0"/>
      <w:divBdr>
        <w:top w:val="none" w:sz="0" w:space="0" w:color="auto"/>
        <w:left w:val="none" w:sz="0" w:space="0" w:color="auto"/>
        <w:bottom w:val="none" w:sz="0" w:space="0" w:color="auto"/>
        <w:right w:val="none" w:sz="0" w:space="0" w:color="auto"/>
      </w:divBdr>
    </w:div>
    <w:div w:id="1712921204">
      <w:bodyDiv w:val="1"/>
      <w:marLeft w:val="0"/>
      <w:marRight w:val="0"/>
      <w:marTop w:val="0"/>
      <w:marBottom w:val="0"/>
      <w:divBdr>
        <w:top w:val="none" w:sz="0" w:space="0" w:color="auto"/>
        <w:left w:val="none" w:sz="0" w:space="0" w:color="auto"/>
        <w:bottom w:val="none" w:sz="0" w:space="0" w:color="auto"/>
        <w:right w:val="none" w:sz="0" w:space="0" w:color="auto"/>
      </w:divBdr>
    </w:div>
    <w:div w:id="1713534954">
      <w:bodyDiv w:val="1"/>
      <w:marLeft w:val="0"/>
      <w:marRight w:val="0"/>
      <w:marTop w:val="0"/>
      <w:marBottom w:val="0"/>
      <w:divBdr>
        <w:top w:val="none" w:sz="0" w:space="0" w:color="auto"/>
        <w:left w:val="none" w:sz="0" w:space="0" w:color="auto"/>
        <w:bottom w:val="none" w:sz="0" w:space="0" w:color="auto"/>
        <w:right w:val="none" w:sz="0" w:space="0" w:color="auto"/>
      </w:divBdr>
    </w:div>
    <w:div w:id="1714311110">
      <w:bodyDiv w:val="1"/>
      <w:marLeft w:val="0"/>
      <w:marRight w:val="0"/>
      <w:marTop w:val="0"/>
      <w:marBottom w:val="0"/>
      <w:divBdr>
        <w:top w:val="none" w:sz="0" w:space="0" w:color="auto"/>
        <w:left w:val="none" w:sz="0" w:space="0" w:color="auto"/>
        <w:bottom w:val="none" w:sz="0" w:space="0" w:color="auto"/>
        <w:right w:val="none" w:sz="0" w:space="0" w:color="auto"/>
      </w:divBdr>
    </w:div>
    <w:div w:id="1717898531">
      <w:bodyDiv w:val="1"/>
      <w:marLeft w:val="0"/>
      <w:marRight w:val="0"/>
      <w:marTop w:val="0"/>
      <w:marBottom w:val="0"/>
      <w:divBdr>
        <w:top w:val="none" w:sz="0" w:space="0" w:color="auto"/>
        <w:left w:val="none" w:sz="0" w:space="0" w:color="auto"/>
        <w:bottom w:val="none" w:sz="0" w:space="0" w:color="auto"/>
        <w:right w:val="none" w:sz="0" w:space="0" w:color="auto"/>
      </w:divBdr>
    </w:div>
    <w:div w:id="1718316672">
      <w:bodyDiv w:val="1"/>
      <w:marLeft w:val="0"/>
      <w:marRight w:val="0"/>
      <w:marTop w:val="0"/>
      <w:marBottom w:val="0"/>
      <w:divBdr>
        <w:top w:val="none" w:sz="0" w:space="0" w:color="auto"/>
        <w:left w:val="none" w:sz="0" w:space="0" w:color="auto"/>
        <w:bottom w:val="none" w:sz="0" w:space="0" w:color="auto"/>
        <w:right w:val="none" w:sz="0" w:space="0" w:color="auto"/>
      </w:divBdr>
    </w:div>
    <w:div w:id="1723404973">
      <w:bodyDiv w:val="1"/>
      <w:marLeft w:val="0"/>
      <w:marRight w:val="0"/>
      <w:marTop w:val="0"/>
      <w:marBottom w:val="0"/>
      <w:divBdr>
        <w:top w:val="none" w:sz="0" w:space="0" w:color="auto"/>
        <w:left w:val="none" w:sz="0" w:space="0" w:color="auto"/>
        <w:bottom w:val="none" w:sz="0" w:space="0" w:color="auto"/>
        <w:right w:val="none" w:sz="0" w:space="0" w:color="auto"/>
      </w:divBdr>
    </w:div>
    <w:div w:id="1724718047">
      <w:bodyDiv w:val="1"/>
      <w:marLeft w:val="0"/>
      <w:marRight w:val="0"/>
      <w:marTop w:val="0"/>
      <w:marBottom w:val="0"/>
      <w:divBdr>
        <w:top w:val="none" w:sz="0" w:space="0" w:color="auto"/>
        <w:left w:val="none" w:sz="0" w:space="0" w:color="auto"/>
        <w:bottom w:val="none" w:sz="0" w:space="0" w:color="auto"/>
        <w:right w:val="none" w:sz="0" w:space="0" w:color="auto"/>
      </w:divBdr>
    </w:div>
    <w:div w:id="1727337837">
      <w:bodyDiv w:val="1"/>
      <w:marLeft w:val="0"/>
      <w:marRight w:val="0"/>
      <w:marTop w:val="0"/>
      <w:marBottom w:val="0"/>
      <w:divBdr>
        <w:top w:val="none" w:sz="0" w:space="0" w:color="auto"/>
        <w:left w:val="none" w:sz="0" w:space="0" w:color="auto"/>
        <w:bottom w:val="none" w:sz="0" w:space="0" w:color="auto"/>
        <w:right w:val="none" w:sz="0" w:space="0" w:color="auto"/>
      </w:divBdr>
    </w:div>
    <w:div w:id="1728189421">
      <w:bodyDiv w:val="1"/>
      <w:marLeft w:val="0"/>
      <w:marRight w:val="0"/>
      <w:marTop w:val="0"/>
      <w:marBottom w:val="0"/>
      <w:divBdr>
        <w:top w:val="none" w:sz="0" w:space="0" w:color="auto"/>
        <w:left w:val="none" w:sz="0" w:space="0" w:color="auto"/>
        <w:bottom w:val="none" w:sz="0" w:space="0" w:color="auto"/>
        <w:right w:val="none" w:sz="0" w:space="0" w:color="auto"/>
      </w:divBdr>
    </w:div>
    <w:div w:id="1729567886">
      <w:bodyDiv w:val="1"/>
      <w:marLeft w:val="0"/>
      <w:marRight w:val="0"/>
      <w:marTop w:val="0"/>
      <w:marBottom w:val="0"/>
      <w:divBdr>
        <w:top w:val="none" w:sz="0" w:space="0" w:color="auto"/>
        <w:left w:val="none" w:sz="0" w:space="0" w:color="auto"/>
        <w:bottom w:val="none" w:sz="0" w:space="0" w:color="auto"/>
        <w:right w:val="none" w:sz="0" w:space="0" w:color="auto"/>
      </w:divBdr>
      <w:divsChild>
        <w:div w:id="366370562">
          <w:marLeft w:val="0"/>
          <w:marRight w:val="0"/>
          <w:marTop w:val="0"/>
          <w:marBottom w:val="0"/>
          <w:divBdr>
            <w:top w:val="none" w:sz="0" w:space="0" w:color="auto"/>
            <w:left w:val="none" w:sz="0" w:space="0" w:color="auto"/>
            <w:bottom w:val="none" w:sz="0" w:space="0" w:color="auto"/>
            <w:right w:val="none" w:sz="0" w:space="0" w:color="auto"/>
          </w:divBdr>
        </w:div>
      </w:divsChild>
    </w:div>
    <w:div w:id="1729769021">
      <w:bodyDiv w:val="1"/>
      <w:marLeft w:val="0"/>
      <w:marRight w:val="0"/>
      <w:marTop w:val="0"/>
      <w:marBottom w:val="0"/>
      <w:divBdr>
        <w:top w:val="none" w:sz="0" w:space="0" w:color="auto"/>
        <w:left w:val="none" w:sz="0" w:space="0" w:color="auto"/>
        <w:bottom w:val="none" w:sz="0" w:space="0" w:color="auto"/>
        <w:right w:val="none" w:sz="0" w:space="0" w:color="auto"/>
      </w:divBdr>
    </w:div>
    <w:div w:id="1735619254">
      <w:bodyDiv w:val="1"/>
      <w:marLeft w:val="0"/>
      <w:marRight w:val="0"/>
      <w:marTop w:val="0"/>
      <w:marBottom w:val="0"/>
      <w:divBdr>
        <w:top w:val="none" w:sz="0" w:space="0" w:color="auto"/>
        <w:left w:val="none" w:sz="0" w:space="0" w:color="auto"/>
        <w:bottom w:val="none" w:sz="0" w:space="0" w:color="auto"/>
        <w:right w:val="none" w:sz="0" w:space="0" w:color="auto"/>
      </w:divBdr>
    </w:div>
    <w:div w:id="1739985167">
      <w:bodyDiv w:val="1"/>
      <w:marLeft w:val="0"/>
      <w:marRight w:val="0"/>
      <w:marTop w:val="0"/>
      <w:marBottom w:val="0"/>
      <w:divBdr>
        <w:top w:val="none" w:sz="0" w:space="0" w:color="auto"/>
        <w:left w:val="none" w:sz="0" w:space="0" w:color="auto"/>
        <w:bottom w:val="none" w:sz="0" w:space="0" w:color="auto"/>
        <w:right w:val="none" w:sz="0" w:space="0" w:color="auto"/>
      </w:divBdr>
    </w:div>
    <w:div w:id="1741950611">
      <w:bodyDiv w:val="1"/>
      <w:marLeft w:val="0"/>
      <w:marRight w:val="0"/>
      <w:marTop w:val="0"/>
      <w:marBottom w:val="0"/>
      <w:divBdr>
        <w:top w:val="none" w:sz="0" w:space="0" w:color="auto"/>
        <w:left w:val="none" w:sz="0" w:space="0" w:color="auto"/>
        <w:bottom w:val="none" w:sz="0" w:space="0" w:color="auto"/>
        <w:right w:val="none" w:sz="0" w:space="0" w:color="auto"/>
      </w:divBdr>
    </w:div>
    <w:div w:id="1743870907">
      <w:bodyDiv w:val="1"/>
      <w:marLeft w:val="0"/>
      <w:marRight w:val="0"/>
      <w:marTop w:val="0"/>
      <w:marBottom w:val="0"/>
      <w:divBdr>
        <w:top w:val="none" w:sz="0" w:space="0" w:color="auto"/>
        <w:left w:val="none" w:sz="0" w:space="0" w:color="auto"/>
        <w:bottom w:val="none" w:sz="0" w:space="0" w:color="auto"/>
        <w:right w:val="none" w:sz="0" w:space="0" w:color="auto"/>
      </w:divBdr>
    </w:div>
    <w:div w:id="1744789389">
      <w:bodyDiv w:val="1"/>
      <w:marLeft w:val="0"/>
      <w:marRight w:val="0"/>
      <w:marTop w:val="0"/>
      <w:marBottom w:val="0"/>
      <w:divBdr>
        <w:top w:val="none" w:sz="0" w:space="0" w:color="auto"/>
        <w:left w:val="none" w:sz="0" w:space="0" w:color="auto"/>
        <w:bottom w:val="none" w:sz="0" w:space="0" w:color="auto"/>
        <w:right w:val="none" w:sz="0" w:space="0" w:color="auto"/>
      </w:divBdr>
    </w:div>
    <w:div w:id="1744913398">
      <w:bodyDiv w:val="1"/>
      <w:marLeft w:val="0"/>
      <w:marRight w:val="0"/>
      <w:marTop w:val="0"/>
      <w:marBottom w:val="0"/>
      <w:divBdr>
        <w:top w:val="none" w:sz="0" w:space="0" w:color="auto"/>
        <w:left w:val="none" w:sz="0" w:space="0" w:color="auto"/>
        <w:bottom w:val="none" w:sz="0" w:space="0" w:color="auto"/>
        <w:right w:val="none" w:sz="0" w:space="0" w:color="auto"/>
      </w:divBdr>
    </w:div>
    <w:div w:id="1747221840">
      <w:bodyDiv w:val="1"/>
      <w:marLeft w:val="0"/>
      <w:marRight w:val="0"/>
      <w:marTop w:val="0"/>
      <w:marBottom w:val="0"/>
      <w:divBdr>
        <w:top w:val="none" w:sz="0" w:space="0" w:color="auto"/>
        <w:left w:val="none" w:sz="0" w:space="0" w:color="auto"/>
        <w:bottom w:val="none" w:sz="0" w:space="0" w:color="auto"/>
        <w:right w:val="none" w:sz="0" w:space="0" w:color="auto"/>
      </w:divBdr>
    </w:div>
    <w:div w:id="1747996764">
      <w:bodyDiv w:val="1"/>
      <w:marLeft w:val="0"/>
      <w:marRight w:val="0"/>
      <w:marTop w:val="0"/>
      <w:marBottom w:val="0"/>
      <w:divBdr>
        <w:top w:val="none" w:sz="0" w:space="0" w:color="auto"/>
        <w:left w:val="none" w:sz="0" w:space="0" w:color="auto"/>
        <w:bottom w:val="none" w:sz="0" w:space="0" w:color="auto"/>
        <w:right w:val="none" w:sz="0" w:space="0" w:color="auto"/>
      </w:divBdr>
    </w:div>
    <w:div w:id="1750344870">
      <w:bodyDiv w:val="1"/>
      <w:marLeft w:val="0"/>
      <w:marRight w:val="0"/>
      <w:marTop w:val="0"/>
      <w:marBottom w:val="0"/>
      <w:divBdr>
        <w:top w:val="none" w:sz="0" w:space="0" w:color="auto"/>
        <w:left w:val="none" w:sz="0" w:space="0" w:color="auto"/>
        <w:bottom w:val="none" w:sz="0" w:space="0" w:color="auto"/>
        <w:right w:val="none" w:sz="0" w:space="0" w:color="auto"/>
      </w:divBdr>
    </w:div>
    <w:div w:id="1754624720">
      <w:bodyDiv w:val="1"/>
      <w:marLeft w:val="0"/>
      <w:marRight w:val="0"/>
      <w:marTop w:val="0"/>
      <w:marBottom w:val="0"/>
      <w:divBdr>
        <w:top w:val="none" w:sz="0" w:space="0" w:color="auto"/>
        <w:left w:val="none" w:sz="0" w:space="0" w:color="auto"/>
        <w:bottom w:val="none" w:sz="0" w:space="0" w:color="auto"/>
        <w:right w:val="none" w:sz="0" w:space="0" w:color="auto"/>
      </w:divBdr>
    </w:div>
    <w:div w:id="1754736303">
      <w:bodyDiv w:val="1"/>
      <w:marLeft w:val="0"/>
      <w:marRight w:val="0"/>
      <w:marTop w:val="0"/>
      <w:marBottom w:val="0"/>
      <w:divBdr>
        <w:top w:val="none" w:sz="0" w:space="0" w:color="auto"/>
        <w:left w:val="none" w:sz="0" w:space="0" w:color="auto"/>
        <w:bottom w:val="none" w:sz="0" w:space="0" w:color="auto"/>
        <w:right w:val="none" w:sz="0" w:space="0" w:color="auto"/>
      </w:divBdr>
    </w:div>
    <w:div w:id="1755975079">
      <w:bodyDiv w:val="1"/>
      <w:marLeft w:val="0"/>
      <w:marRight w:val="0"/>
      <w:marTop w:val="0"/>
      <w:marBottom w:val="0"/>
      <w:divBdr>
        <w:top w:val="none" w:sz="0" w:space="0" w:color="auto"/>
        <w:left w:val="none" w:sz="0" w:space="0" w:color="auto"/>
        <w:bottom w:val="none" w:sz="0" w:space="0" w:color="auto"/>
        <w:right w:val="none" w:sz="0" w:space="0" w:color="auto"/>
      </w:divBdr>
    </w:div>
    <w:div w:id="1759713576">
      <w:bodyDiv w:val="1"/>
      <w:marLeft w:val="0"/>
      <w:marRight w:val="0"/>
      <w:marTop w:val="0"/>
      <w:marBottom w:val="0"/>
      <w:divBdr>
        <w:top w:val="none" w:sz="0" w:space="0" w:color="auto"/>
        <w:left w:val="none" w:sz="0" w:space="0" w:color="auto"/>
        <w:bottom w:val="none" w:sz="0" w:space="0" w:color="auto"/>
        <w:right w:val="none" w:sz="0" w:space="0" w:color="auto"/>
      </w:divBdr>
    </w:div>
    <w:div w:id="1761098413">
      <w:bodyDiv w:val="1"/>
      <w:marLeft w:val="0"/>
      <w:marRight w:val="0"/>
      <w:marTop w:val="0"/>
      <w:marBottom w:val="0"/>
      <w:divBdr>
        <w:top w:val="none" w:sz="0" w:space="0" w:color="auto"/>
        <w:left w:val="none" w:sz="0" w:space="0" w:color="auto"/>
        <w:bottom w:val="none" w:sz="0" w:space="0" w:color="auto"/>
        <w:right w:val="none" w:sz="0" w:space="0" w:color="auto"/>
      </w:divBdr>
    </w:div>
    <w:div w:id="1766995016">
      <w:bodyDiv w:val="1"/>
      <w:marLeft w:val="0"/>
      <w:marRight w:val="0"/>
      <w:marTop w:val="0"/>
      <w:marBottom w:val="0"/>
      <w:divBdr>
        <w:top w:val="none" w:sz="0" w:space="0" w:color="auto"/>
        <w:left w:val="none" w:sz="0" w:space="0" w:color="auto"/>
        <w:bottom w:val="none" w:sz="0" w:space="0" w:color="auto"/>
        <w:right w:val="none" w:sz="0" w:space="0" w:color="auto"/>
      </w:divBdr>
    </w:div>
    <w:div w:id="1769539451">
      <w:bodyDiv w:val="1"/>
      <w:marLeft w:val="0"/>
      <w:marRight w:val="0"/>
      <w:marTop w:val="0"/>
      <w:marBottom w:val="0"/>
      <w:divBdr>
        <w:top w:val="none" w:sz="0" w:space="0" w:color="auto"/>
        <w:left w:val="none" w:sz="0" w:space="0" w:color="auto"/>
        <w:bottom w:val="none" w:sz="0" w:space="0" w:color="auto"/>
        <w:right w:val="none" w:sz="0" w:space="0" w:color="auto"/>
      </w:divBdr>
    </w:div>
    <w:div w:id="1774396582">
      <w:bodyDiv w:val="1"/>
      <w:marLeft w:val="0"/>
      <w:marRight w:val="0"/>
      <w:marTop w:val="0"/>
      <w:marBottom w:val="0"/>
      <w:divBdr>
        <w:top w:val="none" w:sz="0" w:space="0" w:color="auto"/>
        <w:left w:val="none" w:sz="0" w:space="0" w:color="auto"/>
        <w:bottom w:val="none" w:sz="0" w:space="0" w:color="auto"/>
        <w:right w:val="none" w:sz="0" w:space="0" w:color="auto"/>
      </w:divBdr>
    </w:div>
    <w:div w:id="1775442486">
      <w:bodyDiv w:val="1"/>
      <w:marLeft w:val="0"/>
      <w:marRight w:val="0"/>
      <w:marTop w:val="0"/>
      <w:marBottom w:val="0"/>
      <w:divBdr>
        <w:top w:val="none" w:sz="0" w:space="0" w:color="auto"/>
        <w:left w:val="none" w:sz="0" w:space="0" w:color="auto"/>
        <w:bottom w:val="none" w:sz="0" w:space="0" w:color="auto"/>
        <w:right w:val="none" w:sz="0" w:space="0" w:color="auto"/>
      </w:divBdr>
    </w:div>
    <w:div w:id="1776361940">
      <w:bodyDiv w:val="1"/>
      <w:marLeft w:val="0"/>
      <w:marRight w:val="0"/>
      <w:marTop w:val="0"/>
      <w:marBottom w:val="0"/>
      <w:divBdr>
        <w:top w:val="none" w:sz="0" w:space="0" w:color="auto"/>
        <w:left w:val="none" w:sz="0" w:space="0" w:color="auto"/>
        <w:bottom w:val="none" w:sz="0" w:space="0" w:color="auto"/>
        <w:right w:val="none" w:sz="0" w:space="0" w:color="auto"/>
      </w:divBdr>
    </w:div>
    <w:div w:id="1780568335">
      <w:bodyDiv w:val="1"/>
      <w:marLeft w:val="0"/>
      <w:marRight w:val="0"/>
      <w:marTop w:val="0"/>
      <w:marBottom w:val="0"/>
      <w:divBdr>
        <w:top w:val="none" w:sz="0" w:space="0" w:color="auto"/>
        <w:left w:val="none" w:sz="0" w:space="0" w:color="auto"/>
        <w:bottom w:val="none" w:sz="0" w:space="0" w:color="auto"/>
        <w:right w:val="none" w:sz="0" w:space="0" w:color="auto"/>
      </w:divBdr>
    </w:div>
    <w:div w:id="1781412360">
      <w:bodyDiv w:val="1"/>
      <w:marLeft w:val="0"/>
      <w:marRight w:val="0"/>
      <w:marTop w:val="0"/>
      <w:marBottom w:val="0"/>
      <w:divBdr>
        <w:top w:val="none" w:sz="0" w:space="0" w:color="auto"/>
        <w:left w:val="none" w:sz="0" w:space="0" w:color="auto"/>
        <w:bottom w:val="none" w:sz="0" w:space="0" w:color="auto"/>
        <w:right w:val="none" w:sz="0" w:space="0" w:color="auto"/>
      </w:divBdr>
    </w:div>
    <w:div w:id="1785147970">
      <w:bodyDiv w:val="1"/>
      <w:marLeft w:val="0"/>
      <w:marRight w:val="0"/>
      <w:marTop w:val="0"/>
      <w:marBottom w:val="0"/>
      <w:divBdr>
        <w:top w:val="none" w:sz="0" w:space="0" w:color="auto"/>
        <w:left w:val="none" w:sz="0" w:space="0" w:color="auto"/>
        <w:bottom w:val="none" w:sz="0" w:space="0" w:color="auto"/>
        <w:right w:val="none" w:sz="0" w:space="0" w:color="auto"/>
      </w:divBdr>
    </w:div>
    <w:div w:id="1785155151">
      <w:bodyDiv w:val="1"/>
      <w:marLeft w:val="0"/>
      <w:marRight w:val="0"/>
      <w:marTop w:val="0"/>
      <w:marBottom w:val="0"/>
      <w:divBdr>
        <w:top w:val="none" w:sz="0" w:space="0" w:color="auto"/>
        <w:left w:val="none" w:sz="0" w:space="0" w:color="auto"/>
        <w:bottom w:val="none" w:sz="0" w:space="0" w:color="auto"/>
        <w:right w:val="none" w:sz="0" w:space="0" w:color="auto"/>
      </w:divBdr>
    </w:div>
    <w:div w:id="1786734254">
      <w:bodyDiv w:val="1"/>
      <w:marLeft w:val="0"/>
      <w:marRight w:val="0"/>
      <w:marTop w:val="0"/>
      <w:marBottom w:val="0"/>
      <w:divBdr>
        <w:top w:val="none" w:sz="0" w:space="0" w:color="auto"/>
        <w:left w:val="none" w:sz="0" w:space="0" w:color="auto"/>
        <w:bottom w:val="none" w:sz="0" w:space="0" w:color="auto"/>
        <w:right w:val="none" w:sz="0" w:space="0" w:color="auto"/>
      </w:divBdr>
    </w:div>
    <w:div w:id="1790123191">
      <w:bodyDiv w:val="1"/>
      <w:marLeft w:val="0"/>
      <w:marRight w:val="0"/>
      <w:marTop w:val="0"/>
      <w:marBottom w:val="0"/>
      <w:divBdr>
        <w:top w:val="none" w:sz="0" w:space="0" w:color="auto"/>
        <w:left w:val="none" w:sz="0" w:space="0" w:color="auto"/>
        <w:bottom w:val="none" w:sz="0" w:space="0" w:color="auto"/>
        <w:right w:val="none" w:sz="0" w:space="0" w:color="auto"/>
      </w:divBdr>
    </w:div>
    <w:div w:id="1791513131">
      <w:bodyDiv w:val="1"/>
      <w:marLeft w:val="0"/>
      <w:marRight w:val="0"/>
      <w:marTop w:val="0"/>
      <w:marBottom w:val="0"/>
      <w:divBdr>
        <w:top w:val="none" w:sz="0" w:space="0" w:color="auto"/>
        <w:left w:val="none" w:sz="0" w:space="0" w:color="auto"/>
        <w:bottom w:val="none" w:sz="0" w:space="0" w:color="auto"/>
        <w:right w:val="none" w:sz="0" w:space="0" w:color="auto"/>
      </w:divBdr>
    </w:div>
    <w:div w:id="1795367272">
      <w:bodyDiv w:val="1"/>
      <w:marLeft w:val="0"/>
      <w:marRight w:val="0"/>
      <w:marTop w:val="0"/>
      <w:marBottom w:val="0"/>
      <w:divBdr>
        <w:top w:val="none" w:sz="0" w:space="0" w:color="auto"/>
        <w:left w:val="none" w:sz="0" w:space="0" w:color="auto"/>
        <w:bottom w:val="none" w:sz="0" w:space="0" w:color="auto"/>
        <w:right w:val="none" w:sz="0" w:space="0" w:color="auto"/>
      </w:divBdr>
    </w:div>
    <w:div w:id="1797065029">
      <w:bodyDiv w:val="1"/>
      <w:marLeft w:val="0"/>
      <w:marRight w:val="0"/>
      <w:marTop w:val="0"/>
      <w:marBottom w:val="0"/>
      <w:divBdr>
        <w:top w:val="none" w:sz="0" w:space="0" w:color="auto"/>
        <w:left w:val="none" w:sz="0" w:space="0" w:color="auto"/>
        <w:bottom w:val="none" w:sz="0" w:space="0" w:color="auto"/>
        <w:right w:val="none" w:sz="0" w:space="0" w:color="auto"/>
      </w:divBdr>
    </w:div>
    <w:div w:id="1798835354">
      <w:bodyDiv w:val="1"/>
      <w:marLeft w:val="0"/>
      <w:marRight w:val="0"/>
      <w:marTop w:val="0"/>
      <w:marBottom w:val="0"/>
      <w:divBdr>
        <w:top w:val="none" w:sz="0" w:space="0" w:color="auto"/>
        <w:left w:val="none" w:sz="0" w:space="0" w:color="auto"/>
        <w:bottom w:val="none" w:sz="0" w:space="0" w:color="auto"/>
        <w:right w:val="none" w:sz="0" w:space="0" w:color="auto"/>
      </w:divBdr>
    </w:div>
    <w:div w:id="1800681076">
      <w:bodyDiv w:val="1"/>
      <w:marLeft w:val="0"/>
      <w:marRight w:val="0"/>
      <w:marTop w:val="0"/>
      <w:marBottom w:val="0"/>
      <w:divBdr>
        <w:top w:val="none" w:sz="0" w:space="0" w:color="auto"/>
        <w:left w:val="none" w:sz="0" w:space="0" w:color="auto"/>
        <w:bottom w:val="none" w:sz="0" w:space="0" w:color="auto"/>
        <w:right w:val="none" w:sz="0" w:space="0" w:color="auto"/>
      </w:divBdr>
    </w:div>
    <w:div w:id="1801730351">
      <w:bodyDiv w:val="1"/>
      <w:marLeft w:val="0"/>
      <w:marRight w:val="0"/>
      <w:marTop w:val="0"/>
      <w:marBottom w:val="0"/>
      <w:divBdr>
        <w:top w:val="none" w:sz="0" w:space="0" w:color="auto"/>
        <w:left w:val="none" w:sz="0" w:space="0" w:color="auto"/>
        <w:bottom w:val="none" w:sz="0" w:space="0" w:color="auto"/>
        <w:right w:val="none" w:sz="0" w:space="0" w:color="auto"/>
      </w:divBdr>
    </w:div>
    <w:div w:id="1807894764">
      <w:bodyDiv w:val="1"/>
      <w:marLeft w:val="0"/>
      <w:marRight w:val="0"/>
      <w:marTop w:val="0"/>
      <w:marBottom w:val="0"/>
      <w:divBdr>
        <w:top w:val="none" w:sz="0" w:space="0" w:color="auto"/>
        <w:left w:val="none" w:sz="0" w:space="0" w:color="auto"/>
        <w:bottom w:val="none" w:sz="0" w:space="0" w:color="auto"/>
        <w:right w:val="none" w:sz="0" w:space="0" w:color="auto"/>
      </w:divBdr>
    </w:div>
    <w:div w:id="1809974603">
      <w:bodyDiv w:val="1"/>
      <w:marLeft w:val="0"/>
      <w:marRight w:val="0"/>
      <w:marTop w:val="0"/>
      <w:marBottom w:val="0"/>
      <w:divBdr>
        <w:top w:val="none" w:sz="0" w:space="0" w:color="auto"/>
        <w:left w:val="none" w:sz="0" w:space="0" w:color="auto"/>
        <w:bottom w:val="none" w:sz="0" w:space="0" w:color="auto"/>
        <w:right w:val="none" w:sz="0" w:space="0" w:color="auto"/>
      </w:divBdr>
    </w:div>
    <w:div w:id="1810590292">
      <w:bodyDiv w:val="1"/>
      <w:marLeft w:val="0"/>
      <w:marRight w:val="0"/>
      <w:marTop w:val="0"/>
      <w:marBottom w:val="0"/>
      <w:divBdr>
        <w:top w:val="none" w:sz="0" w:space="0" w:color="auto"/>
        <w:left w:val="none" w:sz="0" w:space="0" w:color="auto"/>
        <w:bottom w:val="none" w:sz="0" w:space="0" w:color="auto"/>
        <w:right w:val="none" w:sz="0" w:space="0" w:color="auto"/>
      </w:divBdr>
    </w:div>
    <w:div w:id="1811363319">
      <w:bodyDiv w:val="1"/>
      <w:marLeft w:val="0"/>
      <w:marRight w:val="0"/>
      <w:marTop w:val="0"/>
      <w:marBottom w:val="0"/>
      <w:divBdr>
        <w:top w:val="none" w:sz="0" w:space="0" w:color="auto"/>
        <w:left w:val="none" w:sz="0" w:space="0" w:color="auto"/>
        <w:bottom w:val="none" w:sz="0" w:space="0" w:color="auto"/>
        <w:right w:val="none" w:sz="0" w:space="0" w:color="auto"/>
      </w:divBdr>
    </w:div>
    <w:div w:id="1829832315">
      <w:bodyDiv w:val="1"/>
      <w:marLeft w:val="0"/>
      <w:marRight w:val="0"/>
      <w:marTop w:val="0"/>
      <w:marBottom w:val="0"/>
      <w:divBdr>
        <w:top w:val="none" w:sz="0" w:space="0" w:color="auto"/>
        <w:left w:val="none" w:sz="0" w:space="0" w:color="auto"/>
        <w:bottom w:val="none" w:sz="0" w:space="0" w:color="auto"/>
        <w:right w:val="none" w:sz="0" w:space="0" w:color="auto"/>
      </w:divBdr>
    </w:div>
    <w:div w:id="1832136732">
      <w:bodyDiv w:val="1"/>
      <w:marLeft w:val="0"/>
      <w:marRight w:val="0"/>
      <w:marTop w:val="0"/>
      <w:marBottom w:val="0"/>
      <w:divBdr>
        <w:top w:val="none" w:sz="0" w:space="0" w:color="auto"/>
        <w:left w:val="none" w:sz="0" w:space="0" w:color="auto"/>
        <w:bottom w:val="none" w:sz="0" w:space="0" w:color="auto"/>
        <w:right w:val="none" w:sz="0" w:space="0" w:color="auto"/>
      </w:divBdr>
    </w:div>
    <w:div w:id="1833989116">
      <w:bodyDiv w:val="1"/>
      <w:marLeft w:val="0"/>
      <w:marRight w:val="0"/>
      <w:marTop w:val="0"/>
      <w:marBottom w:val="0"/>
      <w:divBdr>
        <w:top w:val="none" w:sz="0" w:space="0" w:color="auto"/>
        <w:left w:val="none" w:sz="0" w:space="0" w:color="auto"/>
        <w:bottom w:val="none" w:sz="0" w:space="0" w:color="auto"/>
        <w:right w:val="none" w:sz="0" w:space="0" w:color="auto"/>
      </w:divBdr>
    </w:div>
    <w:div w:id="1834249807">
      <w:bodyDiv w:val="1"/>
      <w:marLeft w:val="0"/>
      <w:marRight w:val="0"/>
      <w:marTop w:val="0"/>
      <w:marBottom w:val="0"/>
      <w:divBdr>
        <w:top w:val="none" w:sz="0" w:space="0" w:color="auto"/>
        <w:left w:val="none" w:sz="0" w:space="0" w:color="auto"/>
        <w:bottom w:val="none" w:sz="0" w:space="0" w:color="auto"/>
        <w:right w:val="none" w:sz="0" w:space="0" w:color="auto"/>
      </w:divBdr>
    </w:div>
    <w:div w:id="1837039721">
      <w:bodyDiv w:val="1"/>
      <w:marLeft w:val="0"/>
      <w:marRight w:val="0"/>
      <w:marTop w:val="0"/>
      <w:marBottom w:val="0"/>
      <w:divBdr>
        <w:top w:val="none" w:sz="0" w:space="0" w:color="auto"/>
        <w:left w:val="none" w:sz="0" w:space="0" w:color="auto"/>
        <w:bottom w:val="none" w:sz="0" w:space="0" w:color="auto"/>
        <w:right w:val="none" w:sz="0" w:space="0" w:color="auto"/>
      </w:divBdr>
    </w:div>
    <w:div w:id="1841919079">
      <w:bodyDiv w:val="1"/>
      <w:marLeft w:val="0"/>
      <w:marRight w:val="0"/>
      <w:marTop w:val="0"/>
      <w:marBottom w:val="0"/>
      <w:divBdr>
        <w:top w:val="none" w:sz="0" w:space="0" w:color="auto"/>
        <w:left w:val="none" w:sz="0" w:space="0" w:color="auto"/>
        <w:bottom w:val="none" w:sz="0" w:space="0" w:color="auto"/>
        <w:right w:val="none" w:sz="0" w:space="0" w:color="auto"/>
      </w:divBdr>
    </w:div>
    <w:div w:id="1842426474">
      <w:bodyDiv w:val="1"/>
      <w:marLeft w:val="0"/>
      <w:marRight w:val="0"/>
      <w:marTop w:val="0"/>
      <w:marBottom w:val="0"/>
      <w:divBdr>
        <w:top w:val="none" w:sz="0" w:space="0" w:color="auto"/>
        <w:left w:val="none" w:sz="0" w:space="0" w:color="auto"/>
        <w:bottom w:val="none" w:sz="0" w:space="0" w:color="auto"/>
        <w:right w:val="none" w:sz="0" w:space="0" w:color="auto"/>
      </w:divBdr>
    </w:div>
    <w:div w:id="1843810996">
      <w:bodyDiv w:val="1"/>
      <w:marLeft w:val="0"/>
      <w:marRight w:val="0"/>
      <w:marTop w:val="0"/>
      <w:marBottom w:val="0"/>
      <w:divBdr>
        <w:top w:val="none" w:sz="0" w:space="0" w:color="auto"/>
        <w:left w:val="none" w:sz="0" w:space="0" w:color="auto"/>
        <w:bottom w:val="none" w:sz="0" w:space="0" w:color="auto"/>
        <w:right w:val="none" w:sz="0" w:space="0" w:color="auto"/>
      </w:divBdr>
    </w:div>
    <w:div w:id="1843858143">
      <w:bodyDiv w:val="1"/>
      <w:marLeft w:val="0"/>
      <w:marRight w:val="0"/>
      <w:marTop w:val="0"/>
      <w:marBottom w:val="0"/>
      <w:divBdr>
        <w:top w:val="none" w:sz="0" w:space="0" w:color="auto"/>
        <w:left w:val="none" w:sz="0" w:space="0" w:color="auto"/>
        <w:bottom w:val="none" w:sz="0" w:space="0" w:color="auto"/>
        <w:right w:val="none" w:sz="0" w:space="0" w:color="auto"/>
      </w:divBdr>
    </w:div>
    <w:div w:id="1846243081">
      <w:bodyDiv w:val="1"/>
      <w:marLeft w:val="0"/>
      <w:marRight w:val="0"/>
      <w:marTop w:val="0"/>
      <w:marBottom w:val="0"/>
      <w:divBdr>
        <w:top w:val="none" w:sz="0" w:space="0" w:color="auto"/>
        <w:left w:val="none" w:sz="0" w:space="0" w:color="auto"/>
        <w:bottom w:val="none" w:sz="0" w:space="0" w:color="auto"/>
        <w:right w:val="none" w:sz="0" w:space="0" w:color="auto"/>
      </w:divBdr>
    </w:div>
    <w:div w:id="1849515132">
      <w:bodyDiv w:val="1"/>
      <w:marLeft w:val="0"/>
      <w:marRight w:val="0"/>
      <w:marTop w:val="0"/>
      <w:marBottom w:val="0"/>
      <w:divBdr>
        <w:top w:val="none" w:sz="0" w:space="0" w:color="auto"/>
        <w:left w:val="none" w:sz="0" w:space="0" w:color="auto"/>
        <w:bottom w:val="none" w:sz="0" w:space="0" w:color="auto"/>
        <w:right w:val="none" w:sz="0" w:space="0" w:color="auto"/>
      </w:divBdr>
    </w:div>
    <w:div w:id="1856263302">
      <w:bodyDiv w:val="1"/>
      <w:marLeft w:val="0"/>
      <w:marRight w:val="0"/>
      <w:marTop w:val="0"/>
      <w:marBottom w:val="0"/>
      <w:divBdr>
        <w:top w:val="none" w:sz="0" w:space="0" w:color="auto"/>
        <w:left w:val="none" w:sz="0" w:space="0" w:color="auto"/>
        <w:bottom w:val="none" w:sz="0" w:space="0" w:color="auto"/>
        <w:right w:val="none" w:sz="0" w:space="0" w:color="auto"/>
      </w:divBdr>
    </w:div>
    <w:div w:id="1861434020">
      <w:bodyDiv w:val="1"/>
      <w:marLeft w:val="0"/>
      <w:marRight w:val="0"/>
      <w:marTop w:val="0"/>
      <w:marBottom w:val="0"/>
      <w:divBdr>
        <w:top w:val="none" w:sz="0" w:space="0" w:color="auto"/>
        <w:left w:val="none" w:sz="0" w:space="0" w:color="auto"/>
        <w:bottom w:val="none" w:sz="0" w:space="0" w:color="auto"/>
        <w:right w:val="none" w:sz="0" w:space="0" w:color="auto"/>
      </w:divBdr>
    </w:div>
    <w:div w:id="1862166166">
      <w:bodyDiv w:val="1"/>
      <w:marLeft w:val="0"/>
      <w:marRight w:val="0"/>
      <w:marTop w:val="0"/>
      <w:marBottom w:val="0"/>
      <w:divBdr>
        <w:top w:val="none" w:sz="0" w:space="0" w:color="auto"/>
        <w:left w:val="none" w:sz="0" w:space="0" w:color="auto"/>
        <w:bottom w:val="none" w:sz="0" w:space="0" w:color="auto"/>
        <w:right w:val="none" w:sz="0" w:space="0" w:color="auto"/>
      </w:divBdr>
    </w:div>
    <w:div w:id="1870028272">
      <w:bodyDiv w:val="1"/>
      <w:marLeft w:val="0"/>
      <w:marRight w:val="0"/>
      <w:marTop w:val="0"/>
      <w:marBottom w:val="0"/>
      <w:divBdr>
        <w:top w:val="none" w:sz="0" w:space="0" w:color="auto"/>
        <w:left w:val="none" w:sz="0" w:space="0" w:color="auto"/>
        <w:bottom w:val="none" w:sz="0" w:space="0" w:color="auto"/>
        <w:right w:val="none" w:sz="0" w:space="0" w:color="auto"/>
      </w:divBdr>
    </w:div>
    <w:div w:id="1871458338">
      <w:bodyDiv w:val="1"/>
      <w:marLeft w:val="0"/>
      <w:marRight w:val="0"/>
      <w:marTop w:val="0"/>
      <w:marBottom w:val="0"/>
      <w:divBdr>
        <w:top w:val="none" w:sz="0" w:space="0" w:color="auto"/>
        <w:left w:val="none" w:sz="0" w:space="0" w:color="auto"/>
        <w:bottom w:val="none" w:sz="0" w:space="0" w:color="auto"/>
        <w:right w:val="none" w:sz="0" w:space="0" w:color="auto"/>
      </w:divBdr>
    </w:div>
    <w:div w:id="1871528885">
      <w:bodyDiv w:val="1"/>
      <w:marLeft w:val="0"/>
      <w:marRight w:val="0"/>
      <w:marTop w:val="0"/>
      <w:marBottom w:val="0"/>
      <w:divBdr>
        <w:top w:val="none" w:sz="0" w:space="0" w:color="auto"/>
        <w:left w:val="none" w:sz="0" w:space="0" w:color="auto"/>
        <w:bottom w:val="none" w:sz="0" w:space="0" w:color="auto"/>
        <w:right w:val="none" w:sz="0" w:space="0" w:color="auto"/>
      </w:divBdr>
    </w:div>
    <w:div w:id="1873759089">
      <w:bodyDiv w:val="1"/>
      <w:marLeft w:val="0"/>
      <w:marRight w:val="0"/>
      <w:marTop w:val="0"/>
      <w:marBottom w:val="0"/>
      <w:divBdr>
        <w:top w:val="none" w:sz="0" w:space="0" w:color="auto"/>
        <w:left w:val="none" w:sz="0" w:space="0" w:color="auto"/>
        <w:bottom w:val="none" w:sz="0" w:space="0" w:color="auto"/>
        <w:right w:val="none" w:sz="0" w:space="0" w:color="auto"/>
      </w:divBdr>
    </w:div>
    <w:div w:id="1877428495">
      <w:bodyDiv w:val="1"/>
      <w:marLeft w:val="0"/>
      <w:marRight w:val="0"/>
      <w:marTop w:val="0"/>
      <w:marBottom w:val="0"/>
      <w:divBdr>
        <w:top w:val="none" w:sz="0" w:space="0" w:color="auto"/>
        <w:left w:val="none" w:sz="0" w:space="0" w:color="auto"/>
        <w:bottom w:val="none" w:sz="0" w:space="0" w:color="auto"/>
        <w:right w:val="none" w:sz="0" w:space="0" w:color="auto"/>
      </w:divBdr>
    </w:div>
    <w:div w:id="1878854638">
      <w:bodyDiv w:val="1"/>
      <w:marLeft w:val="0"/>
      <w:marRight w:val="0"/>
      <w:marTop w:val="0"/>
      <w:marBottom w:val="0"/>
      <w:divBdr>
        <w:top w:val="none" w:sz="0" w:space="0" w:color="auto"/>
        <w:left w:val="none" w:sz="0" w:space="0" w:color="auto"/>
        <w:bottom w:val="none" w:sz="0" w:space="0" w:color="auto"/>
        <w:right w:val="none" w:sz="0" w:space="0" w:color="auto"/>
      </w:divBdr>
    </w:div>
    <w:div w:id="1881165041">
      <w:bodyDiv w:val="1"/>
      <w:marLeft w:val="0"/>
      <w:marRight w:val="0"/>
      <w:marTop w:val="0"/>
      <w:marBottom w:val="0"/>
      <w:divBdr>
        <w:top w:val="none" w:sz="0" w:space="0" w:color="auto"/>
        <w:left w:val="none" w:sz="0" w:space="0" w:color="auto"/>
        <w:bottom w:val="none" w:sz="0" w:space="0" w:color="auto"/>
        <w:right w:val="none" w:sz="0" w:space="0" w:color="auto"/>
      </w:divBdr>
    </w:div>
    <w:div w:id="1883008102">
      <w:bodyDiv w:val="1"/>
      <w:marLeft w:val="0"/>
      <w:marRight w:val="0"/>
      <w:marTop w:val="0"/>
      <w:marBottom w:val="0"/>
      <w:divBdr>
        <w:top w:val="none" w:sz="0" w:space="0" w:color="auto"/>
        <w:left w:val="none" w:sz="0" w:space="0" w:color="auto"/>
        <w:bottom w:val="none" w:sz="0" w:space="0" w:color="auto"/>
        <w:right w:val="none" w:sz="0" w:space="0" w:color="auto"/>
      </w:divBdr>
    </w:div>
    <w:div w:id="1883054559">
      <w:bodyDiv w:val="1"/>
      <w:marLeft w:val="0"/>
      <w:marRight w:val="0"/>
      <w:marTop w:val="0"/>
      <w:marBottom w:val="0"/>
      <w:divBdr>
        <w:top w:val="none" w:sz="0" w:space="0" w:color="auto"/>
        <w:left w:val="none" w:sz="0" w:space="0" w:color="auto"/>
        <w:bottom w:val="none" w:sz="0" w:space="0" w:color="auto"/>
        <w:right w:val="none" w:sz="0" w:space="0" w:color="auto"/>
      </w:divBdr>
    </w:div>
    <w:div w:id="1885369616">
      <w:bodyDiv w:val="1"/>
      <w:marLeft w:val="0"/>
      <w:marRight w:val="0"/>
      <w:marTop w:val="0"/>
      <w:marBottom w:val="0"/>
      <w:divBdr>
        <w:top w:val="none" w:sz="0" w:space="0" w:color="auto"/>
        <w:left w:val="none" w:sz="0" w:space="0" w:color="auto"/>
        <w:bottom w:val="none" w:sz="0" w:space="0" w:color="auto"/>
        <w:right w:val="none" w:sz="0" w:space="0" w:color="auto"/>
      </w:divBdr>
    </w:div>
    <w:div w:id="1886674576">
      <w:bodyDiv w:val="1"/>
      <w:marLeft w:val="0"/>
      <w:marRight w:val="0"/>
      <w:marTop w:val="0"/>
      <w:marBottom w:val="0"/>
      <w:divBdr>
        <w:top w:val="none" w:sz="0" w:space="0" w:color="auto"/>
        <w:left w:val="none" w:sz="0" w:space="0" w:color="auto"/>
        <w:bottom w:val="none" w:sz="0" w:space="0" w:color="auto"/>
        <w:right w:val="none" w:sz="0" w:space="0" w:color="auto"/>
      </w:divBdr>
    </w:div>
    <w:div w:id="1889102623">
      <w:bodyDiv w:val="1"/>
      <w:marLeft w:val="0"/>
      <w:marRight w:val="0"/>
      <w:marTop w:val="0"/>
      <w:marBottom w:val="0"/>
      <w:divBdr>
        <w:top w:val="none" w:sz="0" w:space="0" w:color="auto"/>
        <w:left w:val="none" w:sz="0" w:space="0" w:color="auto"/>
        <w:bottom w:val="none" w:sz="0" w:space="0" w:color="auto"/>
        <w:right w:val="none" w:sz="0" w:space="0" w:color="auto"/>
      </w:divBdr>
    </w:div>
    <w:div w:id="1893694269">
      <w:bodyDiv w:val="1"/>
      <w:marLeft w:val="0"/>
      <w:marRight w:val="0"/>
      <w:marTop w:val="0"/>
      <w:marBottom w:val="0"/>
      <w:divBdr>
        <w:top w:val="none" w:sz="0" w:space="0" w:color="auto"/>
        <w:left w:val="none" w:sz="0" w:space="0" w:color="auto"/>
        <w:bottom w:val="none" w:sz="0" w:space="0" w:color="auto"/>
        <w:right w:val="none" w:sz="0" w:space="0" w:color="auto"/>
      </w:divBdr>
    </w:div>
    <w:div w:id="1898008694">
      <w:bodyDiv w:val="1"/>
      <w:marLeft w:val="0"/>
      <w:marRight w:val="0"/>
      <w:marTop w:val="0"/>
      <w:marBottom w:val="0"/>
      <w:divBdr>
        <w:top w:val="none" w:sz="0" w:space="0" w:color="auto"/>
        <w:left w:val="none" w:sz="0" w:space="0" w:color="auto"/>
        <w:bottom w:val="none" w:sz="0" w:space="0" w:color="auto"/>
        <w:right w:val="none" w:sz="0" w:space="0" w:color="auto"/>
      </w:divBdr>
    </w:div>
    <w:div w:id="1903828986">
      <w:bodyDiv w:val="1"/>
      <w:marLeft w:val="0"/>
      <w:marRight w:val="0"/>
      <w:marTop w:val="0"/>
      <w:marBottom w:val="0"/>
      <w:divBdr>
        <w:top w:val="none" w:sz="0" w:space="0" w:color="auto"/>
        <w:left w:val="none" w:sz="0" w:space="0" w:color="auto"/>
        <w:bottom w:val="none" w:sz="0" w:space="0" w:color="auto"/>
        <w:right w:val="none" w:sz="0" w:space="0" w:color="auto"/>
      </w:divBdr>
    </w:div>
    <w:div w:id="1905139437">
      <w:bodyDiv w:val="1"/>
      <w:marLeft w:val="0"/>
      <w:marRight w:val="0"/>
      <w:marTop w:val="0"/>
      <w:marBottom w:val="0"/>
      <w:divBdr>
        <w:top w:val="none" w:sz="0" w:space="0" w:color="auto"/>
        <w:left w:val="none" w:sz="0" w:space="0" w:color="auto"/>
        <w:bottom w:val="none" w:sz="0" w:space="0" w:color="auto"/>
        <w:right w:val="none" w:sz="0" w:space="0" w:color="auto"/>
      </w:divBdr>
    </w:div>
    <w:div w:id="1905531075">
      <w:bodyDiv w:val="1"/>
      <w:marLeft w:val="0"/>
      <w:marRight w:val="0"/>
      <w:marTop w:val="0"/>
      <w:marBottom w:val="0"/>
      <w:divBdr>
        <w:top w:val="none" w:sz="0" w:space="0" w:color="auto"/>
        <w:left w:val="none" w:sz="0" w:space="0" w:color="auto"/>
        <w:bottom w:val="none" w:sz="0" w:space="0" w:color="auto"/>
        <w:right w:val="none" w:sz="0" w:space="0" w:color="auto"/>
      </w:divBdr>
    </w:div>
    <w:div w:id="1906530040">
      <w:bodyDiv w:val="1"/>
      <w:marLeft w:val="0"/>
      <w:marRight w:val="0"/>
      <w:marTop w:val="0"/>
      <w:marBottom w:val="0"/>
      <w:divBdr>
        <w:top w:val="none" w:sz="0" w:space="0" w:color="auto"/>
        <w:left w:val="none" w:sz="0" w:space="0" w:color="auto"/>
        <w:bottom w:val="none" w:sz="0" w:space="0" w:color="auto"/>
        <w:right w:val="none" w:sz="0" w:space="0" w:color="auto"/>
      </w:divBdr>
    </w:div>
    <w:div w:id="1907952555">
      <w:bodyDiv w:val="1"/>
      <w:marLeft w:val="0"/>
      <w:marRight w:val="0"/>
      <w:marTop w:val="0"/>
      <w:marBottom w:val="0"/>
      <w:divBdr>
        <w:top w:val="none" w:sz="0" w:space="0" w:color="auto"/>
        <w:left w:val="none" w:sz="0" w:space="0" w:color="auto"/>
        <w:bottom w:val="none" w:sz="0" w:space="0" w:color="auto"/>
        <w:right w:val="none" w:sz="0" w:space="0" w:color="auto"/>
      </w:divBdr>
    </w:div>
    <w:div w:id="1910114900">
      <w:bodyDiv w:val="1"/>
      <w:marLeft w:val="0"/>
      <w:marRight w:val="0"/>
      <w:marTop w:val="0"/>
      <w:marBottom w:val="0"/>
      <w:divBdr>
        <w:top w:val="none" w:sz="0" w:space="0" w:color="auto"/>
        <w:left w:val="none" w:sz="0" w:space="0" w:color="auto"/>
        <w:bottom w:val="none" w:sz="0" w:space="0" w:color="auto"/>
        <w:right w:val="none" w:sz="0" w:space="0" w:color="auto"/>
      </w:divBdr>
    </w:div>
    <w:div w:id="1911884816">
      <w:bodyDiv w:val="1"/>
      <w:marLeft w:val="0"/>
      <w:marRight w:val="0"/>
      <w:marTop w:val="0"/>
      <w:marBottom w:val="0"/>
      <w:divBdr>
        <w:top w:val="none" w:sz="0" w:space="0" w:color="auto"/>
        <w:left w:val="none" w:sz="0" w:space="0" w:color="auto"/>
        <w:bottom w:val="none" w:sz="0" w:space="0" w:color="auto"/>
        <w:right w:val="none" w:sz="0" w:space="0" w:color="auto"/>
      </w:divBdr>
    </w:div>
    <w:div w:id="1917204360">
      <w:bodyDiv w:val="1"/>
      <w:marLeft w:val="0"/>
      <w:marRight w:val="0"/>
      <w:marTop w:val="0"/>
      <w:marBottom w:val="0"/>
      <w:divBdr>
        <w:top w:val="none" w:sz="0" w:space="0" w:color="auto"/>
        <w:left w:val="none" w:sz="0" w:space="0" w:color="auto"/>
        <w:bottom w:val="none" w:sz="0" w:space="0" w:color="auto"/>
        <w:right w:val="none" w:sz="0" w:space="0" w:color="auto"/>
      </w:divBdr>
    </w:div>
    <w:div w:id="1918713188">
      <w:bodyDiv w:val="1"/>
      <w:marLeft w:val="0"/>
      <w:marRight w:val="0"/>
      <w:marTop w:val="0"/>
      <w:marBottom w:val="0"/>
      <w:divBdr>
        <w:top w:val="none" w:sz="0" w:space="0" w:color="auto"/>
        <w:left w:val="none" w:sz="0" w:space="0" w:color="auto"/>
        <w:bottom w:val="none" w:sz="0" w:space="0" w:color="auto"/>
        <w:right w:val="none" w:sz="0" w:space="0" w:color="auto"/>
      </w:divBdr>
    </w:div>
    <w:div w:id="1920559837">
      <w:bodyDiv w:val="1"/>
      <w:marLeft w:val="0"/>
      <w:marRight w:val="0"/>
      <w:marTop w:val="0"/>
      <w:marBottom w:val="0"/>
      <w:divBdr>
        <w:top w:val="none" w:sz="0" w:space="0" w:color="auto"/>
        <w:left w:val="none" w:sz="0" w:space="0" w:color="auto"/>
        <w:bottom w:val="none" w:sz="0" w:space="0" w:color="auto"/>
        <w:right w:val="none" w:sz="0" w:space="0" w:color="auto"/>
      </w:divBdr>
    </w:div>
    <w:div w:id="1921674102">
      <w:bodyDiv w:val="1"/>
      <w:marLeft w:val="0"/>
      <w:marRight w:val="0"/>
      <w:marTop w:val="0"/>
      <w:marBottom w:val="0"/>
      <w:divBdr>
        <w:top w:val="none" w:sz="0" w:space="0" w:color="auto"/>
        <w:left w:val="none" w:sz="0" w:space="0" w:color="auto"/>
        <w:bottom w:val="none" w:sz="0" w:space="0" w:color="auto"/>
        <w:right w:val="none" w:sz="0" w:space="0" w:color="auto"/>
      </w:divBdr>
    </w:div>
    <w:div w:id="1921796009">
      <w:bodyDiv w:val="1"/>
      <w:marLeft w:val="0"/>
      <w:marRight w:val="0"/>
      <w:marTop w:val="0"/>
      <w:marBottom w:val="0"/>
      <w:divBdr>
        <w:top w:val="none" w:sz="0" w:space="0" w:color="auto"/>
        <w:left w:val="none" w:sz="0" w:space="0" w:color="auto"/>
        <w:bottom w:val="none" w:sz="0" w:space="0" w:color="auto"/>
        <w:right w:val="none" w:sz="0" w:space="0" w:color="auto"/>
      </w:divBdr>
    </w:div>
    <w:div w:id="1925989675">
      <w:bodyDiv w:val="1"/>
      <w:marLeft w:val="0"/>
      <w:marRight w:val="0"/>
      <w:marTop w:val="0"/>
      <w:marBottom w:val="0"/>
      <w:divBdr>
        <w:top w:val="none" w:sz="0" w:space="0" w:color="auto"/>
        <w:left w:val="none" w:sz="0" w:space="0" w:color="auto"/>
        <w:bottom w:val="none" w:sz="0" w:space="0" w:color="auto"/>
        <w:right w:val="none" w:sz="0" w:space="0" w:color="auto"/>
      </w:divBdr>
    </w:div>
    <w:div w:id="1929343509">
      <w:bodyDiv w:val="1"/>
      <w:marLeft w:val="0"/>
      <w:marRight w:val="0"/>
      <w:marTop w:val="0"/>
      <w:marBottom w:val="0"/>
      <w:divBdr>
        <w:top w:val="none" w:sz="0" w:space="0" w:color="auto"/>
        <w:left w:val="none" w:sz="0" w:space="0" w:color="auto"/>
        <w:bottom w:val="none" w:sz="0" w:space="0" w:color="auto"/>
        <w:right w:val="none" w:sz="0" w:space="0" w:color="auto"/>
      </w:divBdr>
    </w:div>
    <w:div w:id="1930574579">
      <w:bodyDiv w:val="1"/>
      <w:marLeft w:val="0"/>
      <w:marRight w:val="0"/>
      <w:marTop w:val="0"/>
      <w:marBottom w:val="0"/>
      <w:divBdr>
        <w:top w:val="none" w:sz="0" w:space="0" w:color="auto"/>
        <w:left w:val="none" w:sz="0" w:space="0" w:color="auto"/>
        <w:bottom w:val="none" w:sz="0" w:space="0" w:color="auto"/>
        <w:right w:val="none" w:sz="0" w:space="0" w:color="auto"/>
      </w:divBdr>
    </w:div>
    <w:div w:id="1931546581">
      <w:bodyDiv w:val="1"/>
      <w:marLeft w:val="0"/>
      <w:marRight w:val="0"/>
      <w:marTop w:val="0"/>
      <w:marBottom w:val="0"/>
      <w:divBdr>
        <w:top w:val="none" w:sz="0" w:space="0" w:color="auto"/>
        <w:left w:val="none" w:sz="0" w:space="0" w:color="auto"/>
        <w:bottom w:val="none" w:sz="0" w:space="0" w:color="auto"/>
        <w:right w:val="none" w:sz="0" w:space="0" w:color="auto"/>
      </w:divBdr>
    </w:div>
    <w:div w:id="1932859270">
      <w:bodyDiv w:val="1"/>
      <w:marLeft w:val="0"/>
      <w:marRight w:val="0"/>
      <w:marTop w:val="0"/>
      <w:marBottom w:val="0"/>
      <w:divBdr>
        <w:top w:val="none" w:sz="0" w:space="0" w:color="auto"/>
        <w:left w:val="none" w:sz="0" w:space="0" w:color="auto"/>
        <w:bottom w:val="none" w:sz="0" w:space="0" w:color="auto"/>
        <w:right w:val="none" w:sz="0" w:space="0" w:color="auto"/>
      </w:divBdr>
    </w:div>
    <w:div w:id="1935242712">
      <w:bodyDiv w:val="1"/>
      <w:marLeft w:val="0"/>
      <w:marRight w:val="0"/>
      <w:marTop w:val="0"/>
      <w:marBottom w:val="0"/>
      <w:divBdr>
        <w:top w:val="none" w:sz="0" w:space="0" w:color="auto"/>
        <w:left w:val="none" w:sz="0" w:space="0" w:color="auto"/>
        <w:bottom w:val="none" w:sz="0" w:space="0" w:color="auto"/>
        <w:right w:val="none" w:sz="0" w:space="0" w:color="auto"/>
      </w:divBdr>
    </w:div>
    <w:div w:id="1935942713">
      <w:bodyDiv w:val="1"/>
      <w:marLeft w:val="0"/>
      <w:marRight w:val="0"/>
      <w:marTop w:val="0"/>
      <w:marBottom w:val="0"/>
      <w:divBdr>
        <w:top w:val="none" w:sz="0" w:space="0" w:color="auto"/>
        <w:left w:val="none" w:sz="0" w:space="0" w:color="auto"/>
        <w:bottom w:val="none" w:sz="0" w:space="0" w:color="auto"/>
        <w:right w:val="none" w:sz="0" w:space="0" w:color="auto"/>
      </w:divBdr>
    </w:div>
    <w:div w:id="1936741993">
      <w:bodyDiv w:val="1"/>
      <w:marLeft w:val="0"/>
      <w:marRight w:val="0"/>
      <w:marTop w:val="0"/>
      <w:marBottom w:val="0"/>
      <w:divBdr>
        <w:top w:val="none" w:sz="0" w:space="0" w:color="auto"/>
        <w:left w:val="none" w:sz="0" w:space="0" w:color="auto"/>
        <w:bottom w:val="none" w:sz="0" w:space="0" w:color="auto"/>
        <w:right w:val="none" w:sz="0" w:space="0" w:color="auto"/>
      </w:divBdr>
      <w:divsChild>
        <w:div w:id="4090788">
          <w:marLeft w:val="0"/>
          <w:marRight w:val="0"/>
          <w:marTop w:val="0"/>
          <w:marBottom w:val="0"/>
          <w:divBdr>
            <w:top w:val="none" w:sz="0" w:space="0" w:color="auto"/>
            <w:left w:val="none" w:sz="0" w:space="0" w:color="auto"/>
            <w:bottom w:val="none" w:sz="0" w:space="0" w:color="auto"/>
            <w:right w:val="none" w:sz="0" w:space="0" w:color="auto"/>
          </w:divBdr>
        </w:div>
        <w:div w:id="17245434">
          <w:marLeft w:val="0"/>
          <w:marRight w:val="0"/>
          <w:marTop w:val="0"/>
          <w:marBottom w:val="0"/>
          <w:divBdr>
            <w:top w:val="none" w:sz="0" w:space="0" w:color="auto"/>
            <w:left w:val="none" w:sz="0" w:space="0" w:color="auto"/>
            <w:bottom w:val="none" w:sz="0" w:space="0" w:color="auto"/>
            <w:right w:val="none" w:sz="0" w:space="0" w:color="auto"/>
          </w:divBdr>
        </w:div>
        <w:div w:id="33384815">
          <w:marLeft w:val="0"/>
          <w:marRight w:val="0"/>
          <w:marTop w:val="0"/>
          <w:marBottom w:val="0"/>
          <w:divBdr>
            <w:top w:val="none" w:sz="0" w:space="0" w:color="auto"/>
            <w:left w:val="none" w:sz="0" w:space="0" w:color="auto"/>
            <w:bottom w:val="none" w:sz="0" w:space="0" w:color="auto"/>
            <w:right w:val="none" w:sz="0" w:space="0" w:color="auto"/>
          </w:divBdr>
        </w:div>
        <w:div w:id="55670211">
          <w:marLeft w:val="0"/>
          <w:marRight w:val="0"/>
          <w:marTop w:val="0"/>
          <w:marBottom w:val="0"/>
          <w:divBdr>
            <w:top w:val="none" w:sz="0" w:space="0" w:color="auto"/>
            <w:left w:val="none" w:sz="0" w:space="0" w:color="auto"/>
            <w:bottom w:val="none" w:sz="0" w:space="0" w:color="auto"/>
            <w:right w:val="none" w:sz="0" w:space="0" w:color="auto"/>
          </w:divBdr>
        </w:div>
        <w:div w:id="71893362">
          <w:marLeft w:val="0"/>
          <w:marRight w:val="0"/>
          <w:marTop w:val="0"/>
          <w:marBottom w:val="0"/>
          <w:divBdr>
            <w:top w:val="none" w:sz="0" w:space="0" w:color="auto"/>
            <w:left w:val="none" w:sz="0" w:space="0" w:color="auto"/>
            <w:bottom w:val="none" w:sz="0" w:space="0" w:color="auto"/>
            <w:right w:val="none" w:sz="0" w:space="0" w:color="auto"/>
          </w:divBdr>
        </w:div>
        <w:div w:id="173883491">
          <w:marLeft w:val="0"/>
          <w:marRight w:val="0"/>
          <w:marTop w:val="0"/>
          <w:marBottom w:val="0"/>
          <w:divBdr>
            <w:top w:val="none" w:sz="0" w:space="0" w:color="auto"/>
            <w:left w:val="none" w:sz="0" w:space="0" w:color="auto"/>
            <w:bottom w:val="none" w:sz="0" w:space="0" w:color="auto"/>
            <w:right w:val="none" w:sz="0" w:space="0" w:color="auto"/>
          </w:divBdr>
        </w:div>
        <w:div w:id="184908390">
          <w:marLeft w:val="0"/>
          <w:marRight w:val="0"/>
          <w:marTop w:val="0"/>
          <w:marBottom w:val="0"/>
          <w:divBdr>
            <w:top w:val="none" w:sz="0" w:space="0" w:color="auto"/>
            <w:left w:val="none" w:sz="0" w:space="0" w:color="auto"/>
            <w:bottom w:val="none" w:sz="0" w:space="0" w:color="auto"/>
            <w:right w:val="none" w:sz="0" w:space="0" w:color="auto"/>
          </w:divBdr>
        </w:div>
        <w:div w:id="190463378">
          <w:marLeft w:val="0"/>
          <w:marRight w:val="0"/>
          <w:marTop w:val="0"/>
          <w:marBottom w:val="0"/>
          <w:divBdr>
            <w:top w:val="none" w:sz="0" w:space="0" w:color="auto"/>
            <w:left w:val="none" w:sz="0" w:space="0" w:color="auto"/>
            <w:bottom w:val="none" w:sz="0" w:space="0" w:color="auto"/>
            <w:right w:val="none" w:sz="0" w:space="0" w:color="auto"/>
          </w:divBdr>
        </w:div>
        <w:div w:id="291639181">
          <w:marLeft w:val="0"/>
          <w:marRight w:val="0"/>
          <w:marTop w:val="0"/>
          <w:marBottom w:val="0"/>
          <w:divBdr>
            <w:top w:val="none" w:sz="0" w:space="0" w:color="auto"/>
            <w:left w:val="none" w:sz="0" w:space="0" w:color="auto"/>
            <w:bottom w:val="none" w:sz="0" w:space="0" w:color="auto"/>
            <w:right w:val="none" w:sz="0" w:space="0" w:color="auto"/>
          </w:divBdr>
        </w:div>
        <w:div w:id="317344601">
          <w:marLeft w:val="0"/>
          <w:marRight w:val="0"/>
          <w:marTop w:val="0"/>
          <w:marBottom w:val="0"/>
          <w:divBdr>
            <w:top w:val="none" w:sz="0" w:space="0" w:color="auto"/>
            <w:left w:val="none" w:sz="0" w:space="0" w:color="auto"/>
            <w:bottom w:val="none" w:sz="0" w:space="0" w:color="auto"/>
            <w:right w:val="none" w:sz="0" w:space="0" w:color="auto"/>
          </w:divBdr>
        </w:div>
        <w:div w:id="343287977">
          <w:marLeft w:val="0"/>
          <w:marRight w:val="0"/>
          <w:marTop w:val="0"/>
          <w:marBottom w:val="0"/>
          <w:divBdr>
            <w:top w:val="none" w:sz="0" w:space="0" w:color="auto"/>
            <w:left w:val="none" w:sz="0" w:space="0" w:color="auto"/>
            <w:bottom w:val="none" w:sz="0" w:space="0" w:color="auto"/>
            <w:right w:val="none" w:sz="0" w:space="0" w:color="auto"/>
          </w:divBdr>
        </w:div>
        <w:div w:id="346559183">
          <w:marLeft w:val="0"/>
          <w:marRight w:val="0"/>
          <w:marTop w:val="0"/>
          <w:marBottom w:val="0"/>
          <w:divBdr>
            <w:top w:val="none" w:sz="0" w:space="0" w:color="auto"/>
            <w:left w:val="none" w:sz="0" w:space="0" w:color="auto"/>
            <w:bottom w:val="none" w:sz="0" w:space="0" w:color="auto"/>
            <w:right w:val="none" w:sz="0" w:space="0" w:color="auto"/>
          </w:divBdr>
        </w:div>
        <w:div w:id="370497378">
          <w:marLeft w:val="0"/>
          <w:marRight w:val="0"/>
          <w:marTop w:val="0"/>
          <w:marBottom w:val="0"/>
          <w:divBdr>
            <w:top w:val="none" w:sz="0" w:space="0" w:color="auto"/>
            <w:left w:val="none" w:sz="0" w:space="0" w:color="auto"/>
            <w:bottom w:val="none" w:sz="0" w:space="0" w:color="auto"/>
            <w:right w:val="none" w:sz="0" w:space="0" w:color="auto"/>
          </w:divBdr>
        </w:div>
        <w:div w:id="377317255">
          <w:marLeft w:val="0"/>
          <w:marRight w:val="0"/>
          <w:marTop w:val="0"/>
          <w:marBottom w:val="0"/>
          <w:divBdr>
            <w:top w:val="none" w:sz="0" w:space="0" w:color="auto"/>
            <w:left w:val="none" w:sz="0" w:space="0" w:color="auto"/>
            <w:bottom w:val="none" w:sz="0" w:space="0" w:color="auto"/>
            <w:right w:val="none" w:sz="0" w:space="0" w:color="auto"/>
          </w:divBdr>
        </w:div>
        <w:div w:id="402147296">
          <w:marLeft w:val="0"/>
          <w:marRight w:val="0"/>
          <w:marTop w:val="0"/>
          <w:marBottom w:val="0"/>
          <w:divBdr>
            <w:top w:val="none" w:sz="0" w:space="0" w:color="auto"/>
            <w:left w:val="none" w:sz="0" w:space="0" w:color="auto"/>
            <w:bottom w:val="none" w:sz="0" w:space="0" w:color="auto"/>
            <w:right w:val="none" w:sz="0" w:space="0" w:color="auto"/>
          </w:divBdr>
        </w:div>
        <w:div w:id="419185519">
          <w:marLeft w:val="0"/>
          <w:marRight w:val="0"/>
          <w:marTop w:val="0"/>
          <w:marBottom w:val="0"/>
          <w:divBdr>
            <w:top w:val="none" w:sz="0" w:space="0" w:color="auto"/>
            <w:left w:val="none" w:sz="0" w:space="0" w:color="auto"/>
            <w:bottom w:val="none" w:sz="0" w:space="0" w:color="auto"/>
            <w:right w:val="none" w:sz="0" w:space="0" w:color="auto"/>
          </w:divBdr>
        </w:div>
        <w:div w:id="434056991">
          <w:marLeft w:val="0"/>
          <w:marRight w:val="0"/>
          <w:marTop w:val="0"/>
          <w:marBottom w:val="0"/>
          <w:divBdr>
            <w:top w:val="none" w:sz="0" w:space="0" w:color="auto"/>
            <w:left w:val="none" w:sz="0" w:space="0" w:color="auto"/>
            <w:bottom w:val="none" w:sz="0" w:space="0" w:color="auto"/>
            <w:right w:val="none" w:sz="0" w:space="0" w:color="auto"/>
          </w:divBdr>
        </w:div>
        <w:div w:id="437528758">
          <w:marLeft w:val="0"/>
          <w:marRight w:val="0"/>
          <w:marTop w:val="0"/>
          <w:marBottom w:val="0"/>
          <w:divBdr>
            <w:top w:val="none" w:sz="0" w:space="0" w:color="auto"/>
            <w:left w:val="none" w:sz="0" w:space="0" w:color="auto"/>
            <w:bottom w:val="none" w:sz="0" w:space="0" w:color="auto"/>
            <w:right w:val="none" w:sz="0" w:space="0" w:color="auto"/>
          </w:divBdr>
        </w:div>
        <w:div w:id="437870911">
          <w:marLeft w:val="0"/>
          <w:marRight w:val="0"/>
          <w:marTop w:val="0"/>
          <w:marBottom w:val="0"/>
          <w:divBdr>
            <w:top w:val="none" w:sz="0" w:space="0" w:color="auto"/>
            <w:left w:val="none" w:sz="0" w:space="0" w:color="auto"/>
            <w:bottom w:val="none" w:sz="0" w:space="0" w:color="auto"/>
            <w:right w:val="none" w:sz="0" w:space="0" w:color="auto"/>
          </w:divBdr>
        </w:div>
        <w:div w:id="440338407">
          <w:marLeft w:val="0"/>
          <w:marRight w:val="0"/>
          <w:marTop w:val="0"/>
          <w:marBottom w:val="0"/>
          <w:divBdr>
            <w:top w:val="none" w:sz="0" w:space="0" w:color="auto"/>
            <w:left w:val="none" w:sz="0" w:space="0" w:color="auto"/>
            <w:bottom w:val="none" w:sz="0" w:space="0" w:color="auto"/>
            <w:right w:val="none" w:sz="0" w:space="0" w:color="auto"/>
          </w:divBdr>
        </w:div>
        <w:div w:id="443614711">
          <w:marLeft w:val="0"/>
          <w:marRight w:val="0"/>
          <w:marTop w:val="0"/>
          <w:marBottom w:val="0"/>
          <w:divBdr>
            <w:top w:val="none" w:sz="0" w:space="0" w:color="auto"/>
            <w:left w:val="none" w:sz="0" w:space="0" w:color="auto"/>
            <w:bottom w:val="none" w:sz="0" w:space="0" w:color="auto"/>
            <w:right w:val="none" w:sz="0" w:space="0" w:color="auto"/>
          </w:divBdr>
        </w:div>
        <w:div w:id="478302402">
          <w:marLeft w:val="0"/>
          <w:marRight w:val="0"/>
          <w:marTop w:val="0"/>
          <w:marBottom w:val="0"/>
          <w:divBdr>
            <w:top w:val="none" w:sz="0" w:space="0" w:color="auto"/>
            <w:left w:val="none" w:sz="0" w:space="0" w:color="auto"/>
            <w:bottom w:val="none" w:sz="0" w:space="0" w:color="auto"/>
            <w:right w:val="none" w:sz="0" w:space="0" w:color="auto"/>
          </w:divBdr>
        </w:div>
        <w:div w:id="498811434">
          <w:marLeft w:val="0"/>
          <w:marRight w:val="0"/>
          <w:marTop w:val="0"/>
          <w:marBottom w:val="0"/>
          <w:divBdr>
            <w:top w:val="none" w:sz="0" w:space="0" w:color="auto"/>
            <w:left w:val="none" w:sz="0" w:space="0" w:color="auto"/>
            <w:bottom w:val="none" w:sz="0" w:space="0" w:color="auto"/>
            <w:right w:val="none" w:sz="0" w:space="0" w:color="auto"/>
          </w:divBdr>
        </w:div>
        <w:div w:id="505094037">
          <w:marLeft w:val="0"/>
          <w:marRight w:val="0"/>
          <w:marTop w:val="0"/>
          <w:marBottom w:val="0"/>
          <w:divBdr>
            <w:top w:val="none" w:sz="0" w:space="0" w:color="auto"/>
            <w:left w:val="none" w:sz="0" w:space="0" w:color="auto"/>
            <w:bottom w:val="none" w:sz="0" w:space="0" w:color="auto"/>
            <w:right w:val="none" w:sz="0" w:space="0" w:color="auto"/>
          </w:divBdr>
        </w:div>
        <w:div w:id="519662400">
          <w:marLeft w:val="0"/>
          <w:marRight w:val="0"/>
          <w:marTop w:val="0"/>
          <w:marBottom w:val="0"/>
          <w:divBdr>
            <w:top w:val="none" w:sz="0" w:space="0" w:color="auto"/>
            <w:left w:val="none" w:sz="0" w:space="0" w:color="auto"/>
            <w:bottom w:val="none" w:sz="0" w:space="0" w:color="auto"/>
            <w:right w:val="none" w:sz="0" w:space="0" w:color="auto"/>
          </w:divBdr>
        </w:div>
        <w:div w:id="523785013">
          <w:marLeft w:val="0"/>
          <w:marRight w:val="0"/>
          <w:marTop w:val="0"/>
          <w:marBottom w:val="0"/>
          <w:divBdr>
            <w:top w:val="none" w:sz="0" w:space="0" w:color="auto"/>
            <w:left w:val="none" w:sz="0" w:space="0" w:color="auto"/>
            <w:bottom w:val="none" w:sz="0" w:space="0" w:color="auto"/>
            <w:right w:val="none" w:sz="0" w:space="0" w:color="auto"/>
          </w:divBdr>
        </w:div>
        <w:div w:id="533808281">
          <w:marLeft w:val="0"/>
          <w:marRight w:val="0"/>
          <w:marTop w:val="0"/>
          <w:marBottom w:val="0"/>
          <w:divBdr>
            <w:top w:val="none" w:sz="0" w:space="0" w:color="auto"/>
            <w:left w:val="none" w:sz="0" w:space="0" w:color="auto"/>
            <w:bottom w:val="none" w:sz="0" w:space="0" w:color="auto"/>
            <w:right w:val="none" w:sz="0" w:space="0" w:color="auto"/>
          </w:divBdr>
        </w:div>
        <w:div w:id="537478105">
          <w:marLeft w:val="0"/>
          <w:marRight w:val="0"/>
          <w:marTop w:val="0"/>
          <w:marBottom w:val="0"/>
          <w:divBdr>
            <w:top w:val="none" w:sz="0" w:space="0" w:color="auto"/>
            <w:left w:val="none" w:sz="0" w:space="0" w:color="auto"/>
            <w:bottom w:val="none" w:sz="0" w:space="0" w:color="auto"/>
            <w:right w:val="none" w:sz="0" w:space="0" w:color="auto"/>
          </w:divBdr>
        </w:div>
        <w:div w:id="538976580">
          <w:marLeft w:val="0"/>
          <w:marRight w:val="0"/>
          <w:marTop w:val="0"/>
          <w:marBottom w:val="0"/>
          <w:divBdr>
            <w:top w:val="none" w:sz="0" w:space="0" w:color="auto"/>
            <w:left w:val="none" w:sz="0" w:space="0" w:color="auto"/>
            <w:bottom w:val="none" w:sz="0" w:space="0" w:color="auto"/>
            <w:right w:val="none" w:sz="0" w:space="0" w:color="auto"/>
          </w:divBdr>
        </w:div>
        <w:div w:id="540747059">
          <w:marLeft w:val="0"/>
          <w:marRight w:val="0"/>
          <w:marTop w:val="0"/>
          <w:marBottom w:val="0"/>
          <w:divBdr>
            <w:top w:val="none" w:sz="0" w:space="0" w:color="auto"/>
            <w:left w:val="none" w:sz="0" w:space="0" w:color="auto"/>
            <w:bottom w:val="none" w:sz="0" w:space="0" w:color="auto"/>
            <w:right w:val="none" w:sz="0" w:space="0" w:color="auto"/>
          </w:divBdr>
        </w:div>
        <w:div w:id="542835927">
          <w:marLeft w:val="0"/>
          <w:marRight w:val="0"/>
          <w:marTop w:val="0"/>
          <w:marBottom w:val="0"/>
          <w:divBdr>
            <w:top w:val="none" w:sz="0" w:space="0" w:color="auto"/>
            <w:left w:val="none" w:sz="0" w:space="0" w:color="auto"/>
            <w:bottom w:val="none" w:sz="0" w:space="0" w:color="auto"/>
            <w:right w:val="none" w:sz="0" w:space="0" w:color="auto"/>
          </w:divBdr>
        </w:div>
        <w:div w:id="553153918">
          <w:marLeft w:val="0"/>
          <w:marRight w:val="0"/>
          <w:marTop w:val="0"/>
          <w:marBottom w:val="0"/>
          <w:divBdr>
            <w:top w:val="none" w:sz="0" w:space="0" w:color="auto"/>
            <w:left w:val="none" w:sz="0" w:space="0" w:color="auto"/>
            <w:bottom w:val="none" w:sz="0" w:space="0" w:color="auto"/>
            <w:right w:val="none" w:sz="0" w:space="0" w:color="auto"/>
          </w:divBdr>
        </w:div>
        <w:div w:id="591864510">
          <w:marLeft w:val="0"/>
          <w:marRight w:val="0"/>
          <w:marTop w:val="0"/>
          <w:marBottom w:val="0"/>
          <w:divBdr>
            <w:top w:val="none" w:sz="0" w:space="0" w:color="auto"/>
            <w:left w:val="none" w:sz="0" w:space="0" w:color="auto"/>
            <w:bottom w:val="none" w:sz="0" w:space="0" w:color="auto"/>
            <w:right w:val="none" w:sz="0" w:space="0" w:color="auto"/>
          </w:divBdr>
        </w:div>
        <w:div w:id="597252822">
          <w:marLeft w:val="0"/>
          <w:marRight w:val="0"/>
          <w:marTop w:val="0"/>
          <w:marBottom w:val="0"/>
          <w:divBdr>
            <w:top w:val="none" w:sz="0" w:space="0" w:color="auto"/>
            <w:left w:val="none" w:sz="0" w:space="0" w:color="auto"/>
            <w:bottom w:val="none" w:sz="0" w:space="0" w:color="auto"/>
            <w:right w:val="none" w:sz="0" w:space="0" w:color="auto"/>
          </w:divBdr>
        </w:div>
        <w:div w:id="601107010">
          <w:marLeft w:val="0"/>
          <w:marRight w:val="0"/>
          <w:marTop w:val="0"/>
          <w:marBottom w:val="0"/>
          <w:divBdr>
            <w:top w:val="none" w:sz="0" w:space="0" w:color="auto"/>
            <w:left w:val="none" w:sz="0" w:space="0" w:color="auto"/>
            <w:bottom w:val="none" w:sz="0" w:space="0" w:color="auto"/>
            <w:right w:val="none" w:sz="0" w:space="0" w:color="auto"/>
          </w:divBdr>
        </w:div>
        <w:div w:id="612060453">
          <w:marLeft w:val="0"/>
          <w:marRight w:val="0"/>
          <w:marTop w:val="0"/>
          <w:marBottom w:val="0"/>
          <w:divBdr>
            <w:top w:val="none" w:sz="0" w:space="0" w:color="auto"/>
            <w:left w:val="none" w:sz="0" w:space="0" w:color="auto"/>
            <w:bottom w:val="none" w:sz="0" w:space="0" w:color="auto"/>
            <w:right w:val="none" w:sz="0" w:space="0" w:color="auto"/>
          </w:divBdr>
        </w:div>
        <w:div w:id="628054362">
          <w:marLeft w:val="0"/>
          <w:marRight w:val="0"/>
          <w:marTop w:val="0"/>
          <w:marBottom w:val="0"/>
          <w:divBdr>
            <w:top w:val="none" w:sz="0" w:space="0" w:color="auto"/>
            <w:left w:val="none" w:sz="0" w:space="0" w:color="auto"/>
            <w:bottom w:val="none" w:sz="0" w:space="0" w:color="auto"/>
            <w:right w:val="none" w:sz="0" w:space="0" w:color="auto"/>
          </w:divBdr>
        </w:div>
        <w:div w:id="688290329">
          <w:marLeft w:val="0"/>
          <w:marRight w:val="0"/>
          <w:marTop w:val="0"/>
          <w:marBottom w:val="0"/>
          <w:divBdr>
            <w:top w:val="none" w:sz="0" w:space="0" w:color="auto"/>
            <w:left w:val="none" w:sz="0" w:space="0" w:color="auto"/>
            <w:bottom w:val="none" w:sz="0" w:space="0" w:color="auto"/>
            <w:right w:val="none" w:sz="0" w:space="0" w:color="auto"/>
          </w:divBdr>
        </w:div>
        <w:div w:id="692727954">
          <w:marLeft w:val="0"/>
          <w:marRight w:val="0"/>
          <w:marTop w:val="0"/>
          <w:marBottom w:val="0"/>
          <w:divBdr>
            <w:top w:val="none" w:sz="0" w:space="0" w:color="auto"/>
            <w:left w:val="none" w:sz="0" w:space="0" w:color="auto"/>
            <w:bottom w:val="none" w:sz="0" w:space="0" w:color="auto"/>
            <w:right w:val="none" w:sz="0" w:space="0" w:color="auto"/>
          </w:divBdr>
        </w:div>
        <w:div w:id="723287017">
          <w:marLeft w:val="0"/>
          <w:marRight w:val="0"/>
          <w:marTop w:val="0"/>
          <w:marBottom w:val="0"/>
          <w:divBdr>
            <w:top w:val="none" w:sz="0" w:space="0" w:color="auto"/>
            <w:left w:val="none" w:sz="0" w:space="0" w:color="auto"/>
            <w:bottom w:val="none" w:sz="0" w:space="0" w:color="auto"/>
            <w:right w:val="none" w:sz="0" w:space="0" w:color="auto"/>
          </w:divBdr>
        </w:div>
        <w:div w:id="724108301">
          <w:marLeft w:val="0"/>
          <w:marRight w:val="0"/>
          <w:marTop w:val="0"/>
          <w:marBottom w:val="0"/>
          <w:divBdr>
            <w:top w:val="none" w:sz="0" w:space="0" w:color="auto"/>
            <w:left w:val="none" w:sz="0" w:space="0" w:color="auto"/>
            <w:bottom w:val="none" w:sz="0" w:space="0" w:color="auto"/>
            <w:right w:val="none" w:sz="0" w:space="0" w:color="auto"/>
          </w:divBdr>
        </w:div>
        <w:div w:id="754088930">
          <w:marLeft w:val="0"/>
          <w:marRight w:val="0"/>
          <w:marTop w:val="0"/>
          <w:marBottom w:val="0"/>
          <w:divBdr>
            <w:top w:val="none" w:sz="0" w:space="0" w:color="auto"/>
            <w:left w:val="none" w:sz="0" w:space="0" w:color="auto"/>
            <w:bottom w:val="none" w:sz="0" w:space="0" w:color="auto"/>
            <w:right w:val="none" w:sz="0" w:space="0" w:color="auto"/>
          </w:divBdr>
        </w:div>
        <w:div w:id="759763309">
          <w:marLeft w:val="0"/>
          <w:marRight w:val="0"/>
          <w:marTop w:val="0"/>
          <w:marBottom w:val="0"/>
          <w:divBdr>
            <w:top w:val="none" w:sz="0" w:space="0" w:color="auto"/>
            <w:left w:val="none" w:sz="0" w:space="0" w:color="auto"/>
            <w:bottom w:val="none" w:sz="0" w:space="0" w:color="auto"/>
            <w:right w:val="none" w:sz="0" w:space="0" w:color="auto"/>
          </w:divBdr>
        </w:div>
        <w:div w:id="775711844">
          <w:marLeft w:val="0"/>
          <w:marRight w:val="0"/>
          <w:marTop w:val="0"/>
          <w:marBottom w:val="0"/>
          <w:divBdr>
            <w:top w:val="none" w:sz="0" w:space="0" w:color="auto"/>
            <w:left w:val="none" w:sz="0" w:space="0" w:color="auto"/>
            <w:bottom w:val="none" w:sz="0" w:space="0" w:color="auto"/>
            <w:right w:val="none" w:sz="0" w:space="0" w:color="auto"/>
          </w:divBdr>
        </w:div>
        <w:div w:id="791048584">
          <w:marLeft w:val="0"/>
          <w:marRight w:val="0"/>
          <w:marTop w:val="0"/>
          <w:marBottom w:val="0"/>
          <w:divBdr>
            <w:top w:val="none" w:sz="0" w:space="0" w:color="auto"/>
            <w:left w:val="none" w:sz="0" w:space="0" w:color="auto"/>
            <w:bottom w:val="none" w:sz="0" w:space="0" w:color="auto"/>
            <w:right w:val="none" w:sz="0" w:space="0" w:color="auto"/>
          </w:divBdr>
        </w:div>
        <w:div w:id="810439060">
          <w:marLeft w:val="0"/>
          <w:marRight w:val="0"/>
          <w:marTop w:val="0"/>
          <w:marBottom w:val="0"/>
          <w:divBdr>
            <w:top w:val="none" w:sz="0" w:space="0" w:color="auto"/>
            <w:left w:val="none" w:sz="0" w:space="0" w:color="auto"/>
            <w:bottom w:val="none" w:sz="0" w:space="0" w:color="auto"/>
            <w:right w:val="none" w:sz="0" w:space="0" w:color="auto"/>
          </w:divBdr>
        </w:div>
        <w:div w:id="812260706">
          <w:marLeft w:val="0"/>
          <w:marRight w:val="0"/>
          <w:marTop w:val="0"/>
          <w:marBottom w:val="0"/>
          <w:divBdr>
            <w:top w:val="none" w:sz="0" w:space="0" w:color="auto"/>
            <w:left w:val="none" w:sz="0" w:space="0" w:color="auto"/>
            <w:bottom w:val="none" w:sz="0" w:space="0" w:color="auto"/>
            <w:right w:val="none" w:sz="0" w:space="0" w:color="auto"/>
          </w:divBdr>
        </w:div>
        <w:div w:id="828793736">
          <w:marLeft w:val="0"/>
          <w:marRight w:val="0"/>
          <w:marTop w:val="0"/>
          <w:marBottom w:val="0"/>
          <w:divBdr>
            <w:top w:val="none" w:sz="0" w:space="0" w:color="auto"/>
            <w:left w:val="none" w:sz="0" w:space="0" w:color="auto"/>
            <w:bottom w:val="none" w:sz="0" w:space="0" w:color="auto"/>
            <w:right w:val="none" w:sz="0" w:space="0" w:color="auto"/>
          </w:divBdr>
        </w:div>
        <w:div w:id="832379327">
          <w:marLeft w:val="0"/>
          <w:marRight w:val="0"/>
          <w:marTop w:val="0"/>
          <w:marBottom w:val="0"/>
          <w:divBdr>
            <w:top w:val="none" w:sz="0" w:space="0" w:color="auto"/>
            <w:left w:val="none" w:sz="0" w:space="0" w:color="auto"/>
            <w:bottom w:val="none" w:sz="0" w:space="0" w:color="auto"/>
            <w:right w:val="none" w:sz="0" w:space="0" w:color="auto"/>
          </w:divBdr>
        </w:div>
        <w:div w:id="836073474">
          <w:marLeft w:val="0"/>
          <w:marRight w:val="0"/>
          <w:marTop w:val="0"/>
          <w:marBottom w:val="0"/>
          <w:divBdr>
            <w:top w:val="none" w:sz="0" w:space="0" w:color="auto"/>
            <w:left w:val="none" w:sz="0" w:space="0" w:color="auto"/>
            <w:bottom w:val="none" w:sz="0" w:space="0" w:color="auto"/>
            <w:right w:val="none" w:sz="0" w:space="0" w:color="auto"/>
          </w:divBdr>
        </w:div>
        <w:div w:id="857818321">
          <w:marLeft w:val="0"/>
          <w:marRight w:val="0"/>
          <w:marTop w:val="0"/>
          <w:marBottom w:val="0"/>
          <w:divBdr>
            <w:top w:val="none" w:sz="0" w:space="0" w:color="auto"/>
            <w:left w:val="none" w:sz="0" w:space="0" w:color="auto"/>
            <w:bottom w:val="none" w:sz="0" w:space="0" w:color="auto"/>
            <w:right w:val="none" w:sz="0" w:space="0" w:color="auto"/>
          </w:divBdr>
        </w:div>
        <w:div w:id="858348083">
          <w:marLeft w:val="0"/>
          <w:marRight w:val="0"/>
          <w:marTop w:val="0"/>
          <w:marBottom w:val="0"/>
          <w:divBdr>
            <w:top w:val="none" w:sz="0" w:space="0" w:color="auto"/>
            <w:left w:val="none" w:sz="0" w:space="0" w:color="auto"/>
            <w:bottom w:val="none" w:sz="0" w:space="0" w:color="auto"/>
            <w:right w:val="none" w:sz="0" w:space="0" w:color="auto"/>
          </w:divBdr>
        </w:div>
        <w:div w:id="870385822">
          <w:marLeft w:val="0"/>
          <w:marRight w:val="0"/>
          <w:marTop w:val="0"/>
          <w:marBottom w:val="0"/>
          <w:divBdr>
            <w:top w:val="none" w:sz="0" w:space="0" w:color="auto"/>
            <w:left w:val="none" w:sz="0" w:space="0" w:color="auto"/>
            <w:bottom w:val="none" w:sz="0" w:space="0" w:color="auto"/>
            <w:right w:val="none" w:sz="0" w:space="0" w:color="auto"/>
          </w:divBdr>
        </w:div>
        <w:div w:id="895093888">
          <w:marLeft w:val="0"/>
          <w:marRight w:val="0"/>
          <w:marTop w:val="0"/>
          <w:marBottom w:val="0"/>
          <w:divBdr>
            <w:top w:val="none" w:sz="0" w:space="0" w:color="auto"/>
            <w:left w:val="none" w:sz="0" w:space="0" w:color="auto"/>
            <w:bottom w:val="none" w:sz="0" w:space="0" w:color="auto"/>
            <w:right w:val="none" w:sz="0" w:space="0" w:color="auto"/>
          </w:divBdr>
        </w:div>
        <w:div w:id="928536360">
          <w:marLeft w:val="0"/>
          <w:marRight w:val="0"/>
          <w:marTop w:val="0"/>
          <w:marBottom w:val="0"/>
          <w:divBdr>
            <w:top w:val="none" w:sz="0" w:space="0" w:color="auto"/>
            <w:left w:val="none" w:sz="0" w:space="0" w:color="auto"/>
            <w:bottom w:val="none" w:sz="0" w:space="0" w:color="auto"/>
            <w:right w:val="none" w:sz="0" w:space="0" w:color="auto"/>
          </w:divBdr>
        </w:div>
        <w:div w:id="960651955">
          <w:marLeft w:val="0"/>
          <w:marRight w:val="0"/>
          <w:marTop w:val="0"/>
          <w:marBottom w:val="0"/>
          <w:divBdr>
            <w:top w:val="none" w:sz="0" w:space="0" w:color="auto"/>
            <w:left w:val="none" w:sz="0" w:space="0" w:color="auto"/>
            <w:bottom w:val="none" w:sz="0" w:space="0" w:color="auto"/>
            <w:right w:val="none" w:sz="0" w:space="0" w:color="auto"/>
          </w:divBdr>
        </w:div>
        <w:div w:id="979189733">
          <w:marLeft w:val="0"/>
          <w:marRight w:val="0"/>
          <w:marTop w:val="0"/>
          <w:marBottom w:val="0"/>
          <w:divBdr>
            <w:top w:val="none" w:sz="0" w:space="0" w:color="auto"/>
            <w:left w:val="none" w:sz="0" w:space="0" w:color="auto"/>
            <w:bottom w:val="none" w:sz="0" w:space="0" w:color="auto"/>
            <w:right w:val="none" w:sz="0" w:space="0" w:color="auto"/>
          </w:divBdr>
        </w:div>
        <w:div w:id="986856478">
          <w:marLeft w:val="0"/>
          <w:marRight w:val="0"/>
          <w:marTop w:val="0"/>
          <w:marBottom w:val="0"/>
          <w:divBdr>
            <w:top w:val="none" w:sz="0" w:space="0" w:color="auto"/>
            <w:left w:val="none" w:sz="0" w:space="0" w:color="auto"/>
            <w:bottom w:val="none" w:sz="0" w:space="0" w:color="auto"/>
            <w:right w:val="none" w:sz="0" w:space="0" w:color="auto"/>
          </w:divBdr>
        </w:div>
        <w:div w:id="1002509758">
          <w:marLeft w:val="0"/>
          <w:marRight w:val="0"/>
          <w:marTop w:val="0"/>
          <w:marBottom w:val="0"/>
          <w:divBdr>
            <w:top w:val="none" w:sz="0" w:space="0" w:color="auto"/>
            <w:left w:val="none" w:sz="0" w:space="0" w:color="auto"/>
            <w:bottom w:val="none" w:sz="0" w:space="0" w:color="auto"/>
            <w:right w:val="none" w:sz="0" w:space="0" w:color="auto"/>
          </w:divBdr>
        </w:div>
        <w:div w:id="1019237333">
          <w:marLeft w:val="0"/>
          <w:marRight w:val="0"/>
          <w:marTop w:val="0"/>
          <w:marBottom w:val="0"/>
          <w:divBdr>
            <w:top w:val="none" w:sz="0" w:space="0" w:color="auto"/>
            <w:left w:val="none" w:sz="0" w:space="0" w:color="auto"/>
            <w:bottom w:val="none" w:sz="0" w:space="0" w:color="auto"/>
            <w:right w:val="none" w:sz="0" w:space="0" w:color="auto"/>
          </w:divBdr>
        </w:div>
        <w:div w:id="1023555527">
          <w:marLeft w:val="0"/>
          <w:marRight w:val="0"/>
          <w:marTop w:val="0"/>
          <w:marBottom w:val="0"/>
          <w:divBdr>
            <w:top w:val="none" w:sz="0" w:space="0" w:color="auto"/>
            <w:left w:val="none" w:sz="0" w:space="0" w:color="auto"/>
            <w:bottom w:val="none" w:sz="0" w:space="0" w:color="auto"/>
            <w:right w:val="none" w:sz="0" w:space="0" w:color="auto"/>
          </w:divBdr>
        </w:div>
        <w:div w:id="1031613719">
          <w:marLeft w:val="0"/>
          <w:marRight w:val="0"/>
          <w:marTop w:val="0"/>
          <w:marBottom w:val="0"/>
          <w:divBdr>
            <w:top w:val="none" w:sz="0" w:space="0" w:color="auto"/>
            <w:left w:val="none" w:sz="0" w:space="0" w:color="auto"/>
            <w:bottom w:val="none" w:sz="0" w:space="0" w:color="auto"/>
            <w:right w:val="none" w:sz="0" w:space="0" w:color="auto"/>
          </w:divBdr>
        </w:div>
        <w:div w:id="1041321067">
          <w:marLeft w:val="0"/>
          <w:marRight w:val="0"/>
          <w:marTop w:val="0"/>
          <w:marBottom w:val="0"/>
          <w:divBdr>
            <w:top w:val="none" w:sz="0" w:space="0" w:color="auto"/>
            <w:left w:val="none" w:sz="0" w:space="0" w:color="auto"/>
            <w:bottom w:val="none" w:sz="0" w:space="0" w:color="auto"/>
            <w:right w:val="none" w:sz="0" w:space="0" w:color="auto"/>
          </w:divBdr>
        </w:div>
        <w:div w:id="1049299353">
          <w:marLeft w:val="0"/>
          <w:marRight w:val="0"/>
          <w:marTop w:val="0"/>
          <w:marBottom w:val="0"/>
          <w:divBdr>
            <w:top w:val="none" w:sz="0" w:space="0" w:color="auto"/>
            <w:left w:val="none" w:sz="0" w:space="0" w:color="auto"/>
            <w:bottom w:val="none" w:sz="0" w:space="0" w:color="auto"/>
            <w:right w:val="none" w:sz="0" w:space="0" w:color="auto"/>
          </w:divBdr>
        </w:div>
        <w:div w:id="1072701680">
          <w:marLeft w:val="0"/>
          <w:marRight w:val="0"/>
          <w:marTop w:val="0"/>
          <w:marBottom w:val="0"/>
          <w:divBdr>
            <w:top w:val="none" w:sz="0" w:space="0" w:color="auto"/>
            <w:left w:val="none" w:sz="0" w:space="0" w:color="auto"/>
            <w:bottom w:val="none" w:sz="0" w:space="0" w:color="auto"/>
            <w:right w:val="none" w:sz="0" w:space="0" w:color="auto"/>
          </w:divBdr>
        </w:div>
        <w:div w:id="1114712713">
          <w:marLeft w:val="0"/>
          <w:marRight w:val="0"/>
          <w:marTop w:val="0"/>
          <w:marBottom w:val="0"/>
          <w:divBdr>
            <w:top w:val="none" w:sz="0" w:space="0" w:color="auto"/>
            <w:left w:val="none" w:sz="0" w:space="0" w:color="auto"/>
            <w:bottom w:val="none" w:sz="0" w:space="0" w:color="auto"/>
            <w:right w:val="none" w:sz="0" w:space="0" w:color="auto"/>
          </w:divBdr>
        </w:div>
        <w:div w:id="1140347680">
          <w:marLeft w:val="0"/>
          <w:marRight w:val="0"/>
          <w:marTop w:val="0"/>
          <w:marBottom w:val="0"/>
          <w:divBdr>
            <w:top w:val="none" w:sz="0" w:space="0" w:color="auto"/>
            <w:left w:val="none" w:sz="0" w:space="0" w:color="auto"/>
            <w:bottom w:val="none" w:sz="0" w:space="0" w:color="auto"/>
            <w:right w:val="none" w:sz="0" w:space="0" w:color="auto"/>
          </w:divBdr>
        </w:div>
        <w:div w:id="1140418502">
          <w:marLeft w:val="0"/>
          <w:marRight w:val="0"/>
          <w:marTop w:val="0"/>
          <w:marBottom w:val="0"/>
          <w:divBdr>
            <w:top w:val="none" w:sz="0" w:space="0" w:color="auto"/>
            <w:left w:val="none" w:sz="0" w:space="0" w:color="auto"/>
            <w:bottom w:val="none" w:sz="0" w:space="0" w:color="auto"/>
            <w:right w:val="none" w:sz="0" w:space="0" w:color="auto"/>
          </w:divBdr>
        </w:div>
        <w:div w:id="1144784086">
          <w:marLeft w:val="0"/>
          <w:marRight w:val="0"/>
          <w:marTop w:val="0"/>
          <w:marBottom w:val="0"/>
          <w:divBdr>
            <w:top w:val="none" w:sz="0" w:space="0" w:color="auto"/>
            <w:left w:val="none" w:sz="0" w:space="0" w:color="auto"/>
            <w:bottom w:val="none" w:sz="0" w:space="0" w:color="auto"/>
            <w:right w:val="none" w:sz="0" w:space="0" w:color="auto"/>
          </w:divBdr>
        </w:div>
        <w:div w:id="1177767985">
          <w:marLeft w:val="0"/>
          <w:marRight w:val="0"/>
          <w:marTop w:val="0"/>
          <w:marBottom w:val="0"/>
          <w:divBdr>
            <w:top w:val="none" w:sz="0" w:space="0" w:color="auto"/>
            <w:left w:val="none" w:sz="0" w:space="0" w:color="auto"/>
            <w:bottom w:val="none" w:sz="0" w:space="0" w:color="auto"/>
            <w:right w:val="none" w:sz="0" w:space="0" w:color="auto"/>
          </w:divBdr>
        </w:div>
        <w:div w:id="1183319994">
          <w:marLeft w:val="0"/>
          <w:marRight w:val="0"/>
          <w:marTop w:val="0"/>
          <w:marBottom w:val="0"/>
          <w:divBdr>
            <w:top w:val="none" w:sz="0" w:space="0" w:color="auto"/>
            <w:left w:val="none" w:sz="0" w:space="0" w:color="auto"/>
            <w:bottom w:val="none" w:sz="0" w:space="0" w:color="auto"/>
            <w:right w:val="none" w:sz="0" w:space="0" w:color="auto"/>
          </w:divBdr>
        </w:div>
        <w:div w:id="1189441998">
          <w:marLeft w:val="0"/>
          <w:marRight w:val="0"/>
          <w:marTop w:val="0"/>
          <w:marBottom w:val="0"/>
          <w:divBdr>
            <w:top w:val="none" w:sz="0" w:space="0" w:color="auto"/>
            <w:left w:val="none" w:sz="0" w:space="0" w:color="auto"/>
            <w:bottom w:val="none" w:sz="0" w:space="0" w:color="auto"/>
            <w:right w:val="none" w:sz="0" w:space="0" w:color="auto"/>
          </w:divBdr>
        </w:div>
        <w:div w:id="1189559816">
          <w:marLeft w:val="0"/>
          <w:marRight w:val="0"/>
          <w:marTop w:val="0"/>
          <w:marBottom w:val="0"/>
          <w:divBdr>
            <w:top w:val="none" w:sz="0" w:space="0" w:color="auto"/>
            <w:left w:val="none" w:sz="0" w:space="0" w:color="auto"/>
            <w:bottom w:val="none" w:sz="0" w:space="0" w:color="auto"/>
            <w:right w:val="none" w:sz="0" w:space="0" w:color="auto"/>
          </w:divBdr>
        </w:div>
        <w:div w:id="1189904150">
          <w:marLeft w:val="0"/>
          <w:marRight w:val="0"/>
          <w:marTop w:val="0"/>
          <w:marBottom w:val="0"/>
          <w:divBdr>
            <w:top w:val="none" w:sz="0" w:space="0" w:color="auto"/>
            <w:left w:val="none" w:sz="0" w:space="0" w:color="auto"/>
            <w:bottom w:val="none" w:sz="0" w:space="0" w:color="auto"/>
            <w:right w:val="none" w:sz="0" w:space="0" w:color="auto"/>
          </w:divBdr>
        </w:div>
        <w:div w:id="1191257006">
          <w:marLeft w:val="0"/>
          <w:marRight w:val="0"/>
          <w:marTop w:val="0"/>
          <w:marBottom w:val="0"/>
          <w:divBdr>
            <w:top w:val="none" w:sz="0" w:space="0" w:color="auto"/>
            <w:left w:val="none" w:sz="0" w:space="0" w:color="auto"/>
            <w:bottom w:val="none" w:sz="0" w:space="0" w:color="auto"/>
            <w:right w:val="none" w:sz="0" w:space="0" w:color="auto"/>
          </w:divBdr>
        </w:div>
        <w:div w:id="1194462985">
          <w:marLeft w:val="0"/>
          <w:marRight w:val="0"/>
          <w:marTop w:val="0"/>
          <w:marBottom w:val="0"/>
          <w:divBdr>
            <w:top w:val="none" w:sz="0" w:space="0" w:color="auto"/>
            <w:left w:val="none" w:sz="0" w:space="0" w:color="auto"/>
            <w:bottom w:val="none" w:sz="0" w:space="0" w:color="auto"/>
            <w:right w:val="none" w:sz="0" w:space="0" w:color="auto"/>
          </w:divBdr>
        </w:div>
        <w:div w:id="1198815090">
          <w:marLeft w:val="0"/>
          <w:marRight w:val="0"/>
          <w:marTop w:val="0"/>
          <w:marBottom w:val="0"/>
          <w:divBdr>
            <w:top w:val="none" w:sz="0" w:space="0" w:color="auto"/>
            <w:left w:val="none" w:sz="0" w:space="0" w:color="auto"/>
            <w:bottom w:val="none" w:sz="0" w:space="0" w:color="auto"/>
            <w:right w:val="none" w:sz="0" w:space="0" w:color="auto"/>
          </w:divBdr>
        </w:div>
        <w:div w:id="1199315245">
          <w:marLeft w:val="0"/>
          <w:marRight w:val="0"/>
          <w:marTop w:val="0"/>
          <w:marBottom w:val="0"/>
          <w:divBdr>
            <w:top w:val="none" w:sz="0" w:space="0" w:color="auto"/>
            <w:left w:val="none" w:sz="0" w:space="0" w:color="auto"/>
            <w:bottom w:val="none" w:sz="0" w:space="0" w:color="auto"/>
            <w:right w:val="none" w:sz="0" w:space="0" w:color="auto"/>
          </w:divBdr>
        </w:div>
        <w:div w:id="1208487917">
          <w:marLeft w:val="0"/>
          <w:marRight w:val="0"/>
          <w:marTop w:val="0"/>
          <w:marBottom w:val="0"/>
          <w:divBdr>
            <w:top w:val="none" w:sz="0" w:space="0" w:color="auto"/>
            <w:left w:val="none" w:sz="0" w:space="0" w:color="auto"/>
            <w:bottom w:val="none" w:sz="0" w:space="0" w:color="auto"/>
            <w:right w:val="none" w:sz="0" w:space="0" w:color="auto"/>
          </w:divBdr>
        </w:div>
        <w:div w:id="1225019301">
          <w:marLeft w:val="0"/>
          <w:marRight w:val="0"/>
          <w:marTop w:val="0"/>
          <w:marBottom w:val="0"/>
          <w:divBdr>
            <w:top w:val="none" w:sz="0" w:space="0" w:color="auto"/>
            <w:left w:val="none" w:sz="0" w:space="0" w:color="auto"/>
            <w:bottom w:val="none" w:sz="0" w:space="0" w:color="auto"/>
            <w:right w:val="none" w:sz="0" w:space="0" w:color="auto"/>
          </w:divBdr>
        </w:div>
        <w:div w:id="1229416442">
          <w:marLeft w:val="0"/>
          <w:marRight w:val="0"/>
          <w:marTop w:val="0"/>
          <w:marBottom w:val="0"/>
          <w:divBdr>
            <w:top w:val="none" w:sz="0" w:space="0" w:color="auto"/>
            <w:left w:val="none" w:sz="0" w:space="0" w:color="auto"/>
            <w:bottom w:val="none" w:sz="0" w:space="0" w:color="auto"/>
            <w:right w:val="none" w:sz="0" w:space="0" w:color="auto"/>
          </w:divBdr>
        </w:div>
        <w:div w:id="1245804051">
          <w:marLeft w:val="0"/>
          <w:marRight w:val="0"/>
          <w:marTop w:val="0"/>
          <w:marBottom w:val="0"/>
          <w:divBdr>
            <w:top w:val="none" w:sz="0" w:space="0" w:color="auto"/>
            <w:left w:val="none" w:sz="0" w:space="0" w:color="auto"/>
            <w:bottom w:val="none" w:sz="0" w:space="0" w:color="auto"/>
            <w:right w:val="none" w:sz="0" w:space="0" w:color="auto"/>
          </w:divBdr>
        </w:div>
        <w:div w:id="1247424233">
          <w:marLeft w:val="0"/>
          <w:marRight w:val="0"/>
          <w:marTop w:val="0"/>
          <w:marBottom w:val="0"/>
          <w:divBdr>
            <w:top w:val="none" w:sz="0" w:space="0" w:color="auto"/>
            <w:left w:val="none" w:sz="0" w:space="0" w:color="auto"/>
            <w:bottom w:val="none" w:sz="0" w:space="0" w:color="auto"/>
            <w:right w:val="none" w:sz="0" w:space="0" w:color="auto"/>
          </w:divBdr>
        </w:div>
        <w:div w:id="1282882582">
          <w:marLeft w:val="0"/>
          <w:marRight w:val="0"/>
          <w:marTop w:val="0"/>
          <w:marBottom w:val="0"/>
          <w:divBdr>
            <w:top w:val="none" w:sz="0" w:space="0" w:color="auto"/>
            <w:left w:val="none" w:sz="0" w:space="0" w:color="auto"/>
            <w:bottom w:val="none" w:sz="0" w:space="0" w:color="auto"/>
            <w:right w:val="none" w:sz="0" w:space="0" w:color="auto"/>
          </w:divBdr>
        </w:div>
        <w:div w:id="1304967956">
          <w:marLeft w:val="0"/>
          <w:marRight w:val="0"/>
          <w:marTop w:val="0"/>
          <w:marBottom w:val="0"/>
          <w:divBdr>
            <w:top w:val="none" w:sz="0" w:space="0" w:color="auto"/>
            <w:left w:val="none" w:sz="0" w:space="0" w:color="auto"/>
            <w:bottom w:val="none" w:sz="0" w:space="0" w:color="auto"/>
            <w:right w:val="none" w:sz="0" w:space="0" w:color="auto"/>
          </w:divBdr>
        </w:div>
        <w:div w:id="1390496871">
          <w:marLeft w:val="0"/>
          <w:marRight w:val="0"/>
          <w:marTop w:val="0"/>
          <w:marBottom w:val="0"/>
          <w:divBdr>
            <w:top w:val="none" w:sz="0" w:space="0" w:color="auto"/>
            <w:left w:val="none" w:sz="0" w:space="0" w:color="auto"/>
            <w:bottom w:val="none" w:sz="0" w:space="0" w:color="auto"/>
            <w:right w:val="none" w:sz="0" w:space="0" w:color="auto"/>
          </w:divBdr>
        </w:div>
        <w:div w:id="1398091534">
          <w:marLeft w:val="0"/>
          <w:marRight w:val="0"/>
          <w:marTop w:val="0"/>
          <w:marBottom w:val="0"/>
          <w:divBdr>
            <w:top w:val="none" w:sz="0" w:space="0" w:color="auto"/>
            <w:left w:val="none" w:sz="0" w:space="0" w:color="auto"/>
            <w:bottom w:val="none" w:sz="0" w:space="0" w:color="auto"/>
            <w:right w:val="none" w:sz="0" w:space="0" w:color="auto"/>
          </w:divBdr>
        </w:div>
        <w:div w:id="1416780416">
          <w:marLeft w:val="0"/>
          <w:marRight w:val="0"/>
          <w:marTop w:val="0"/>
          <w:marBottom w:val="0"/>
          <w:divBdr>
            <w:top w:val="none" w:sz="0" w:space="0" w:color="auto"/>
            <w:left w:val="none" w:sz="0" w:space="0" w:color="auto"/>
            <w:bottom w:val="none" w:sz="0" w:space="0" w:color="auto"/>
            <w:right w:val="none" w:sz="0" w:space="0" w:color="auto"/>
          </w:divBdr>
        </w:div>
        <w:div w:id="1420254055">
          <w:marLeft w:val="0"/>
          <w:marRight w:val="0"/>
          <w:marTop w:val="0"/>
          <w:marBottom w:val="0"/>
          <w:divBdr>
            <w:top w:val="none" w:sz="0" w:space="0" w:color="auto"/>
            <w:left w:val="none" w:sz="0" w:space="0" w:color="auto"/>
            <w:bottom w:val="none" w:sz="0" w:space="0" w:color="auto"/>
            <w:right w:val="none" w:sz="0" w:space="0" w:color="auto"/>
          </w:divBdr>
        </w:div>
        <w:div w:id="1421295908">
          <w:marLeft w:val="0"/>
          <w:marRight w:val="0"/>
          <w:marTop w:val="0"/>
          <w:marBottom w:val="0"/>
          <w:divBdr>
            <w:top w:val="none" w:sz="0" w:space="0" w:color="auto"/>
            <w:left w:val="none" w:sz="0" w:space="0" w:color="auto"/>
            <w:bottom w:val="none" w:sz="0" w:space="0" w:color="auto"/>
            <w:right w:val="none" w:sz="0" w:space="0" w:color="auto"/>
          </w:divBdr>
        </w:div>
        <w:div w:id="1473984815">
          <w:marLeft w:val="0"/>
          <w:marRight w:val="0"/>
          <w:marTop w:val="0"/>
          <w:marBottom w:val="0"/>
          <w:divBdr>
            <w:top w:val="none" w:sz="0" w:space="0" w:color="auto"/>
            <w:left w:val="none" w:sz="0" w:space="0" w:color="auto"/>
            <w:bottom w:val="none" w:sz="0" w:space="0" w:color="auto"/>
            <w:right w:val="none" w:sz="0" w:space="0" w:color="auto"/>
          </w:divBdr>
        </w:div>
        <w:div w:id="1488285400">
          <w:marLeft w:val="0"/>
          <w:marRight w:val="0"/>
          <w:marTop w:val="0"/>
          <w:marBottom w:val="0"/>
          <w:divBdr>
            <w:top w:val="none" w:sz="0" w:space="0" w:color="auto"/>
            <w:left w:val="none" w:sz="0" w:space="0" w:color="auto"/>
            <w:bottom w:val="none" w:sz="0" w:space="0" w:color="auto"/>
            <w:right w:val="none" w:sz="0" w:space="0" w:color="auto"/>
          </w:divBdr>
        </w:div>
        <w:div w:id="1534341883">
          <w:marLeft w:val="0"/>
          <w:marRight w:val="0"/>
          <w:marTop w:val="0"/>
          <w:marBottom w:val="0"/>
          <w:divBdr>
            <w:top w:val="none" w:sz="0" w:space="0" w:color="auto"/>
            <w:left w:val="none" w:sz="0" w:space="0" w:color="auto"/>
            <w:bottom w:val="none" w:sz="0" w:space="0" w:color="auto"/>
            <w:right w:val="none" w:sz="0" w:space="0" w:color="auto"/>
          </w:divBdr>
        </w:div>
        <w:div w:id="1555963424">
          <w:marLeft w:val="0"/>
          <w:marRight w:val="0"/>
          <w:marTop w:val="0"/>
          <w:marBottom w:val="0"/>
          <w:divBdr>
            <w:top w:val="none" w:sz="0" w:space="0" w:color="auto"/>
            <w:left w:val="none" w:sz="0" w:space="0" w:color="auto"/>
            <w:bottom w:val="none" w:sz="0" w:space="0" w:color="auto"/>
            <w:right w:val="none" w:sz="0" w:space="0" w:color="auto"/>
          </w:divBdr>
        </w:div>
        <w:div w:id="1563560895">
          <w:marLeft w:val="0"/>
          <w:marRight w:val="0"/>
          <w:marTop w:val="0"/>
          <w:marBottom w:val="0"/>
          <w:divBdr>
            <w:top w:val="none" w:sz="0" w:space="0" w:color="auto"/>
            <w:left w:val="none" w:sz="0" w:space="0" w:color="auto"/>
            <w:bottom w:val="none" w:sz="0" w:space="0" w:color="auto"/>
            <w:right w:val="none" w:sz="0" w:space="0" w:color="auto"/>
          </w:divBdr>
        </w:div>
        <w:div w:id="1676179715">
          <w:marLeft w:val="0"/>
          <w:marRight w:val="0"/>
          <w:marTop w:val="0"/>
          <w:marBottom w:val="0"/>
          <w:divBdr>
            <w:top w:val="none" w:sz="0" w:space="0" w:color="auto"/>
            <w:left w:val="none" w:sz="0" w:space="0" w:color="auto"/>
            <w:bottom w:val="none" w:sz="0" w:space="0" w:color="auto"/>
            <w:right w:val="none" w:sz="0" w:space="0" w:color="auto"/>
          </w:divBdr>
        </w:div>
        <w:div w:id="1681349521">
          <w:marLeft w:val="0"/>
          <w:marRight w:val="0"/>
          <w:marTop w:val="0"/>
          <w:marBottom w:val="0"/>
          <w:divBdr>
            <w:top w:val="none" w:sz="0" w:space="0" w:color="auto"/>
            <w:left w:val="none" w:sz="0" w:space="0" w:color="auto"/>
            <w:bottom w:val="none" w:sz="0" w:space="0" w:color="auto"/>
            <w:right w:val="none" w:sz="0" w:space="0" w:color="auto"/>
          </w:divBdr>
        </w:div>
        <w:div w:id="1696614267">
          <w:marLeft w:val="0"/>
          <w:marRight w:val="0"/>
          <w:marTop w:val="0"/>
          <w:marBottom w:val="0"/>
          <w:divBdr>
            <w:top w:val="none" w:sz="0" w:space="0" w:color="auto"/>
            <w:left w:val="none" w:sz="0" w:space="0" w:color="auto"/>
            <w:bottom w:val="none" w:sz="0" w:space="0" w:color="auto"/>
            <w:right w:val="none" w:sz="0" w:space="0" w:color="auto"/>
          </w:divBdr>
        </w:div>
        <w:div w:id="1704862743">
          <w:marLeft w:val="0"/>
          <w:marRight w:val="0"/>
          <w:marTop w:val="0"/>
          <w:marBottom w:val="0"/>
          <w:divBdr>
            <w:top w:val="none" w:sz="0" w:space="0" w:color="auto"/>
            <w:left w:val="none" w:sz="0" w:space="0" w:color="auto"/>
            <w:bottom w:val="none" w:sz="0" w:space="0" w:color="auto"/>
            <w:right w:val="none" w:sz="0" w:space="0" w:color="auto"/>
          </w:divBdr>
        </w:div>
        <w:div w:id="1710643211">
          <w:marLeft w:val="0"/>
          <w:marRight w:val="0"/>
          <w:marTop w:val="0"/>
          <w:marBottom w:val="0"/>
          <w:divBdr>
            <w:top w:val="none" w:sz="0" w:space="0" w:color="auto"/>
            <w:left w:val="none" w:sz="0" w:space="0" w:color="auto"/>
            <w:bottom w:val="none" w:sz="0" w:space="0" w:color="auto"/>
            <w:right w:val="none" w:sz="0" w:space="0" w:color="auto"/>
          </w:divBdr>
        </w:div>
        <w:div w:id="1723209545">
          <w:marLeft w:val="0"/>
          <w:marRight w:val="0"/>
          <w:marTop w:val="0"/>
          <w:marBottom w:val="0"/>
          <w:divBdr>
            <w:top w:val="none" w:sz="0" w:space="0" w:color="auto"/>
            <w:left w:val="none" w:sz="0" w:space="0" w:color="auto"/>
            <w:bottom w:val="none" w:sz="0" w:space="0" w:color="auto"/>
            <w:right w:val="none" w:sz="0" w:space="0" w:color="auto"/>
          </w:divBdr>
        </w:div>
        <w:div w:id="1725985872">
          <w:marLeft w:val="0"/>
          <w:marRight w:val="0"/>
          <w:marTop w:val="0"/>
          <w:marBottom w:val="0"/>
          <w:divBdr>
            <w:top w:val="none" w:sz="0" w:space="0" w:color="auto"/>
            <w:left w:val="none" w:sz="0" w:space="0" w:color="auto"/>
            <w:bottom w:val="none" w:sz="0" w:space="0" w:color="auto"/>
            <w:right w:val="none" w:sz="0" w:space="0" w:color="auto"/>
          </w:divBdr>
        </w:div>
        <w:div w:id="1738093977">
          <w:marLeft w:val="0"/>
          <w:marRight w:val="0"/>
          <w:marTop w:val="0"/>
          <w:marBottom w:val="0"/>
          <w:divBdr>
            <w:top w:val="none" w:sz="0" w:space="0" w:color="auto"/>
            <w:left w:val="none" w:sz="0" w:space="0" w:color="auto"/>
            <w:bottom w:val="none" w:sz="0" w:space="0" w:color="auto"/>
            <w:right w:val="none" w:sz="0" w:space="0" w:color="auto"/>
          </w:divBdr>
        </w:div>
        <w:div w:id="1749615019">
          <w:marLeft w:val="0"/>
          <w:marRight w:val="0"/>
          <w:marTop w:val="0"/>
          <w:marBottom w:val="0"/>
          <w:divBdr>
            <w:top w:val="none" w:sz="0" w:space="0" w:color="auto"/>
            <w:left w:val="none" w:sz="0" w:space="0" w:color="auto"/>
            <w:bottom w:val="none" w:sz="0" w:space="0" w:color="auto"/>
            <w:right w:val="none" w:sz="0" w:space="0" w:color="auto"/>
          </w:divBdr>
        </w:div>
        <w:div w:id="1755467292">
          <w:marLeft w:val="0"/>
          <w:marRight w:val="0"/>
          <w:marTop w:val="0"/>
          <w:marBottom w:val="0"/>
          <w:divBdr>
            <w:top w:val="none" w:sz="0" w:space="0" w:color="auto"/>
            <w:left w:val="none" w:sz="0" w:space="0" w:color="auto"/>
            <w:bottom w:val="none" w:sz="0" w:space="0" w:color="auto"/>
            <w:right w:val="none" w:sz="0" w:space="0" w:color="auto"/>
          </w:divBdr>
        </w:div>
        <w:div w:id="1758860821">
          <w:marLeft w:val="0"/>
          <w:marRight w:val="0"/>
          <w:marTop w:val="0"/>
          <w:marBottom w:val="0"/>
          <w:divBdr>
            <w:top w:val="none" w:sz="0" w:space="0" w:color="auto"/>
            <w:left w:val="none" w:sz="0" w:space="0" w:color="auto"/>
            <w:bottom w:val="none" w:sz="0" w:space="0" w:color="auto"/>
            <w:right w:val="none" w:sz="0" w:space="0" w:color="auto"/>
          </w:divBdr>
        </w:div>
        <w:div w:id="1775982087">
          <w:marLeft w:val="0"/>
          <w:marRight w:val="0"/>
          <w:marTop w:val="0"/>
          <w:marBottom w:val="0"/>
          <w:divBdr>
            <w:top w:val="none" w:sz="0" w:space="0" w:color="auto"/>
            <w:left w:val="none" w:sz="0" w:space="0" w:color="auto"/>
            <w:bottom w:val="none" w:sz="0" w:space="0" w:color="auto"/>
            <w:right w:val="none" w:sz="0" w:space="0" w:color="auto"/>
          </w:divBdr>
        </w:div>
        <w:div w:id="1779254348">
          <w:marLeft w:val="0"/>
          <w:marRight w:val="0"/>
          <w:marTop w:val="0"/>
          <w:marBottom w:val="0"/>
          <w:divBdr>
            <w:top w:val="none" w:sz="0" w:space="0" w:color="auto"/>
            <w:left w:val="none" w:sz="0" w:space="0" w:color="auto"/>
            <w:bottom w:val="none" w:sz="0" w:space="0" w:color="auto"/>
            <w:right w:val="none" w:sz="0" w:space="0" w:color="auto"/>
          </w:divBdr>
        </w:div>
        <w:div w:id="1785467387">
          <w:marLeft w:val="0"/>
          <w:marRight w:val="0"/>
          <w:marTop w:val="0"/>
          <w:marBottom w:val="0"/>
          <w:divBdr>
            <w:top w:val="none" w:sz="0" w:space="0" w:color="auto"/>
            <w:left w:val="none" w:sz="0" w:space="0" w:color="auto"/>
            <w:bottom w:val="none" w:sz="0" w:space="0" w:color="auto"/>
            <w:right w:val="none" w:sz="0" w:space="0" w:color="auto"/>
          </w:divBdr>
        </w:div>
        <w:div w:id="1797335794">
          <w:marLeft w:val="0"/>
          <w:marRight w:val="0"/>
          <w:marTop w:val="0"/>
          <w:marBottom w:val="0"/>
          <w:divBdr>
            <w:top w:val="none" w:sz="0" w:space="0" w:color="auto"/>
            <w:left w:val="none" w:sz="0" w:space="0" w:color="auto"/>
            <w:bottom w:val="none" w:sz="0" w:space="0" w:color="auto"/>
            <w:right w:val="none" w:sz="0" w:space="0" w:color="auto"/>
          </w:divBdr>
        </w:div>
        <w:div w:id="1810315439">
          <w:marLeft w:val="0"/>
          <w:marRight w:val="0"/>
          <w:marTop w:val="0"/>
          <w:marBottom w:val="0"/>
          <w:divBdr>
            <w:top w:val="none" w:sz="0" w:space="0" w:color="auto"/>
            <w:left w:val="none" w:sz="0" w:space="0" w:color="auto"/>
            <w:bottom w:val="none" w:sz="0" w:space="0" w:color="auto"/>
            <w:right w:val="none" w:sz="0" w:space="0" w:color="auto"/>
          </w:divBdr>
        </w:div>
        <w:div w:id="1817454295">
          <w:marLeft w:val="0"/>
          <w:marRight w:val="0"/>
          <w:marTop w:val="0"/>
          <w:marBottom w:val="0"/>
          <w:divBdr>
            <w:top w:val="none" w:sz="0" w:space="0" w:color="auto"/>
            <w:left w:val="none" w:sz="0" w:space="0" w:color="auto"/>
            <w:bottom w:val="none" w:sz="0" w:space="0" w:color="auto"/>
            <w:right w:val="none" w:sz="0" w:space="0" w:color="auto"/>
          </w:divBdr>
        </w:div>
        <w:div w:id="1826239149">
          <w:marLeft w:val="0"/>
          <w:marRight w:val="0"/>
          <w:marTop w:val="0"/>
          <w:marBottom w:val="0"/>
          <w:divBdr>
            <w:top w:val="none" w:sz="0" w:space="0" w:color="auto"/>
            <w:left w:val="none" w:sz="0" w:space="0" w:color="auto"/>
            <w:bottom w:val="none" w:sz="0" w:space="0" w:color="auto"/>
            <w:right w:val="none" w:sz="0" w:space="0" w:color="auto"/>
          </w:divBdr>
        </w:div>
        <w:div w:id="1851218400">
          <w:marLeft w:val="0"/>
          <w:marRight w:val="0"/>
          <w:marTop w:val="0"/>
          <w:marBottom w:val="0"/>
          <w:divBdr>
            <w:top w:val="none" w:sz="0" w:space="0" w:color="auto"/>
            <w:left w:val="none" w:sz="0" w:space="0" w:color="auto"/>
            <w:bottom w:val="none" w:sz="0" w:space="0" w:color="auto"/>
            <w:right w:val="none" w:sz="0" w:space="0" w:color="auto"/>
          </w:divBdr>
        </w:div>
        <w:div w:id="1852181249">
          <w:marLeft w:val="0"/>
          <w:marRight w:val="0"/>
          <w:marTop w:val="0"/>
          <w:marBottom w:val="0"/>
          <w:divBdr>
            <w:top w:val="none" w:sz="0" w:space="0" w:color="auto"/>
            <w:left w:val="none" w:sz="0" w:space="0" w:color="auto"/>
            <w:bottom w:val="none" w:sz="0" w:space="0" w:color="auto"/>
            <w:right w:val="none" w:sz="0" w:space="0" w:color="auto"/>
          </w:divBdr>
        </w:div>
        <w:div w:id="1896576846">
          <w:marLeft w:val="0"/>
          <w:marRight w:val="0"/>
          <w:marTop w:val="0"/>
          <w:marBottom w:val="0"/>
          <w:divBdr>
            <w:top w:val="none" w:sz="0" w:space="0" w:color="auto"/>
            <w:left w:val="none" w:sz="0" w:space="0" w:color="auto"/>
            <w:bottom w:val="none" w:sz="0" w:space="0" w:color="auto"/>
            <w:right w:val="none" w:sz="0" w:space="0" w:color="auto"/>
          </w:divBdr>
        </w:div>
        <w:div w:id="1956979890">
          <w:marLeft w:val="0"/>
          <w:marRight w:val="0"/>
          <w:marTop w:val="0"/>
          <w:marBottom w:val="0"/>
          <w:divBdr>
            <w:top w:val="none" w:sz="0" w:space="0" w:color="auto"/>
            <w:left w:val="none" w:sz="0" w:space="0" w:color="auto"/>
            <w:bottom w:val="none" w:sz="0" w:space="0" w:color="auto"/>
            <w:right w:val="none" w:sz="0" w:space="0" w:color="auto"/>
          </w:divBdr>
        </w:div>
        <w:div w:id="2006086729">
          <w:marLeft w:val="0"/>
          <w:marRight w:val="0"/>
          <w:marTop w:val="0"/>
          <w:marBottom w:val="0"/>
          <w:divBdr>
            <w:top w:val="none" w:sz="0" w:space="0" w:color="auto"/>
            <w:left w:val="none" w:sz="0" w:space="0" w:color="auto"/>
            <w:bottom w:val="none" w:sz="0" w:space="0" w:color="auto"/>
            <w:right w:val="none" w:sz="0" w:space="0" w:color="auto"/>
          </w:divBdr>
        </w:div>
        <w:div w:id="2017733492">
          <w:marLeft w:val="0"/>
          <w:marRight w:val="0"/>
          <w:marTop w:val="0"/>
          <w:marBottom w:val="0"/>
          <w:divBdr>
            <w:top w:val="none" w:sz="0" w:space="0" w:color="auto"/>
            <w:left w:val="none" w:sz="0" w:space="0" w:color="auto"/>
            <w:bottom w:val="none" w:sz="0" w:space="0" w:color="auto"/>
            <w:right w:val="none" w:sz="0" w:space="0" w:color="auto"/>
          </w:divBdr>
        </w:div>
        <w:div w:id="2036928058">
          <w:marLeft w:val="0"/>
          <w:marRight w:val="0"/>
          <w:marTop w:val="0"/>
          <w:marBottom w:val="0"/>
          <w:divBdr>
            <w:top w:val="none" w:sz="0" w:space="0" w:color="auto"/>
            <w:left w:val="none" w:sz="0" w:space="0" w:color="auto"/>
            <w:bottom w:val="none" w:sz="0" w:space="0" w:color="auto"/>
            <w:right w:val="none" w:sz="0" w:space="0" w:color="auto"/>
          </w:divBdr>
        </w:div>
        <w:div w:id="2093313786">
          <w:marLeft w:val="0"/>
          <w:marRight w:val="0"/>
          <w:marTop w:val="0"/>
          <w:marBottom w:val="0"/>
          <w:divBdr>
            <w:top w:val="none" w:sz="0" w:space="0" w:color="auto"/>
            <w:left w:val="none" w:sz="0" w:space="0" w:color="auto"/>
            <w:bottom w:val="none" w:sz="0" w:space="0" w:color="auto"/>
            <w:right w:val="none" w:sz="0" w:space="0" w:color="auto"/>
          </w:divBdr>
        </w:div>
        <w:div w:id="2116830156">
          <w:marLeft w:val="0"/>
          <w:marRight w:val="0"/>
          <w:marTop w:val="0"/>
          <w:marBottom w:val="0"/>
          <w:divBdr>
            <w:top w:val="none" w:sz="0" w:space="0" w:color="auto"/>
            <w:left w:val="none" w:sz="0" w:space="0" w:color="auto"/>
            <w:bottom w:val="none" w:sz="0" w:space="0" w:color="auto"/>
            <w:right w:val="none" w:sz="0" w:space="0" w:color="auto"/>
          </w:divBdr>
        </w:div>
        <w:div w:id="2129658154">
          <w:marLeft w:val="0"/>
          <w:marRight w:val="0"/>
          <w:marTop w:val="0"/>
          <w:marBottom w:val="0"/>
          <w:divBdr>
            <w:top w:val="none" w:sz="0" w:space="0" w:color="auto"/>
            <w:left w:val="none" w:sz="0" w:space="0" w:color="auto"/>
            <w:bottom w:val="none" w:sz="0" w:space="0" w:color="auto"/>
            <w:right w:val="none" w:sz="0" w:space="0" w:color="auto"/>
          </w:divBdr>
        </w:div>
      </w:divsChild>
    </w:div>
    <w:div w:id="1937980500">
      <w:bodyDiv w:val="1"/>
      <w:marLeft w:val="0"/>
      <w:marRight w:val="0"/>
      <w:marTop w:val="0"/>
      <w:marBottom w:val="0"/>
      <w:divBdr>
        <w:top w:val="none" w:sz="0" w:space="0" w:color="auto"/>
        <w:left w:val="none" w:sz="0" w:space="0" w:color="auto"/>
        <w:bottom w:val="none" w:sz="0" w:space="0" w:color="auto"/>
        <w:right w:val="none" w:sz="0" w:space="0" w:color="auto"/>
      </w:divBdr>
    </w:div>
    <w:div w:id="1940062997">
      <w:bodyDiv w:val="1"/>
      <w:marLeft w:val="0"/>
      <w:marRight w:val="0"/>
      <w:marTop w:val="0"/>
      <w:marBottom w:val="0"/>
      <w:divBdr>
        <w:top w:val="none" w:sz="0" w:space="0" w:color="auto"/>
        <w:left w:val="none" w:sz="0" w:space="0" w:color="auto"/>
        <w:bottom w:val="none" w:sz="0" w:space="0" w:color="auto"/>
        <w:right w:val="none" w:sz="0" w:space="0" w:color="auto"/>
      </w:divBdr>
    </w:div>
    <w:div w:id="1942101535">
      <w:bodyDiv w:val="1"/>
      <w:marLeft w:val="0"/>
      <w:marRight w:val="0"/>
      <w:marTop w:val="0"/>
      <w:marBottom w:val="0"/>
      <w:divBdr>
        <w:top w:val="none" w:sz="0" w:space="0" w:color="auto"/>
        <w:left w:val="none" w:sz="0" w:space="0" w:color="auto"/>
        <w:bottom w:val="none" w:sz="0" w:space="0" w:color="auto"/>
        <w:right w:val="none" w:sz="0" w:space="0" w:color="auto"/>
      </w:divBdr>
    </w:div>
    <w:div w:id="1942175363">
      <w:bodyDiv w:val="1"/>
      <w:marLeft w:val="0"/>
      <w:marRight w:val="0"/>
      <w:marTop w:val="0"/>
      <w:marBottom w:val="0"/>
      <w:divBdr>
        <w:top w:val="none" w:sz="0" w:space="0" w:color="auto"/>
        <w:left w:val="none" w:sz="0" w:space="0" w:color="auto"/>
        <w:bottom w:val="none" w:sz="0" w:space="0" w:color="auto"/>
        <w:right w:val="none" w:sz="0" w:space="0" w:color="auto"/>
      </w:divBdr>
    </w:div>
    <w:div w:id="1945919414">
      <w:bodyDiv w:val="1"/>
      <w:marLeft w:val="0"/>
      <w:marRight w:val="0"/>
      <w:marTop w:val="0"/>
      <w:marBottom w:val="0"/>
      <w:divBdr>
        <w:top w:val="none" w:sz="0" w:space="0" w:color="auto"/>
        <w:left w:val="none" w:sz="0" w:space="0" w:color="auto"/>
        <w:bottom w:val="none" w:sz="0" w:space="0" w:color="auto"/>
        <w:right w:val="none" w:sz="0" w:space="0" w:color="auto"/>
      </w:divBdr>
    </w:div>
    <w:div w:id="1949388309">
      <w:bodyDiv w:val="1"/>
      <w:marLeft w:val="0"/>
      <w:marRight w:val="0"/>
      <w:marTop w:val="0"/>
      <w:marBottom w:val="0"/>
      <w:divBdr>
        <w:top w:val="none" w:sz="0" w:space="0" w:color="auto"/>
        <w:left w:val="none" w:sz="0" w:space="0" w:color="auto"/>
        <w:bottom w:val="none" w:sz="0" w:space="0" w:color="auto"/>
        <w:right w:val="none" w:sz="0" w:space="0" w:color="auto"/>
      </w:divBdr>
    </w:div>
    <w:div w:id="1949779478">
      <w:bodyDiv w:val="1"/>
      <w:marLeft w:val="0"/>
      <w:marRight w:val="0"/>
      <w:marTop w:val="0"/>
      <w:marBottom w:val="0"/>
      <w:divBdr>
        <w:top w:val="none" w:sz="0" w:space="0" w:color="auto"/>
        <w:left w:val="none" w:sz="0" w:space="0" w:color="auto"/>
        <w:bottom w:val="none" w:sz="0" w:space="0" w:color="auto"/>
        <w:right w:val="none" w:sz="0" w:space="0" w:color="auto"/>
      </w:divBdr>
    </w:div>
    <w:div w:id="1951550048">
      <w:bodyDiv w:val="1"/>
      <w:marLeft w:val="0"/>
      <w:marRight w:val="0"/>
      <w:marTop w:val="0"/>
      <w:marBottom w:val="0"/>
      <w:divBdr>
        <w:top w:val="none" w:sz="0" w:space="0" w:color="auto"/>
        <w:left w:val="none" w:sz="0" w:space="0" w:color="auto"/>
        <w:bottom w:val="none" w:sz="0" w:space="0" w:color="auto"/>
        <w:right w:val="none" w:sz="0" w:space="0" w:color="auto"/>
      </w:divBdr>
    </w:div>
    <w:div w:id="1952323968">
      <w:bodyDiv w:val="1"/>
      <w:marLeft w:val="0"/>
      <w:marRight w:val="0"/>
      <w:marTop w:val="0"/>
      <w:marBottom w:val="0"/>
      <w:divBdr>
        <w:top w:val="none" w:sz="0" w:space="0" w:color="auto"/>
        <w:left w:val="none" w:sz="0" w:space="0" w:color="auto"/>
        <w:bottom w:val="none" w:sz="0" w:space="0" w:color="auto"/>
        <w:right w:val="none" w:sz="0" w:space="0" w:color="auto"/>
      </w:divBdr>
    </w:div>
    <w:div w:id="1955743322">
      <w:bodyDiv w:val="1"/>
      <w:marLeft w:val="0"/>
      <w:marRight w:val="0"/>
      <w:marTop w:val="0"/>
      <w:marBottom w:val="0"/>
      <w:divBdr>
        <w:top w:val="none" w:sz="0" w:space="0" w:color="auto"/>
        <w:left w:val="none" w:sz="0" w:space="0" w:color="auto"/>
        <w:bottom w:val="none" w:sz="0" w:space="0" w:color="auto"/>
        <w:right w:val="none" w:sz="0" w:space="0" w:color="auto"/>
      </w:divBdr>
    </w:div>
    <w:div w:id="1955940840">
      <w:bodyDiv w:val="1"/>
      <w:marLeft w:val="0"/>
      <w:marRight w:val="0"/>
      <w:marTop w:val="0"/>
      <w:marBottom w:val="0"/>
      <w:divBdr>
        <w:top w:val="none" w:sz="0" w:space="0" w:color="auto"/>
        <w:left w:val="none" w:sz="0" w:space="0" w:color="auto"/>
        <w:bottom w:val="none" w:sz="0" w:space="0" w:color="auto"/>
        <w:right w:val="none" w:sz="0" w:space="0" w:color="auto"/>
      </w:divBdr>
    </w:div>
    <w:div w:id="1958835196">
      <w:bodyDiv w:val="1"/>
      <w:marLeft w:val="0"/>
      <w:marRight w:val="0"/>
      <w:marTop w:val="0"/>
      <w:marBottom w:val="0"/>
      <w:divBdr>
        <w:top w:val="none" w:sz="0" w:space="0" w:color="auto"/>
        <w:left w:val="none" w:sz="0" w:space="0" w:color="auto"/>
        <w:bottom w:val="none" w:sz="0" w:space="0" w:color="auto"/>
        <w:right w:val="none" w:sz="0" w:space="0" w:color="auto"/>
      </w:divBdr>
    </w:div>
    <w:div w:id="1960405510">
      <w:bodyDiv w:val="1"/>
      <w:marLeft w:val="0"/>
      <w:marRight w:val="0"/>
      <w:marTop w:val="0"/>
      <w:marBottom w:val="0"/>
      <w:divBdr>
        <w:top w:val="none" w:sz="0" w:space="0" w:color="auto"/>
        <w:left w:val="none" w:sz="0" w:space="0" w:color="auto"/>
        <w:bottom w:val="none" w:sz="0" w:space="0" w:color="auto"/>
        <w:right w:val="none" w:sz="0" w:space="0" w:color="auto"/>
      </w:divBdr>
    </w:div>
    <w:div w:id="1960721356">
      <w:bodyDiv w:val="1"/>
      <w:marLeft w:val="0"/>
      <w:marRight w:val="0"/>
      <w:marTop w:val="0"/>
      <w:marBottom w:val="0"/>
      <w:divBdr>
        <w:top w:val="none" w:sz="0" w:space="0" w:color="auto"/>
        <w:left w:val="none" w:sz="0" w:space="0" w:color="auto"/>
        <w:bottom w:val="none" w:sz="0" w:space="0" w:color="auto"/>
        <w:right w:val="none" w:sz="0" w:space="0" w:color="auto"/>
      </w:divBdr>
    </w:div>
    <w:div w:id="1962764648">
      <w:bodyDiv w:val="1"/>
      <w:marLeft w:val="0"/>
      <w:marRight w:val="0"/>
      <w:marTop w:val="0"/>
      <w:marBottom w:val="0"/>
      <w:divBdr>
        <w:top w:val="none" w:sz="0" w:space="0" w:color="auto"/>
        <w:left w:val="none" w:sz="0" w:space="0" w:color="auto"/>
        <w:bottom w:val="none" w:sz="0" w:space="0" w:color="auto"/>
        <w:right w:val="none" w:sz="0" w:space="0" w:color="auto"/>
      </w:divBdr>
    </w:div>
    <w:div w:id="1963225551">
      <w:bodyDiv w:val="1"/>
      <w:marLeft w:val="0"/>
      <w:marRight w:val="0"/>
      <w:marTop w:val="0"/>
      <w:marBottom w:val="0"/>
      <w:divBdr>
        <w:top w:val="none" w:sz="0" w:space="0" w:color="auto"/>
        <w:left w:val="none" w:sz="0" w:space="0" w:color="auto"/>
        <w:bottom w:val="none" w:sz="0" w:space="0" w:color="auto"/>
        <w:right w:val="none" w:sz="0" w:space="0" w:color="auto"/>
      </w:divBdr>
    </w:div>
    <w:div w:id="1963730804">
      <w:bodyDiv w:val="1"/>
      <w:marLeft w:val="0"/>
      <w:marRight w:val="0"/>
      <w:marTop w:val="0"/>
      <w:marBottom w:val="0"/>
      <w:divBdr>
        <w:top w:val="none" w:sz="0" w:space="0" w:color="auto"/>
        <w:left w:val="none" w:sz="0" w:space="0" w:color="auto"/>
        <w:bottom w:val="none" w:sz="0" w:space="0" w:color="auto"/>
        <w:right w:val="none" w:sz="0" w:space="0" w:color="auto"/>
      </w:divBdr>
    </w:div>
    <w:div w:id="1964654061">
      <w:bodyDiv w:val="1"/>
      <w:marLeft w:val="0"/>
      <w:marRight w:val="0"/>
      <w:marTop w:val="0"/>
      <w:marBottom w:val="0"/>
      <w:divBdr>
        <w:top w:val="none" w:sz="0" w:space="0" w:color="auto"/>
        <w:left w:val="none" w:sz="0" w:space="0" w:color="auto"/>
        <w:bottom w:val="none" w:sz="0" w:space="0" w:color="auto"/>
        <w:right w:val="none" w:sz="0" w:space="0" w:color="auto"/>
      </w:divBdr>
    </w:div>
    <w:div w:id="1964922197">
      <w:bodyDiv w:val="1"/>
      <w:marLeft w:val="0"/>
      <w:marRight w:val="0"/>
      <w:marTop w:val="0"/>
      <w:marBottom w:val="0"/>
      <w:divBdr>
        <w:top w:val="none" w:sz="0" w:space="0" w:color="auto"/>
        <w:left w:val="none" w:sz="0" w:space="0" w:color="auto"/>
        <w:bottom w:val="none" w:sz="0" w:space="0" w:color="auto"/>
        <w:right w:val="none" w:sz="0" w:space="0" w:color="auto"/>
      </w:divBdr>
    </w:div>
    <w:div w:id="1967226428">
      <w:bodyDiv w:val="1"/>
      <w:marLeft w:val="0"/>
      <w:marRight w:val="0"/>
      <w:marTop w:val="0"/>
      <w:marBottom w:val="0"/>
      <w:divBdr>
        <w:top w:val="none" w:sz="0" w:space="0" w:color="auto"/>
        <w:left w:val="none" w:sz="0" w:space="0" w:color="auto"/>
        <w:bottom w:val="none" w:sz="0" w:space="0" w:color="auto"/>
        <w:right w:val="none" w:sz="0" w:space="0" w:color="auto"/>
      </w:divBdr>
    </w:div>
    <w:div w:id="1967613584">
      <w:bodyDiv w:val="1"/>
      <w:marLeft w:val="0"/>
      <w:marRight w:val="0"/>
      <w:marTop w:val="0"/>
      <w:marBottom w:val="0"/>
      <w:divBdr>
        <w:top w:val="none" w:sz="0" w:space="0" w:color="auto"/>
        <w:left w:val="none" w:sz="0" w:space="0" w:color="auto"/>
        <w:bottom w:val="none" w:sz="0" w:space="0" w:color="auto"/>
        <w:right w:val="none" w:sz="0" w:space="0" w:color="auto"/>
      </w:divBdr>
    </w:div>
    <w:div w:id="1968269944">
      <w:bodyDiv w:val="1"/>
      <w:marLeft w:val="0"/>
      <w:marRight w:val="0"/>
      <w:marTop w:val="0"/>
      <w:marBottom w:val="0"/>
      <w:divBdr>
        <w:top w:val="none" w:sz="0" w:space="0" w:color="auto"/>
        <w:left w:val="none" w:sz="0" w:space="0" w:color="auto"/>
        <w:bottom w:val="none" w:sz="0" w:space="0" w:color="auto"/>
        <w:right w:val="none" w:sz="0" w:space="0" w:color="auto"/>
      </w:divBdr>
    </w:div>
    <w:div w:id="1969165713">
      <w:bodyDiv w:val="1"/>
      <w:marLeft w:val="0"/>
      <w:marRight w:val="0"/>
      <w:marTop w:val="0"/>
      <w:marBottom w:val="0"/>
      <w:divBdr>
        <w:top w:val="none" w:sz="0" w:space="0" w:color="auto"/>
        <w:left w:val="none" w:sz="0" w:space="0" w:color="auto"/>
        <w:bottom w:val="none" w:sz="0" w:space="0" w:color="auto"/>
        <w:right w:val="none" w:sz="0" w:space="0" w:color="auto"/>
      </w:divBdr>
    </w:div>
    <w:div w:id="1971354086">
      <w:bodyDiv w:val="1"/>
      <w:marLeft w:val="0"/>
      <w:marRight w:val="0"/>
      <w:marTop w:val="0"/>
      <w:marBottom w:val="0"/>
      <w:divBdr>
        <w:top w:val="none" w:sz="0" w:space="0" w:color="auto"/>
        <w:left w:val="none" w:sz="0" w:space="0" w:color="auto"/>
        <w:bottom w:val="none" w:sz="0" w:space="0" w:color="auto"/>
        <w:right w:val="none" w:sz="0" w:space="0" w:color="auto"/>
      </w:divBdr>
    </w:div>
    <w:div w:id="1971781866">
      <w:bodyDiv w:val="1"/>
      <w:marLeft w:val="0"/>
      <w:marRight w:val="0"/>
      <w:marTop w:val="0"/>
      <w:marBottom w:val="0"/>
      <w:divBdr>
        <w:top w:val="none" w:sz="0" w:space="0" w:color="auto"/>
        <w:left w:val="none" w:sz="0" w:space="0" w:color="auto"/>
        <w:bottom w:val="none" w:sz="0" w:space="0" w:color="auto"/>
        <w:right w:val="none" w:sz="0" w:space="0" w:color="auto"/>
      </w:divBdr>
    </w:div>
    <w:div w:id="1972977794">
      <w:bodyDiv w:val="1"/>
      <w:marLeft w:val="0"/>
      <w:marRight w:val="0"/>
      <w:marTop w:val="0"/>
      <w:marBottom w:val="0"/>
      <w:divBdr>
        <w:top w:val="none" w:sz="0" w:space="0" w:color="auto"/>
        <w:left w:val="none" w:sz="0" w:space="0" w:color="auto"/>
        <w:bottom w:val="none" w:sz="0" w:space="0" w:color="auto"/>
        <w:right w:val="none" w:sz="0" w:space="0" w:color="auto"/>
      </w:divBdr>
    </w:div>
    <w:div w:id="1974289720">
      <w:bodyDiv w:val="1"/>
      <w:marLeft w:val="0"/>
      <w:marRight w:val="0"/>
      <w:marTop w:val="0"/>
      <w:marBottom w:val="0"/>
      <w:divBdr>
        <w:top w:val="none" w:sz="0" w:space="0" w:color="auto"/>
        <w:left w:val="none" w:sz="0" w:space="0" w:color="auto"/>
        <w:bottom w:val="none" w:sz="0" w:space="0" w:color="auto"/>
        <w:right w:val="none" w:sz="0" w:space="0" w:color="auto"/>
      </w:divBdr>
    </w:div>
    <w:div w:id="1977948912">
      <w:bodyDiv w:val="1"/>
      <w:marLeft w:val="0"/>
      <w:marRight w:val="0"/>
      <w:marTop w:val="0"/>
      <w:marBottom w:val="0"/>
      <w:divBdr>
        <w:top w:val="none" w:sz="0" w:space="0" w:color="auto"/>
        <w:left w:val="none" w:sz="0" w:space="0" w:color="auto"/>
        <w:bottom w:val="none" w:sz="0" w:space="0" w:color="auto"/>
        <w:right w:val="none" w:sz="0" w:space="0" w:color="auto"/>
      </w:divBdr>
    </w:div>
    <w:div w:id="1981760922">
      <w:bodyDiv w:val="1"/>
      <w:marLeft w:val="0"/>
      <w:marRight w:val="0"/>
      <w:marTop w:val="0"/>
      <w:marBottom w:val="0"/>
      <w:divBdr>
        <w:top w:val="none" w:sz="0" w:space="0" w:color="auto"/>
        <w:left w:val="none" w:sz="0" w:space="0" w:color="auto"/>
        <w:bottom w:val="none" w:sz="0" w:space="0" w:color="auto"/>
        <w:right w:val="none" w:sz="0" w:space="0" w:color="auto"/>
      </w:divBdr>
    </w:div>
    <w:div w:id="1984193611">
      <w:bodyDiv w:val="1"/>
      <w:marLeft w:val="0"/>
      <w:marRight w:val="0"/>
      <w:marTop w:val="0"/>
      <w:marBottom w:val="0"/>
      <w:divBdr>
        <w:top w:val="none" w:sz="0" w:space="0" w:color="auto"/>
        <w:left w:val="none" w:sz="0" w:space="0" w:color="auto"/>
        <w:bottom w:val="none" w:sz="0" w:space="0" w:color="auto"/>
        <w:right w:val="none" w:sz="0" w:space="0" w:color="auto"/>
      </w:divBdr>
    </w:div>
    <w:div w:id="1986012193">
      <w:bodyDiv w:val="1"/>
      <w:marLeft w:val="0"/>
      <w:marRight w:val="0"/>
      <w:marTop w:val="0"/>
      <w:marBottom w:val="0"/>
      <w:divBdr>
        <w:top w:val="none" w:sz="0" w:space="0" w:color="auto"/>
        <w:left w:val="none" w:sz="0" w:space="0" w:color="auto"/>
        <w:bottom w:val="none" w:sz="0" w:space="0" w:color="auto"/>
        <w:right w:val="none" w:sz="0" w:space="0" w:color="auto"/>
      </w:divBdr>
    </w:div>
    <w:div w:id="1986543372">
      <w:bodyDiv w:val="1"/>
      <w:marLeft w:val="0"/>
      <w:marRight w:val="0"/>
      <w:marTop w:val="0"/>
      <w:marBottom w:val="0"/>
      <w:divBdr>
        <w:top w:val="none" w:sz="0" w:space="0" w:color="auto"/>
        <w:left w:val="none" w:sz="0" w:space="0" w:color="auto"/>
        <w:bottom w:val="none" w:sz="0" w:space="0" w:color="auto"/>
        <w:right w:val="none" w:sz="0" w:space="0" w:color="auto"/>
      </w:divBdr>
    </w:div>
    <w:div w:id="1986544809">
      <w:bodyDiv w:val="1"/>
      <w:marLeft w:val="0"/>
      <w:marRight w:val="0"/>
      <w:marTop w:val="0"/>
      <w:marBottom w:val="0"/>
      <w:divBdr>
        <w:top w:val="none" w:sz="0" w:space="0" w:color="auto"/>
        <w:left w:val="none" w:sz="0" w:space="0" w:color="auto"/>
        <w:bottom w:val="none" w:sz="0" w:space="0" w:color="auto"/>
        <w:right w:val="none" w:sz="0" w:space="0" w:color="auto"/>
      </w:divBdr>
    </w:div>
    <w:div w:id="1991009428">
      <w:bodyDiv w:val="1"/>
      <w:marLeft w:val="0"/>
      <w:marRight w:val="0"/>
      <w:marTop w:val="0"/>
      <w:marBottom w:val="0"/>
      <w:divBdr>
        <w:top w:val="none" w:sz="0" w:space="0" w:color="auto"/>
        <w:left w:val="none" w:sz="0" w:space="0" w:color="auto"/>
        <w:bottom w:val="none" w:sz="0" w:space="0" w:color="auto"/>
        <w:right w:val="none" w:sz="0" w:space="0" w:color="auto"/>
      </w:divBdr>
    </w:div>
    <w:div w:id="1993438209">
      <w:bodyDiv w:val="1"/>
      <w:marLeft w:val="0"/>
      <w:marRight w:val="0"/>
      <w:marTop w:val="0"/>
      <w:marBottom w:val="0"/>
      <w:divBdr>
        <w:top w:val="none" w:sz="0" w:space="0" w:color="auto"/>
        <w:left w:val="none" w:sz="0" w:space="0" w:color="auto"/>
        <w:bottom w:val="none" w:sz="0" w:space="0" w:color="auto"/>
        <w:right w:val="none" w:sz="0" w:space="0" w:color="auto"/>
      </w:divBdr>
    </w:div>
    <w:div w:id="1996640052">
      <w:bodyDiv w:val="1"/>
      <w:marLeft w:val="0"/>
      <w:marRight w:val="0"/>
      <w:marTop w:val="0"/>
      <w:marBottom w:val="0"/>
      <w:divBdr>
        <w:top w:val="none" w:sz="0" w:space="0" w:color="auto"/>
        <w:left w:val="none" w:sz="0" w:space="0" w:color="auto"/>
        <w:bottom w:val="none" w:sz="0" w:space="0" w:color="auto"/>
        <w:right w:val="none" w:sz="0" w:space="0" w:color="auto"/>
      </w:divBdr>
    </w:div>
    <w:div w:id="1997220649">
      <w:bodyDiv w:val="1"/>
      <w:marLeft w:val="0"/>
      <w:marRight w:val="0"/>
      <w:marTop w:val="0"/>
      <w:marBottom w:val="0"/>
      <w:divBdr>
        <w:top w:val="none" w:sz="0" w:space="0" w:color="auto"/>
        <w:left w:val="none" w:sz="0" w:space="0" w:color="auto"/>
        <w:bottom w:val="none" w:sz="0" w:space="0" w:color="auto"/>
        <w:right w:val="none" w:sz="0" w:space="0" w:color="auto"/>
      </w:divBdr>
    </w:div>
    <w:div w:id="1997681864">
      <w:bodyDiv w:val="1"/>
      <w:marLeft w:val="0"/>
      <w:marRight w:val="0"/>
      <w:marTop w:val="0"/>
      <w:marBottom w:val="0"/>
      <w:divBdr>
        <w:top w:val="none" w:sz="0" w:space="0" w:color="auto"/>
        <w:left w:val="none" w:sz="0" w:space="0" w:color="auto"/>
        <w:bottom w:val="none" w:sz="0" w:space="0" w:color="auto"/>
        <w:right w:val="none" w:sz="0" w:space="0" w:color="auto"/>
      </w:divBdr>
    </w:div>
    <w:div w:id="2002387561">
      <w:bodyDiv w:val="1"/>
      <w:marLeft w:val="0"/>
      <w:marRight w:val="0"/>
      <w:marTop w:val="0"/>
      <w:marBottom w:val="0"/>
      <w:divBdr>
        <w:top w:val="none" w:sz="0" w:space="0" w:color="auto"/>
        <w:left w:val="none" w:sz="0" w:space="0" w:color="auto"/>
        <w:bottom w:val="none" w:sz="0" w:space="0" w:color="auto"/>
        <w:right w:val="none" w:sz="0" w:space="0" w:color="auto"/>
      </w:divBdr>
    </w:div>
    <w:div w:id="2004317093">
      <w:bodyDiv w:val="1"/>
      <w:marLeft w:val="0"/>
      <w:marRight w:val="0"/>
      <w:marTop w:val="0"/>
      <w:marBottom w:val="0"/>
      <w:divBdr>
        <w:top w:val="none" w:sz="0" w:space="0" w:color="auto"/>
        <w:left w:val="none" w:sz="0" w:space="0" w:color="auto"/>
        <w:bottom w:val="none" w:sz="0" w:space="0" w:color="auto"/>
        <w:right w:val="none" w:sz="0" w:space="0" w:color="auto"/>
      </w:divBdr>
    </w:div>
    <w:div w:id="2007123926">
      <w:bodyDiv w:val="1"/>
      <w:marLeft w:val="0"/>
      <w:marRight w:val="0"/>
      <w:marTop w:val="0"/>
      <w:marBottom w:val="0"/>
      <w:divBdr>
        <w:top w:val="none" w:sz="0" w:space="0" w:color="auto"/>
        <w:left w:val="none" w:sz="0" w:space="0" w:color="auto"/>
        <w:bottom w:val="none" w:sz="0" w:space="0" w:color="auto"/>
        <w:right w:val="none" w:sz="0" w:space="0" w:color="auto"/>
      </w:divBdr>
    </w:div>
    <w:div w:id="2008054601">
      <w:bodyDiv w:val="1"/>
      <w:marLeft w:val="0"/>
      <w:marRight w:val="0"/>
      <w:marTop w:val="0"/>
      <w:marBottom w:val="0"/>
      <w:divBdr>
        <w:top w:val="none" w:sz="0" w:space="0" w:color="auto"/>
        <w:left w:val="none" w:sz="0" w:space="0" w:color="auto"/>
        <w:bottom w:val="none" w:sz="0" w:space="0" w:color="auto"/>
        <w:right w:val="none" w:sz="0" w:space="0" w:color="auto"/>
      </w:divBdr>
    </w:div>
    <w:div w:id="2009554043">
      <w:bodyDiv w:val="1"/>
      <w:marLeft w:val="0"/>
      <w:marRight w:val="0"/>
      <w:marTop w:val="0"/>
      <w:marBottom w:val="0"/>
      <w:divBdr>
        <w:top w:val="none" w:sz="0" w:space="0" w:color="auto"/>
        <w:left w:val="none" w:sz="0" w:space="0" w:color="auto"/>
        <w:bottom w:val="none" w:sz="0" w:space="0" w:color="auto"/>
        <w:right w:val="none" w:sz="0" w:space="0" w:color="auto"/>
      </w:divBdr>
    </w:div>
    <w:div w:id="2012946098">
      <w:bodyDiv w:val="1"/>
      <w:marLeft w:val="0"/>
      <w:marRight w:val="0"/>
      <w:marTop w:val="0"/>
      <w:marBottom w:val="0"/>
      <w:divBdr>
        <w:top w:val="none" w:sz="0" w:space="0" w:color="auto"/>
        <w:left w:val="none" w:sz="0" w:space="0" w:color="auto"/>
        <w:bottom w:val="none" w:sz="0" w:space="0" w:color="auto"/>
        <w:right w:val="none" w:sz="0" w:space="0" w:color="auto"/>
      </w:divBdr>
    </w:div>
    <w:div w:id="2014918621">
      <w:bodyDiv w:val="1"/>
      <w:marLeft w:val="0"/>
      <w:marRight w:val="0"/>
      <w:marTop w:val="0"/>
      <w:marBottom w:val="0"/>
      <w:divBdr>
        <w:top w:val="none" w:sz="0" w:space="0" w:color="auto"/>
        <w:left w:val="none" w:sz="0" w:space="0" w:color="auto"/>
        <w:bottom w:val="none" w:sz="0" w:space="0" w:color="auto"/>
        <w:right w:val="none" w:sz="0" w:space="0" w:color="auto"/>
      </w:divBdr>
    </w:div>
    <w:div w:id="2020279561">
      <w:bodyDiv w:val="1"/>
      <w:marLeft w:val="0"/>
      <w:marRight w:val="0"/>
      <w:marTop w:val="0"/>
      <w:marBottom w:val="0"/>
      <w:divBdr>
        <w:top w:val="none" w:sz="0" w:space="0" w:color="auto"/>
        <w:left w:val="none" w:sz="0" w:space="0" w:color="auto"/>
        <w:bottom w:val="none" w:sz="0" w:space="0" w:color="auto"/>
        <w:right w:val="none" w:sz="0" w:space="0" w:color="auto"/>
      </w:divBdr>
      <w:divsChild>
        <w:div w:id="1878276527">
          <w:marLeft w:val="0"/>
          <w:marRight w:val="0"/>
          <w:marTop w:val="0"/>
          <w:marBottom w:val="0"/>
          <w:divBdr>
            <w:top w:val="none" w:sz="0" w:space="0" w:color="auto"/>
            <w:left w:val="none" w:sz="0" w:space="0" w:color="auto"/>
            <w:bottom w:val="none" w:sz="0" w:space="0" w:color="auto"/>
            <w:right w:val="none" w:sz="0" w:space="0" w:color="auto"/>
          </w:divBdr>
        </w:div>
      </w:divsChild>
    </w:div>
    <w:div w:id="2024553784">
      <w:bodyDiv w:val="1"/>
      <w:marLeft w:val="0"/>
      <w:marRight w:val="0"/>
      <w:marTop w:val="0"/>
      <w:marBottom w:val="0"/>
      <w:divBdr>
        <w:top w:val="none" w:sz="0" w:space="0" w:color="auto"/>
        <w:left w:val="none" w:sz="0" w:space="0" w:color="auto"/>
        <w:bottom w:val="none" w:sz="0" w:space="0" w:color="auto"/>
        <w:right w:val="none" w:sz="0" w:space="0" w:color="auto"/>
      </w:divBdr>
    </w:div>
    <w:div w:id="2024746573">
      <w:bodyDiv w:val="1"/>
      <w:marLeft w:val="0"/>
      <w:marRight w:val="0"/>
      <w:marTop w:val="0"/>
      <w:marBottom w:val="0"/>
      <w:divBdr>
        <w:top w:val="none" w:sz="0" w:space="0" w:color="auto"/>
        <w:left w:val="none" w:sz="0" w:space="0" w:color="auto"/>
        <w:bottom w:val="none" w:sz="0" w:space="0" w:color="auto"/>
        <w:right w:val="none" w:sz="0" w:space="0" w:color="auto"/>
      </w:divBdr>
    </w:div>
    <w:div w:id="2031759810">
      <w:bodyDiv w:val="1"/>
      <w:marLeft w:val="0"/>
      <w:marRight w:val="0"/>
      <w:marTop w:val="0"/>
      <w:marBottom w:val="0"/>
      <w:divBdr>
        <w:top w:val="none" w:sz="0" w:space="0" w:color="auto"/>
        <w:left w:val="none" w:sz="0" w:space="0" w:color="auto"/>
        <w:bottom w:val="none" w:sz="0" w:space="0" w:color="auto"/>
        <w:right w:val="none" w:sz="0" w:space="0" w:color="auto"/>
      </w:divBdr>
    </w:div>
    <w:div w:id="2031879268">
      <w:bodyDiv w:val="1"/>
      <w:marLeft w:val="0"/>
      <w:marRight w:val="0"/>
      <w:marTop w:val="0"/>
      <w:marBottom w:val="0"/>
      <w:divBdr>
        <w:top w:val="none" w:sz="0" w:space="0" w:color="auto"/>
        <w:left w:val="none" w:sz="0" w:space="0" w:color="auto"/>
        <w:bottom w:val="none" w:sz="0" w:space="0" w:color="auto"/>
        <w:right w:val="none" w:sz="0" w:space="0" w:color="auto"/>
      </w:divBdr>
    </w:div>
    <w:div w:id="2032105386">
      <w:bodyDiv w:val="1"/>
      <w:marLeft w:val="0"/>
      <w:marRight w:val="0"/>
      <w:marTop w:val="0"/>
      <w:marBottom w:val="0"/>
      <w:divBdr>
        <w:top w:val="none" w:sz="0" w:space="0" w:color="auto"/>
        <w:left w:val="none" w:sz="0" w:space="0" w:color="auto"/>
        <w:bottom w:val="none" w:sz="0" w:space="0" w:color="auto"/>
        <w:right w:val="none" w:sz="0" w:space="0" w:color="auto"/>
      </w:divBdr>
    </w:div>
    <w:div w:id="2035576163">
      <w:bodyDiv w:val="1"/>
      <w:marLeft w:val="0"/>
      <w:marRight w:val="0"/>
      <w:marTop w:val="0"/>
      <w:marBottom w:val="0"/>
      <w:divBdr>
        <w:top w:val="none" w:sz="0" w:space="0" w:color="auto"/>
        <w:left w:val="none" w:sz="0" w:space="0" w:color="auto"/>
        <w:bottom w:val="none" w:sz="0" w:space="0" w:color="auto"/>
        <w:right w:val="none" w:sz="0" w:space="0" w:color="auto"/>
      </w:divBdr>
    </w:div>
    <w:div w:id="2036732389">
      <w:bodyDiv w:val="1"/>
      <w:marLeft w:val="0"/>
      <w:marRight w:val="0"/>
      <w:marTop w:val="0"/>
      <w:marBottom w:val="0"/>
      <w:divBdr>
        <w:top w:val="none" w:sz="0" w:space="0" w:color="auto"/>
        <w:left w:val="none" w:sz="0" w:space="0" w:color="auto"/>
        <w:bottom w:val="none" w:sz="0" w:space="0" w:color="auto"/>
        <w:right w:val="none" w:sz="0" w:space="0" w:color="auto"/>
      </w:divBdr>
    </w:div>
    <w:div w:id="2037150926">
      <w:bodyDiv w:val="1"/>
      <w:marLeft w:val="0"/>
      <w:marRight w:val="0"/>
      <w:marTop w:val="0"/>
      <w:marBottom w:val="0"/>
      <w:divBdr>
        <w:top w:val="none" w:sz="0" w:space="0" w:color="auto"/>
        <w:left w:val="none" w:sz="0" w:space="0" w:color="auto"/>
        <w:bottom w:val="none" w:sz="0" w:space="0" w:color="auto"/>
        <w:right w:val="none" w:sz="0" w:space="0" w:color="auto"/>
      </w:divBdr>
    </w:div>
    <w:div w:id="2039621000">
      <w:bodyDiv w:val="1"/>
      <w:marLeft w:val="0"/>
      <w:marRight w:val="0"/>
      <w:marTop w:val="0"/>
      <w:marBottom w:val="0"/>
      <w:divBdr>
        <w:top w:val="none" w:sz="0" w:space="0" w:color="auto"/>
        <w:left w:val="none" w:sz="0" w:space="0" w:color="auto"/>
        <w:bottom w:val="none" w:sz="0" w:space="0" w:color="auto"/>
        <w:right w:val="none" w:sz="0" w:space="0" w:color="auto"/>
      </w:divBdr>
    </w:div>
    <w:div w:id="2044549486">
      <w:bodyDiv w:val="1"/>
      <w:marLeft w:val="0"/>
      <w:marRight w:val="0"/>
      <w:marTop w:val="0"/>
      <w:marBottom w:val="0"/>
      <w:divBdr>
        <w:top w:val="none" w:sz="0" w:space="0" w:color="auto"/>
        <w:left w:val="none" w:sz="0" w:space="0" w:color="auto"/>
        <w:bottom w:val="none" w:sz="0" w:space="0" w:color="auto"/>
        <w:right w:val="none" w:sz="0" w:space="0" w:color="auto"/>
      </w:divBdr>
    </w:div>
    <w:div w:id="2045321125">
      <w:bodyDiv w:val="1"/>
      <w:marLeft w:val="0"/>
      <w:marRight w:val="0"/>
      <w:marTop w:val="0"/>
      <w:marBottom w:val="0"/>
      <w:divBdr>
        <w:top w:val="none" w:sz="0" w:space="0" w:color="auto"/>
        <w:left w:val="none" w:sz="0" w:space="0" w:color="auto"/>
        <w:bottom w:val="none" w:sz="0" w:space="0" w:color="auto"/>
        <w:right w:val="none" w:sz="0" w:space="0" w:color="auto"/>
      </w:divBdr>
    </w:div>
    <w:div w:id="2047638379">
      <w:bodyDiv w:val="1"/>
      <w:marLeft w:val="0"/>
      <w:marRight w:val="0"/>
      <w:marTop w:val="0"/>
      <w:marBottom w:val="0"/>
      <w:divBdr>
        <w:top w:val="none" w:sz="0" w:space="0" w:color="auto"/>
        <w:left w:val="none" w:sz="0" w:space="0" w:color="auto"/>
        <w:bottom w:val="none" w:sz="0" w:space="0" w:color="auto"/>
        <w:right w:val="none" w:sz="0" w:space="0" w:color="auto"/>
      </w:divBdr>
    </w:div>
    <w:div w:id="2047833600">
      <w:bodyDiv w:val="1"/>
      <w:marLeft w:val="0"/>
      <w:marRight w:val="0"/>
      <w:marTop w:val="0"/>
      <w:marBottom w:val="0"/>
      <w:divBdr>
        <w:top w:val="none" w:sz="0" w:space="0" w:color="auto"/>
        <w:left w:val="none" w:sz="0" w:space="0" w:color="auto"/>
        <w:bottom w:val="none" w:sz="0" w:space="0" w:color="auto"/>
        <w:right w:val="none" w:sz="0" w:space="0" w:color="auto"/>
      </w:divBdr>
    </w:div>
    <w:div w:id="2052873079">
      <w:bodyDiv w:val="1"/>
      <w:marLeft w:val="0"/>
      <w:marRight w:val="0"/>
      <w:marTop w:val="0"/>
      <w:marBottom w:val="0"/>
      <w:divBdr>
        <w:top w:val="none" w:sz="0" w:space="0" w:color="auto"/>
        <w:left w:val="none" w:sz="0" w:space="0" w:color="auto"/>
        <w:bottom w:val="none" w:sz="0" w:space="0" w:color="auto"/>
        <w:right w:val="none" w:sz="0" w:space="0" w:color="auto"/>
      </w:divBdr>
    </w:div>
    <w:div w:id="2052918758">
      <w:bodyDiv w:val="1"/>
      <w:marLeft w:val="0"/>
      <w:marRight w:val="0"/>
      <w:marTop w:val="0"/>
      <w:marBottom w:val="0"/>
      <w:divBdr>
        <w:top w:val="none" w:sz="0" w:space="0" w:color="auto"/>
        <w:left w:val="none" w:sz="0" w:space="0" w:color="auto"/>
        <w:bottom w:val="none" w:sz="0" w:space="0" w:color="auto"/>
        <w:right w:val="none" w:sz="0" w:space="0" w:color="auto"/>
      </w:divBdr>
    </w:div>
    <w:div w:id="2055425289">
      <w:bodyDiv w:val="1"/>
      <w:marLeft w:val="0"/>
      <w:marRight w:val="0"/>
      <w:marTop w:val="0"/>
      <w:marBottom w:val="0"/>
      <w:divBdr>
        <w:top w:val="none" w:sz="0" w:space="0" w:color="auto"/>
        <w:left w:val="none" w:sz="0" w:space="0" w:color="auto"/>
        <w:bottom w:val="none" w:sz="0" w:space="0" w:color="auto"/>
        <w:right w:val="none" w:sz="0" w:space="0" w:color="auto"/>
      </w:divBdr>
    </w:div>
    <w:div w:id="2057776048">
      <w:bodyDiv w:val="1"/>
      <w:marLeft w:val="0"/>
      <w:marRight w:val="0"/>
      <w:marTop w:val="0"/>
      <w:marBottom w:val="0"/>
      <w:divBdr>
        <w:top w:val="none" w:sz="0" w:space="0" w:color="auto"/>
        <w:left w:val="none" w:sz="0" w:space="0" w:color="auto"/>
        <w:bottom w:val="none" w:sz="0" w:space="0" w:color="auto"/>
        <w:right w:val="none" w:sz="0" w:space="0" w:color="auto"/>
      </w:divBdr>
    </w:div>
    <w:div w:id="2058780194">
      <w:bodyDiv w:val="1"/>
      <w:marLeft w:val="0"/>
      <w:marRight w:val="0"/>
      <w:marTop w:val="0"/>
      <w:marBottom w:val="0"/>
      <w:divBdr>
        <w:top w:val="none" w:sz="0" w:space="0" w:color="auto"/>
        <w:left w:val="none" w:sz="0" w:space="0" w:color="auto"/>
        <w:bottom w:val="none" w:sz="0" w:space="0" w:color="auto"/>
        <w:right w:val="none" w:sz="0" w:space="0" w:color="auto"/>
      </w:divBdr>
    </w:div>
    <w:div w:id="2063170656">
      <w:bodyDiv w:val="1"/>
      <w:marLeft w:val="0"/>
      <w:marRight w:val="0"/>
      <w:marTop w:val="0"/>
      <w:marBottom w:val="0"/>
      <w:divBdr>
        <w:top w:val="none" w:sz="0" w:space="0" w:color="auto"/>
        <w:left w:val="none" w:sz="0" w:space="0" w:color="auto"/>
        <w:bottom w:val="none" w:sz="0" w:space="0" w:color="auto"/>
        <w:right w:val="none" w:sz="0" w:space="0" w:color="auto"/>
      </w:divBdr>
    </w:div>
    <w:div w:id="2064870173">
      <w:bodyDiv w:val="1"/>
      <w:marLeft w:val="0"/>
      <w:marRight w:val="0"/>
      <w:marTop w:val="0"/>
      <w:marBottom w:val="0"/>
      <w:divBdr>
        <w:top w:val="none" w:sz="0" w:space="0" w:color="auto"/>
        <w:left w:val="none" w:sz="0" w:space="0" w:color="auto"/>
        <w:bottom w:val="none" w:sz="0" w:space="0" w:color="auto"/>
        <w:right w:val="none" w:sz="0" w:space="0" w:color="auto"/>
      </w:divBdr>
    </w:div>
    <w:div w:id="2066443352">
      <w:bodyDiv w:val="1"/>
      <w:marLeft w:val="0"/>
      <w:marRight w:val="0"/>
      <w:marTop w:val="0"/>
      <w:marBottom w:val="0"/>
      <w:divBdr>
        <w:top w:val="none" w:sz="0" w:space="0" w:color="auto"/>
        <w:left w:val="none" w:sz="0" w:space="0" w:color="auto"/>
        <w:bottom w:val="none" w:sz="0" w:space="0" w:color="auto"/>
        <w:right w:val="none" w:sz="0" w:space="0" w:color="auto"/>
      </w:divBdr>
    </w:div>
    <w:div w:id="2068064551">
      <w:bodyDiv w:val="1"/>
      <w:marLeft w:val="0"/>
      <w:marRight w:val="0"/>
      <w:marTop w:val="0"/>
      <w:marBottom w:val="0"/>
      <w:divBdr>
        <w:top w:val="none" w:sz="0" w:space="0" w:color="auto"/>
        <w:left w:val="none" w:sz="0" w:space="0" w:color="auto"/>
        <w:bottom w:val="none" w:sz="0" w:space="0" w:color="auto"/>
        <w:right w:val="none" w:sz="0" w:space="0" w:color="auto"/>
      </w:divBdr>
    </w:div>
    <w:div w:id="2073889085">
      <w:bodyDiv w:val="1"/>
      <w:marLeft w:val="0"/>
      <w:marRight w:val="0"/>
      <w:marTop w:val="0"/>
      <w:marBottom w:val="0"/>
      <w:divBdr>
        <w:top w:val="none" w:sz="0" w:space="0" w:color="auto"/>
        <w:left w:val="none" w:sz="0" w:space="0" w:color="auto"/>
        <w:bottom w:val="none" w:sz="0" w:space="0" w:color="auto"/>
        <w:right w:val="none" w:sz="0" w:space="0" w:color="auto"/>
      </w:divBdr>
    </w:div>
    <w:div w:id="2076394623">
      <w:bodyDiv w:val="1"/>
      <w:marLeft w:val="0"/>
      <w:marRight w:val="0"/>
      <w:marTop w:val="0"/>
      <w:marBottom w:val="0"/>
      <w:divBdr>
        <w:top w:val="none" w:sz="0" w:space="0" w:color="auto"/>
        <w:left w:val="none" w:sz="0" w:space="0" w:color="auto"/>
        <w:bottom w:val="none" w:sz="0" w:space="0" w:color="auto"/>
        <w:right w:val="none" w:sz="0" w:space="0" w:color="auto"/>
      </w:divBdr>
    </w:div>
    <w:div w:id="2078746464">
      <w:bodyDiv w:val="1"/>
      <w:marLeft w:val="0"/>
      <w:marRight w:val="0"/>
      <w:marTop w:val="0"/>
      <w:marBottom w:val="0"/>
      <w:divBdr>
        <w:top w:val="none" w:sz="0" w:space="0" w:color="auto"/>
        <w:left w:val="none" w:sz="0" w:space="0" w:color="auto"/>
        <w:bottom w:val="none" w:sz="0" w:space="0" w:color="auto"/>
        <w:right w:val="none" w:sz="0" w:space="0" w:color="auto"/>
      </w:divBdr>
    </w:div>
    <w:div w:id="2080518875">
      <w:bodyDiv w:val="1"/>
      <w:marLeft w:val="0"/>
      <w:marRight w:val="0"/>
      <w:marTop w:val="0"/>
      <w:marBottom w:val="0"/>
      <w:divBdr>
        <w:top w:val="none" w:sz="0" w:space="0" w:color="auto"/>
        <w:left w:val="none" w:sz="0" w:space="0" w:color="auto"/>
        <w:bottom w:val="none" w:sz="0" w:space="0" w:color="auto"/>
        <w:right w:val="none" w:sz="0" w:space="0" w:color="auto"/>
      </w:divBdr>
    </w:div>
    <w:div w:id="2085374127">
      <w:bodyDiv w:val="1"/>
      <w:marLeft w:val="0"/>
      <w:marRight w:val="0"/>
      <w:marTop w:val="0"/>
      <w:marBottom w:val="0"/>
      <w:divBdr>
        <w:top w:val="none" w:sz="0" w:space="0" w:color="auto"/>
        <w:left w:val="none" w:sz="0" w:space="0" w:color="auto"/>
        <w:bottom w:val="none" w:sz="0" w:space="0" w:color="auto"/>
        <w:right w:val="none" w:sz="0" w:space="0" w:color="auto"/>
      </w:divBdr>
    </w:div>
    <w:div w:id="2086418472">
      <w:bodyDiv w:val="1"/>
      <w:marLeft w:val="0"/>
      <w:marRight w:val="0"/>
      <w:marTop w:val="0"/>
      <w:marBottom w:val="0"/>
      <w:divBdr>
        <w:top w:val="none" w:sz="0" w:space="0" w:color="auto"/>
        <w:left w:val="none" w:sz="0" w:space="0" w:color="auto"/>
        <w:bottom w:val="none" w:sz="0" w:space="0" w:color="auto"/>
        <w:right w:val="none" w:sz="0" w:space="0" w:color="auto"/>
      </w:divBdr>
    </w:div>
    <w:div w:id="2087722677">
      <w:bodyDiv w:val="1"/>
      <w:marLeft w:val="0"/>
      <w:marRight w:val="0"/>
      <w:marTop w:val="0"/>
      <w:marBottom w:val="0"/>
      <w:divBdr>
        <w:top w:val="none" w:sz="0" w:space="0" w:color="auto"/>
        <w:left w:val="none" w:sz="0" w:space="0" w:color="auto"/>
        <w:bottom w:val="none" w:sz="0" w:space="0" w:color="auto"/>
        <w:right w:val="none" w:sz="0" w:space="0" w:color="auto"/>
      </w:divBdr>
    </w:div>
    <w:div w:id="2087797276">
      <w:bodyDiv w:val="1"/>
      <w:marLeft w:val="0"/>
      <w:marRight w:val="0"/>
      <w:marTop w:val="0"/>
      <w:marBottom w:val="0"/>
      <w:divBdr>
        <w:top w:val="none" w:sz="0" w:space="0" w:color="auto"/>
        <w:left w:val="none" w:sz="0" w:space="0" w:color="auto"/>
        <w:bottom w:val="none" w:sz="0" w:space="0" w:color="auto"/>
        <w:right w:val="none" w:sz="0" w:space="0" w:color="auto"/>
      </w:divBdr>
    </w:div>
    <w:div w:id="2088576114">
      <w:bodyDiv w:val="1"/>
      <w:marLeft w:val="0"/>
      <w:marRight w:val="0"/>
      <w:marTop w:val="0"/>
      <w:marBottom w:val="0"/>
      <w:divBdr>
        <w:top w:val="none" w:sz="0" w:space="0" w:color="auto"/>
        <w:left w:val="none" w:sz="0" w:space="0" w:color="auto"/>
        <w:bottom w:val="none" w:sz="0" w:space="0" w:color="auto"/>
        <w:right w:val="none" w:sz="0" w:space="0" w:color="auto"/>
      </w:divBdr>
    </w:div>
    <w:div w:id="2089885212">
      <w:bodyDiv w:val="1"/>
      <w:marLeft w:val="0"/>
      <w:marRight w:val="0"/>
      <w:marTop w:val="0"/>
      <w:marBottom w:val="0"/>
      <w:divBdr>
        <w:top w:val="none" w:sz="0" w:space="0" w:color="auto"/>
        <w:left w:val="none" w:sz="0" w:space="0" w:color="auto"/>
        <w:bottom w:val="none" w:sz="0" w:space="0" w:color="auto"/>
        <w:right w:val="none" w:sz="0" w:space="0" w:color="auto"/>
      </w:divBdr>
    </w:div>
    <w:div w:id="2092576419">
      <w:bodyDiv w:val="1"/>
      <w:marLeft w:val="0"/>
      <w:marRight w:val="0"/>
      <w:marTop w:val="0"/>
      <w:marBottom w:val="0"/>
      <w:divBdr>
        <w:top w:val="none" w:sz="0" w:space="0" w:color="auto"/>
        <w:left w:val="none" w:sz="0" w:space="0" w:color="auto"/>
        <w:bottom w:val="none" w:sz="0" w:space="0" w:color="auto"/>
        <w:right w:val="none" w:sz="0" w:space="0" w:color="auto"/>
      </w:divBdr>
    </w:div>
    <w:div w:id="2097051941">
      <w:bodyDiv w:val="1"/>
      <w:marLeft w:val="0"/>
      <w:marRight w:val="0"/>
      <w:marTop w:val="0"/>
      <w:marBottom w:val="0"/>
      <w:divBdr>
        <w:top w:val="none" w:sz="0" w:space="0" w:color="auto"/>
        <w:left w:val="none" w:sz="0" w:space="0" w:color="auto"/>
        <w:bottom w:val="none" w:sz="0" w:space="0" w:color="auto"/>
        <w:right w:val="none" w:sz="0" w:space="0" w:color="auto"/>
      </w:divBdr>
    </w:div>
    <w:div w:id="2098553593">
      <w:bodyDiv w:val="1"/>
      <w:marLeft w:val="0"/>
      <w:marRight w:val="0"/>
      <w:marTop w:val="0"/>
      <w:marBottom w:val="0"/>
      <w:divBdr>
        <w:top w:val="none" w:sz="0" w:space="0" w:color="auto"/>
        <w:left w:val="none" w:sz="0" w:space="0" w:color="auto"/>
        <w:bottom w:val="none" w:sz="0" w:space="0" w:color="auto"/>
        <w:right w:val="none" w:sz="0" w:space="0" w:color="auto"/>
      </w:divBdr>
    </w:div>
    <w:div w:id="2110924466">
      <w:bodyDiv w:val="1"/>
      <w:marLeft w:val="0"/>
      <w:marRight w:val="0"/>
      <w:marTop w:val="0"/>
      <w:marBottom w:val="0"/>
      <w:divBdr>
        <w:top w:val="none" w:sz="0" w:space="0" w:color="auto"/>
        <w:left w:val="none" w:sz="0" w:space="0" w:color="auto"/>
        <w:bottom w:val="none" w:sz="0" w:space="0" w:color="auto"/>
        <w:right w:val="none" w:sz="0" w:space="0" w:color="auto"/>
      </w:divBdr>
    </w:div>
    <w:div w:id="2111583878">
      <w:bodyDiv w:val="1"/>
      <w:marLeft w:val="0"/>
      <w:marRight w:val="0"/>
      <w:marTop w:val="0"/>
      <w:marBottom w:val="0"/>
      <w:divBdr>
        <w:top w:val="none" w:sz="0" w:space="0" w:color="auto"/>
        <w:left w:val="none" w:sz="0" w:space="0" w:color="auto"/>
        <w:bottom w:val="none" w:sz="0" w:space="0" w:color="auto"/>
        <w:right w:val="none" w:sz="0" w:space="0" w:color="auto"/>
      </w:divBdr>
    </w:div>
    <w:div w:id="2114082707">
      <w:bodyDiv w:val="1"/>
      <w:marLeft w:val="0"/>
      <w:marRight w:val="0"/>
      <w:marTop w:val="0"/>
      <w:marBottom w:val="0"/>
      <w:divBdr>
        <w:top w:val="none" w:sz="0" w:space="0" w:color="auto"/>
        <w:left w:val="none" w:sz="0" w:space="0" w:color="auto"/>
        <w:bottom w:val="none" w:sz="0" w:space="0" w:color="auto"/>
        <w:right w:val="none" w:sz="0" w:space="0" w:color="auto"/>
      </w:divBdr>
    </w:div>
    <w:div w:id="2116175007">
      <w:bodyDiv w:val="1"/>
      <w:marLeft w:val="0"/>
      <w:marRight w:val="0"/>
      <w:marTop w:val="0"/>
      <w:marBottom w:val="0"/>
      <w:divBdr>
        <w:top w:val="none" w:sz="0" w:space="0" w:color="auto"/>
        <w:left w:val="none" w:sz="0" w:space="0" w:color="auto"/>
        <w:bottom w:val="none" w:sz="0" w:space="0" w:color="auto"/>
        <w:right w:val="none" w:sz="0" w:space="0" w:color="auto"/>
      </w:divBdr>
    </w:div>
    <w:div w:id="2116900903">
      <w:bodyDiv w:val="1"/>
      <w:marLeft w:val="0"/>
      <w:marRight w:val="0"/>
      <w:marTop w:val="0"/>
      <w:marBottom w:val="0"/>
      <w:divBdr>
        <w:top w:val="none" w:sz="0" w:space="0" w:color="auto"/>
        <w:left w:val="none" w:sz="0" w:space="0" w:color="auto"/>
        <w:bottom w:val="none" w:sz="0" w:space="0" w:color="auto"/>
        <w:right w:val="none" w:sz="0" w:space="0" w:color="auto"/>
      </w:divBdr>
    </w:div>
    <w:div w:id="2119831037">
      <w:bodyDiv w:val="1"/>
      <w:marLeft w:val="0"/>
      <w:marRight w:val="0"/>
      <w:marTop w:val="0"/>
      <w:marBottom w:val="0"/>
      <w:divBdr>
        <w:top w:val="none" w:sz="0" w:space="0" w:color="auto"/>
        <w:left w:val="none" w:sz="0" w:space="0" w:color="auto"/>
        <w:bottom w:val="none" w:sz="0" w:space="0" w:color="auto"/>
        <w:right w:val="none" w:sz="0" w:space="0" w:color="auto"/>
      </w:divBdr>
    </w:div>
    <w:div w:id="2120877809">
      <w:bodyDiv w:val="1"/>
      <w:marLeft w:val="0"/>
      <w:marRight w:val="0"/>
      <w:marTop w:val="0"/>
      <w:marBottom w:val="0"/>
      <w:divBdr>
        <w:top w:val="none" w:sz="0" w:space="0" w:color="auto"/>
        <w:left w:val="none" w:sz="0" w:space="0" w:color="auto"/>
        <w:bottom w:val="none" w:sz="0" w:space="0" w:color="auto"/>
        <w:right w:val="none" w:sz="0" w:space="0" w:color="auto"/>
      </w:divBdr>
    </w:div>
    <w:div w:id="2124104872">
      <w:bodyDiv w:val="1"/>
      <w:marLeft w:val="0"/>
      <w:marRight w:val="0"/>
      <w:marTop w:val="0"/>
      <w:marBottom w:val="0"/>
      <w:divBdr>
        <w:top w:val="none" w:sz="0" w:space="0" w:color="auto"/>
        <w:left w:val="none" w:sz="0" w:space="0" w:color="auto"/>
        <w:bottom w:val="none" w:sz="0" w:space="0" w:color="auto"/>
        <w:right w:val="none" w:sz="0" w:space="0" w:color="auto"/>
      </w:divBdr>
    </w:div>
    <w:div w:id="2128349458">
      <w:bodyDiv w:val="1"/>
      <w:marLeft w:val="0"/>
      <w:marRight w:val="0"/>
      <w:marTop w:val="0"/>
      <w:marBottom w:val="0"/>
      <w:divBdr>
        <w:top w:val="none" w:sz="0" w:space="0" w:color="auto"/>
        <w:left w:val="none" w:sz="0" w:space="0" w:color="auto"/>
        <w:bottom w:val="none" w:sz="0" w:space="0" w:color="auto"/>
        <w:right w:val="none" w:sz="0" w:space="0" w:color="auto"/>
      </w:divBdr>
    </w:div>
    <w:div w:id="2131125676">
      <w:bodyDiv w:val="1"/>
      <w:marLeft w:val="0"/>
      <w:marRight w:val="0"/>
      <w:marTop w:val="0"/>
      <w:marBottom w:val="0"/>
      <w:divBdr>
        <w:top w:val="none" w:sz="0" w:space="0" w:color="auto"/>
        <w:left w:val="none" w:sz="0" w:space="0" w:color="auto"/>
        <w:bottom w:val="none" w:sz="0" w:space="0" w:color="auto"/>
        <w:right w:val="none" w:sz="0" w:space="0" w:color="auto"/>
      </w:divBdr>
    </w:div>
    <w:div w:id="2134247162">
      <w:bodyDiv w:val="1"/>
      <w:marLeft w:val="0"/>
      <w:marRight w:val="0"/>
      <w:marTop w:val="0"/>
      <w:marBottom w:val="0"/>
      <w:divBdr>
        <w:top w:val="none" w:sz="0" w:space="0" w:color="auto"/>
        <w:left w:val="none" w:sz="0" w:space="0" w:color="auto"/>
        <w:bottom w:val="none" w:sz="0" w:space="0" w:color="auto"/>
        <w:right w:val="none" w:sz="0" w:space="0" w:color="auto"/>
      </w:divBdr>
    </w:div>
    <w:div w:id="2134707771">
      <w:bodyDiv w:val="1"/>
      <w:marLeft w:val="0"/>
      <w:marRight w:val="0"/>
      <w:marTop w:val="0"/>
      <w:marBottom w:val="0"/>
      <w:divBdr>
        <w:top w:val="none" w:sz="0" w:space="0" w:color="auto"/>
        <w:left w:val="none" w:sz="0" w:space="0" w:color="auto"/>
        <w:bottom w:val="none" w:sz="0" w:space="0" w:color="auto"/>
        <w:right w:val="none" w:sz="0" w:space="0" w:color="auto"/>
      </w:divBdr>
    </w:div>
    <w:div w:id="2135246247">
      <w:bodyDiv w:val="1"/>
      <w:marLeft w:val="0"/>
      <w:marRight w:val="0"/>
      <w:marTop w:val="0"/>
      <w:marBottom w:val="0"/>
      <w:divBdr>
        <w:top w:val="none" w:sz="0" w:space="0" w:color="auto"/>
        <w:left w:val="none" w:sz="0" w:space="0" w:color="auto"/>
        <w:bottom w:val="none" w:sz="0" w:space="0" w:color="auto"/>
        <w:right w:val="none" w:sz="0" w:space="0" w:color="auto"/>
      </w:divBdr>
    </w:div>
    <w:div w:id="2135561872">
      <w:bodyDiv w:val="1"/>
      <w:marLeft w:val="0"/>
      <w:marRight w:val="0"/>
      <w:marTop w:val="0"/>
      <w:marBottom w:val="0"/>
      <w:divBdr>
        <w:top w:val="none" w:sz="0" w:space="0" w:color="auto"/>
        <w:left w:val="none" w:sz="0" w:space="0" w:color="auto"/>
        <w:bottom w:val="none" w:sz="0" w:space="0" w:color="auto"/>
        <w:right w:val="none" w:sz="0" w:space="0" w:color="auto"/>
      </w:divBdr>
    </w:div>
    <w:div w:id="2138524076">
      <w:bodyDiv w:val="1"/>
      <w:marLeft w:val="0"/>
      <w:marRight w:val="0"/>
      <w:marTop w:val="0"/>
      <w:marBottom w:val="0"/>
      <w:divBdr>
        <w:top w:val="none" w:sz="0" w:space="0" w:color="auto"/>
        <w:left w:val="none" w:sz="0" w:space="0" w:color="auto"/>
        <w:bottom w:val="none" w:sz="0" w:space="0" w:color="auto"/>
        <w:right w:val="none" w:sz="0" w:space="0" w:color="auto"/>
      </w:divBdr>
    </w:div>
    <w:div w:id="2139568823">
      <w:bodyDiv w:val="1"/>
      <w:marLeft w:val="0"/>
      <w:marRight w:val="0"/>
      <w:marTop w:val="0"/>
      <w:marBottom w:val="0"/>
      <w:divBdr>
        <w:top w:val="none" w:sz="0" w:space="0" w:color="auto"/>
        <w:left w:val="none" w:sz="0" w:space="0" w:color="auto"/>
        <w:bottom w:val="none" w:sz="0" w:space="0" w:color="auto"/>
        <w:right w:val="none" w:sz="0" w:space="0" w:color="auto"/>
      </w:divBdr>
    </w:div>
    <w:div w:id="2145387620">
      <w:bodyDiv w:val="1"/>
      <w:marLeft w:val="0"/>
      <w:marRight w:val="0"/>
      <w:marTop w:val="0"/>
      <w:marBottom w:val="0"/>
      <w:divBdr>
        <w:top w:val="none" w:sz="0" w:space="0" w:color="auto"/>
        <w:left w:val="none" w:sz="0" w:space="0" w:color="auto"/>
        <w:bottom w:val="none" w:sz="0" w:space="0" w:color="auto"/>
        <w:right w:val="none" w:sz="0" w:space="0" w:color="auto"/>
      </w:divBdr>
    </w:div>
    <w:div w:id="214677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hyperlink" Target="https://www.sebi.gov.in/reports-and-statistics.html" TargetMode="External"/><Relationship Id="rId3" Type="http://schemas.openxmlformats.org/officeDocument/2006/relationships/customXml" Target="../customXml/item3.xml"/><Relationship Id="rId21" Type="http://schemas.openxmlformats.org/officeDocument/2006/relationships/chart" Target="charts/chart5.xml"/><Relationship Id="rId34" Type="http://schemas.openxmlformats.org/officeDocument/2006/relationships/image" Target="media/image1.png"/><Relationship Id="rId42"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hyperlink" Target="https://www.fsb.org/2022/02/approaches-to-debt-overhang-issues-of-non-financial-corporates-discussion-paper/" TargetMode="External"/><Relationship Id="rId2" Type="http://schemas.openxmlformats.org/officeDocument/2006/relationships/customXml" Target="../customXml/item2.xml"/><Relationship Id="rId16" Type="http://schemas.openxmlformats.org/officeDocument/2006/relationships/hyperlink" Target="mailto:bulletin@sebi.gov.in" TargetMode="External"/><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hyperlink" Target="https://www.fsb.org/2022/02/assessment-of-risks-to-financial-stability-from-crypto-assets/"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ebi.gov.in/reports-and-statistics.html" TargetMode="Externa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hyperlink" Target="https://www.esma.europa.eu/sites/default/files/library/esma30-379-1051_sustainable_finance_roadmap.pdf" TargetMode="External"/><Relationship Id="rId10" Type="http://schemas.openxmlformats.org/officeDocument/2006/relationships/styles" Target="styles.xml"/><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8.xml"/><Relationship Id="rId43"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Work\Bulletin\March%202022\CMR%20Feb%20202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Work\Bulletin\March%202022\CMR%20Feb%20202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Work\Bulletin\March%202022\CMR%20Feb%202022.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Work\Bulletin\March%202022\CMR%20Feb%202022.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E:\C%20DRIVE%20DATA%20BACKUP%2019-12-2019\Desktop\Data%20Repository\Demat%20Account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D:\Work\Bulletin\March%202022\CMR%20Feb%202022.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D:\Work\Bulletin\March%202022\CMR%20Feb%202022.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D:\Work\Bulletin\March%202022\CMR%20Feb%202022.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E:\C%20DRIVE%20DATA%20BACKUP%2019-12-2019\Desktop\Bulletin\Workings-Jan%202022.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E:\C%20DRIVE%20DATA%20BACKUP%2019-12-2019\Desktop\Bulletin\Workings-Jan%202022.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E:\C%20DRIVE%20DATA%20BACKUP%2019-12-2019\Desktop\Bulletin\Workings-Jan%202022.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E:\C%20DRIVE%20DATA%20BACKUP%2019-12-2019\Desktop\Bulletin\Workings-Jan%202022.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D:\SUMIT%20DATA\01.%20Monthly\00.%20Working\CRD_Bulletin_Mar-22%20V2.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D:\SUMIT%20DATA\01.%20Monthly\00.%20Working\CRD_Bulletin_Mar-22%20V2.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D:\SUMIT%20DATA\01.%20Monthly\00.%20Working\CRD_Bulletin_Mar-22%20V2.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D:\SUMIT%20DATA\01.%20Monthly\00.%20Working\CRD_Bulletin_Mar-22%20V2.xlsx" TargetMode="External"/></Relationships>
</file>

<file path=word/charts/_rels/chart17.xml.rels><?xml version="1.0" encoding="UTF-8" standalone="yes"?>
<Relationships xmlns="http://schemas.openxmlformats.org/package/2006/relationships"><Relationship Id="rId3" Type="http://schemas.openxmlformats.org/officeDocument/2006/relationships/oleObject" Target="file:///D:\vimal%20backup\SEBI%20WORK%203-%20DEPA1\2021-22%20DEPA1\DEPA1%20Bulletin%20-GMR\2022%2003%20gmr\2022%2003%20GMR%20NEW.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vimal%20backup\SEBI%20WORK%203-%20DEPA1\2021-22%20DEPA1\DEPA1%20Bulletin%20-GMR\2022%2003%20gmr\2022%2003%20GMR%20NEW.XLSX"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244415876586854E-2"/>
          <c:y val="5.4054054054054057E-2"/>
          <c:w val="0.88945476458299855"/>
          <c:h val="0.6602522408503616"/>
        </c:manualLayout>
      </c:layout>
      <c:lineChart>
        <c:grouping val="standard"/>
        <c:varyColors val="0"/>
        <c:ser>
          <c:idx val="0"/>
          <c:order val="0"/>
          <c:tx>
            <c:strRef>
              <c:f>Indices!$F$1</c:f>
              <c:strCache>
                <c:ptCount val="1"/>
                <c:pt idx="0">
                  <c:v> NSE  </c:v>
                </c:pt>
              </c:strCache>
            </c:strRef>
          </c:tx>
          <c:spPr>
            <a:ln w="28575" cap="rnd">
              <a:solidFill>
                <a:schemeClr val="accent1"/>
              </a:solidFill>
              <a:round/>
            </a:ln>
            <a:effectLst/>
          </c:spPr>
          <c:marker>
            <c:symbol val="none"/>
          </c:marker>
          <c:cat>
            <c:numRef>
              <c:f>Indices!$E$2:$E$249</c:f>
              <c:numCache>
                <c:formatCode>d\-mmm\-yy</c:formatCode>
                <c:ptCount val="248"/>
                <c:pt idx="0">
                  <c:v>44256</c:v>
                </c:pt>
                <c:pt idx="1">
                  <c:v>44257</c:v>
                </c:pt>
                <c:pt idx="2">
                  <c:v>44258</c:v>
                </c:pt>
                <c:pt idx="3">
                  <c:v>44259</c:v>
                </c:pt>
                <c:pt idx="4">
                  <c:v>44260</c:v>
                </c:pt>
                <c:pt idx="5">
                  <c:v>44263</c:v>
                </c:pt>
                <c:pt idx="6">
                  <c:v>44264</c:v>
                </c:pt>
                <c:pt idx="7">
                  <c:v>44265</c:v>
                </c:pt>
                <c:pt idx="8">
                  <c:v>44267</c:v>
                </c:pt>
                <c:pt idx="9">
                  <c:v>44270</c:v>
                </c:pt>
                <c:pt idx="10">
                  <c:v>44271</c:v>
                </c:pt>
                <c:pt idx="11">
                  <c:v>44272</c:v>
                </c:pt>
                <c:pt idx="12">
                  <c:v>44273</c:v>
                </c:pt>
                <c:pt idx="13">
                  <c:v>44274</c:v>
                </c:pt>
                <c:pt idx="14">
                  <c:v>44277</c:v>
                </c:pt>
                <c:pt idx="15">
                  <c:v>44278</c:v>
                </c:pt>
                <c:pt idx="16">
                  <c:v>44279</c:v>
                </c:pt>
                <c:pt idx="17">
                  <c:v>44280</c:v>
                </c:pt>
                <c:pt idx="18">
                  <c:v>44281</c:v>
                </c:pt>
                <c:pt idx="19">
                  <c:v>44285</c:v>
                </c:pt>
                <c:pt idx="20">
                  <c:v>44286</c:v>
                </c:pt>
                <c:pt idx="21">
                  <c:v>44287</c:v>
                </c:pt>
                <c:pt idx="22">
                  <c:v>44291</c:v>
                </c:pt>
                <c:pt idx="23">
                  <c:v>44292</c:v>
                </c:pt>
                <c:pt idx="24">
                  <c:v>44293</c:v>
                </c:pt>
                <c:pt idx="25">
                  <c:v>44294</c:v>
                </c:pt>
                <c:pt idx="26">
                  <c:v>44295</c:v>
                </c:pt>
                <c:pt idx="27">
                  <c:v>44298</c:v>
                </c:pt>
                <c:pt idx="28">
                  <c:v>44299</c:v>
                </c:pt>
                <c:pt idx="29">
                  <c:v>44301</c:v>
                </c:pt>
                <c:pt idx="30">
                  <c:v>44302</c:v>
                </c:pt>
                <c:pt idx="31">
                  <c:v>44305</c:v>
                </c:pt>
                <c:pt idx="32">
                  <c:v>44306</c:v>
                </c:pt>
                <c:pt idx="33">
                  <c:v>44308</c:v>
                </c:pt>
                <c:pt idx="34">
                  <c:v>44309</c:v>
                </c:pt>
                <c:pt idx="35">
                  <c:v>44312</c:v>
                </c:pt>
                <c:pt idx="36">
                  <c:v>44313</c:v>
                </c:pt>
                <c:pt idx="37">
                  <c:v>44314</c:v>
                </c:pt>
                <c:pt idx="38">
                  <c:v>44315</c:v>
                </c:pt>
                <c:pt idx="39">
                  <c:v>44316</c:v>
                </c:pt>
                <c:pt idx="40">
                  <c:v>44319</c:v>
                </c:pt>
                <c:pt idx="41">
                  <c:v>44320</c:v>
                </c:pt>
                <c:pt idx="42">
                  <c:v>44321</c:v>
                </c:pt>
                <c:pt idx="43">
                  <c:v>44322</c:v>
                </c:pt>
                <c:pt idx="44">
                  <c:v>44323</c:v>
                </c:pt>
                <c:pt idx="45">
                  <c:v>44326</c:v>
                </c:pt>
                <c:pt idx="46">
                  <c:v>44327</c:v>
                </c:pt>
                <c:pt idx="47">
                  <c:v>44328</c:v>
                </c:pt>
                <c:pt idx="48">
                  <c:v>44330</c:v>
                </c:pt>
                <c:pt idx="49">
                  <c:v>44333</c:v>
                </c:pt>
                <c:pt idx="50">
                  <c:v>44334</c:v>
                </c:pt>
                <c:pt idx="51">
                  <c:v>44335</c:v>
                </c:pt>
                <c:pt idx="52">
                  <c:v>44336</c:v>
                </c:pt>
                <c:pt idx="53">
                  <c:v>44337</c:v>
                </c:pt>
                <c:pt idx="54">
                  <c:v>44340</c:v>
                </c:pt>
                <c:pt idx="55">
                  <c:v>44341</c:v>
                </c:pt>
                <c:pt idx="56">
                  <c:v>44342</c:v>
                </c:pt>
                <c:pt idx="57">
                  <c:v>44343</c:v>
                </c:pt>
                <c:pt idx="58">
                  <c:v>44344</c:v>
                </c:pt>
                <c:pt idx="59">
                  <c:v>44347</c:v>
                </c:pt>
                <c:pt idx="60">
                  <c:v>44348</c:v>
                </c:pt>
                <c:pt idx="61">
                  <c:v>44349</c:v>
                </c:pt>
                <c:pt idx="62">
                  <c:v>44350</c:v>
                </c:pt>
                <c:pt idx="63">
                  <c:v>44351</c:v>
                </c:pt>
                <c:pt idx="64">
                  <c:v>44354</c:v>
                </c:pt>
                <c:pt idx="65">
                  <c:v>44355</c:v>
                </c:pt>
                <c:pt idx="66">
                  <c:v>44356</c:v>
                </c:pt>
                <c:pt idx="67">
                  <c:v>44357</c:v>
                </c:pt>
                <c:pt idx="68">
                  <c:v>44358</c:v>
                </c:pt>
                <c:pt idx="69">
                  <c:v>44361</c:v>
                </c:pt>
                <c:pt idx="70">
                  <c:v>44362</c:v>
                </c:pt>
                <c:pt idx="71">
                  <c:v>44363</c:v>
                </c:pt>
                <c:pt idx="72">
                  <c:v>44364</c:v>
                </c:pt>
                <c:pt idx="73">
                  <c:v>44365</c:v>
                </c:pt>
                <c:pt idx="74">
                  <c:v>44368</c:v>
                </c:pt>
                <c:pt idx="75">
                  <c:v>44369</c:v>
                </c:pt>
                <c:pt idx="76">
                  <c:v>44370</c:v>
                </c:pt>
                <c:pt idx="77">
                  <c:v>44371</c:v>
                </c:pt>
                <c:pt idx="78">
                  <c:v>44372</c:v>
                </c:pt>
                <c:pt idx="79">
                  <c:v>44375</c:v>
                </c:pt>
                <c:pt idx="80">
                  <c:v>44376</c:v>
                </c:pt>
                <c:pt idx="81">
                  <c:v>44377</c:v>
                </c:pt>
                <c:pt idx="82">
                  <c:v>44378</c:v>
                </c:pt>
                <c:pt idx="83">
                  <c:v>44379</c:v>
                </c:pt>
                <c:pt idx="84">
                  <c:v>44382</c:v>
                </c:pt>
                <c:pt idx="85">
                  <c:v>44383</c:v>
                </c:pt>
                <c:pt idx="86">
                  <c:v>44384</c:v>
                </c:pt>
                <c:pt idx="87">
                  <c:v>44385</c:v>
                </c:pt>
                <c:pt idx="88">
                  <c:v>44386</c:v>
                </c:pt>
                <c:pt idx="89">
                  <c:v>44389</c:v>
                </c:pt>
                <c:pt idx="90">
                  <c:v>44390</c:v>
                </c:pt>
                <c:pt idx="91">
                  <c:v>44391</c:v>
                </c:pt>
                <c:pt idx="92">
                  <c:v>44392</c:v>
                </c:pt>
                <c:pt idx="93">
                  <c:v>44393</c:v>
                </c:pt>
                <c:pt idx="94">
                  <c:v>44396</c:v>
                </c:pt>
                <c:pt idx="95">
                  <c:v>44397</c:v>
                </c:pt>
                <c:pt idx="96">
                  <c:v>44399</c:v>
                </c:pt>
                <c:pt idx="97">
                  <c:v>44400</c:v>
                </c:pt>
                <c:pt idx="98">
                  <c:v>44403</c:v>
                </c:pt>
                <c:pt idx="99">
                  <c:v>44404</c:v>
                </c:pt>
                <c:pt idx="100">
                  <c:v>44405</c:v>
                </c:pt>
                <c:pt idx="101">
                  <c:v>44406</c:v>
                </c:pt>
                <c:pt idx="102">
                  <c:v>44407</c:v>
                </c:pt>
                <c:pt idx="103">
                  <c:v>44410</c:v>
                </c:pt>
                <c:pt idx="104">
                  <c:v>44411</c:v>
                </c:pt>
                <c:pt idx="105">
                  <c:v>44412</c:v>
                </c:pt>
                <c:pt idx="106">
                  <c:v>44413</c:v>
                </c:pt>
                <c:pt idx="107">
                  <c:v>44414</c:v>
                </c:pt>
                <c:pt idx="108">
                  <c:v>44417</c:v>
                </c:pt>
                <c:pt idx="109">
                  <c:v>44418</c:v>
                </c:pt>
                <c:pt idx="110">
                  <c:v>44419</c:v>
                </c:pt>
                <c:pt idx="111">
                  <c:v>44420</c:v>
                </c:pt>
                <c:pt idx="112">
                  <c:v>44421</c:v>
                </c:pt>
                <c:pt idx="113">
                  <c:v>44424</c:v>
                </c:pt>
                <c:pt idx="114">
                  <c:v>44425</c:v>
                </c:pt>
                <c:pt idx="115">
                  <c:v>44426</c:v>
                </c:pt>
                <c:pt idx="116">
                  <c:v>44428</c:v>
                </c:pt>
                <c:pt idx="117">
                  <c:v>44431</c:v>
                </c:pt>
                <c:pt idx="118">
                  <c:v>44432</c:v>
                </c:pt>
                <c:pt idx="119">
                  <c:v>44433</c:v>
                </c:pt>
                <c:pt idx="120">
                  <c:v>44434</c:v>
                </c:pt>
                <c:pt idx="121">
                  <c:v>44435</c:v>
                </c:pt>
                <c:pt idx="122">
                  <c:v>44438</c:v>
                </c:pt>
                <c:pt idx="123">
                  <c:v>44439</c:v>
                </c:pt>
                <c:pt idx="124">
                  <c:v>44440</c:v>
                </c:pt>
                <c:pt idx="125">
                  <c:v>44441</c:v>
                </c:pt>
                <c:pt idx="126">
                  <c:v>44442</c:v>
                </c:pt>
                <c:pt idx="127">
                  <c:v>44445</c:v>
                </c:pt>
                <c:pt idx="128">
                  <c:v>44446</c:v>
                </c:pt>
                <c:pt idx="129">
                  <c:v>44447</c:v>
                </c:pt>
                <c:pt idx="130">
                  <c:v>44448</c:v>
                </c:pt>
                <c:pt idx="131">
                  <c:v>44452</c:v>
                </c:pt>
                <c:pt idx="132">
                  <c:v>44453</c:v>
                </c:pt>
                <c:pt idx="133">
                  <c:v>44454</c:v>
                </c:pt>
                <c:pt idx="134">
                  <c:v>44455</c:v>
                </c:pt>
                <c:pt idx="135">
                  <c:v>44456</c:v>
                </c:pt>
                <c:pt idx="136">
                  <c:v>44459</c:v>
                </c:pt>
                <c:pt idx="137">
                  <c:v>44460</c:v>
                </c:pt>
                <c:pt idx="138">
                  <c:v>44461</c:v>
                </c:pt>
                <c:pt idx="139">
                  <c:v>44462</c:v>
                </c:pt>
                <c:pt idx="140">
                  <c:v>44463</c:v>
                </c:pt>
                <c:pt idx="141">
                  <c:v>44466</c:v>
                </c:pt>
                <c:pt idx="142">
                  <c:v>44467</c:v>
                </c:pt>
                <c:pt idx="143">
                  <c:v>44468</c:v>
                </c:pt>
                <c:pt idx="144">
                  <c:v>44469</c:v>
                </c:pt>
                <c:pt idx="145">
                  <c:v>44470</c:v>
                </c:pt>
                <c:pt idx="146">
                  <c:v>44473</c:v>
                </c:pt>
                <c:pt idx="147">
                  <c:v>44474</c:v>
                </c:pt>
                <c:pt idx="148">
                  <c:v>44475</c:v>
                </c:pt>
                <c:pt idx="149">
                  <c:v>44476</c:v>
                </c:pt>
                <c:pt idx="150">
                  <c:v>44477</c:v>
                </c:pt>
                <c:pt idx="151">
                  <c:v>44480</c:v>
                </c:pt>
                <c:pt idx="152">
                  <c:v>44481</c:v>
                </c:pt>
                <c:pt idx="153">
                  <c:v>44482</c:v>
                </c:pt>
                <c:pt idx="154">
                  <c:v>44483</c:v>
                </c:pt>
                <c:pt idx="155">
                  <c:v>44487</c:v>
                </c:pt>
                <c:pt idx="156">
                  <c:v>44488</c:v>
                </c:pt>
                <c:pt idx="157">
                  <c:v>44489</c:v>
                </c:pt>
                <c:pt idx="158">
                  <c:v>44490</c:v>
                </c:pt>
                <c:pt idx="159">
                  <c:v>44491</c:v>
                </c:pt>
                <c:pt idx="160">
                  <c:v>44494</c:v>
                </c:pt>
                <c:pt idx="161">
                  <c:v>44495</c:v>
                </c:pt>
                <c:pt idx="162">
                  <c:v>44496</c:v>
                </c:pt>
                <c:pt idx="163">
                  <c:v>44497</c:v>
                </c:pt>
                <c:pt idx="164">
                  <c:v>44498</c:v>
                </c:pt>
                <c:pt idx="165">
                  <c:v>44501</c:v>
                </c:pt>
                <c:pt idx="166">
                  <c:v>44502</c:v>
                </c:pt>
                <c:pt idx="167">
                  <c:v>44503</c:v>
                </c:pt>
                <c:pt idx="168">
                  <c:v>44504</c:v>
                </c:pt>
                <c:pt idx="169">
                  <c:v>44508</c:v>
                </c:pt>
                <c:pt idx="170">
                  <c:v>44509</c:v>
                </c:pt>
                <c:pt idx="171">
                  <c:v>44510</c:v>
                </c:pt>
                <c:pt idx="172">
                  <c:v>44511</c:v>
                </c:pt>
                <c:pt idx="173">
                  <c:v>44512</c:v>
                </c:pt>
                <c:pt idx="174">
                  <c:v>44515</c:v>
                </c:pt>
                <c:pt idx="175">
                  <c:v>44516</c:v>
                </c:pt>
                <c:pt idx="176">
                  <c:v>44517</c:v>
                </c:pt>
                <c:pt idx="177">
                  <c:v>44518</c:v>
                </c:pt>
                <c:pt idx="178">
                  <c:v>44522</c:v>
                </c:pt>
                <c:pt idx="179">
                  <c:v>44523</c:v>
                </c:pt>
                <c:pt idx="180">
                  <c:v>44524</c:v>
                </c:pt>
                <c:pt idx="181">
                  <c:v>44525</c:v>
                </c:pt>
                <c:pt idx="182">
                  <c:v>44526</c:v>
                </c:pt>
                <c:pt idx="183">
                  <c:v>44529</c:v>
                </c:pt>
                <c:pt idx="184">
                  <c:v>44530</c:v>
                </c:pt>
                <c:pt idx="185">
                  <c:v>44531</c:v>
                </c:pt>
                <c:pt idx="186">
                  <c:v>44532</c:v>
                </c:pt>
                <c:pt idx="187">
                  <c:v>44533</c:v>
                </c:pt>
                <c:pt idx="188">
                  <c:v>44536</c:v>
                </c:pt>
                <c:pt idx="189">
                  <c:v>44537</c:v>
                </c:pt>
                <c:pt idx="190">
                  <c:v>44538</c:v>
                </c:pt>
                <c:pt idx="191">
                  <c:v>44539</c:v>
                </c:pt>
                <c:pt idx="192">
                  <c:v>44540</c:v>
                </c:pt>
                <c:pt idx="193">
                  <c:v>44543</c:v>
                </c:pt>
                <c:pt idx="194">
                  <c:v>44544</c:v>
                </c:pt>
                <c:pt idx="195">
                  <c:v>44545</c:v>
                </c:pt>
                <c:pt idx="196">
                  <c:v>44546</c:v>
                </c:pt>
                <c:pt idx="197">
                  <c:v>44547</c:v>
                </c:pt>
                <c:pt idx="198">
                  <c:v>44550</c:v>
                </c:pt>
                <c:pt idx="199">
                  <c:v>44551</c:v>
                </c:pt>
                <c:pt idx="200">
                  <c:v>44552</c:v>
                </c:pt>
                <c:pt idx="201">
                  <c:v>44553</c:v>
                </c:pt>
                <c:pt idx="202">
                  <c:v>44554</c:v>
                </c:pt>
                <c:pt idx="203">
                  <c:v>44557</c:v>
                </c:pt>
                <c:pt idx="204">
                  <c:v>44558</c:v>
                </c:pt>
                <c:pt idx="205">
                  <c:v>44559</c:v>
                </c:pt>
                <c:pt idx="206">
                  <c:v>44560</c:v>
                </c:pt>
                <c:pt idx="207">
                  <c:v>44561</c:v>
                </c:pt>
                <c:pt idx="208">
                  <c:v>44564</c:v>
                </c:pt>
                <c:pt idx="209">
                  <c:v>44565</c:v>
                </c:pt>
                <c:pt idx="210">
                  <c:v>44566</c:v>
                </c:pt>
                <c:pt idx="211">
                  <c:v>44567</c:v>
                </c:pt>
                <c:pt idx="212">
                  <c:v>44568</c:v>
                </c:pt>
                <c:pt idx="213">
                  <c:v>44571</c:v>
                </c:pt>
                <c:pt idx="214">
                  <c:v>44572</c:v>
                </c:pt>
                <c:pt idx="215">
                  <c:v>44573</c:v>
                </c:pt>
                <c:pt idx="216">
                  <c:v>44574</c:v>
                </c:pt>
                <c:pt idx="217">
                  <c:v>44575</c:v>
                </c:pt>
                <c:pt idx="218">
                  <c:v>44578</c:v>
                </c:pt>
                <c:pt idx="219">
                  <c:v>44579</c:v>
                </c:pt>
                <c:pt idx="220">
                  <c:v>44580</c:v>
                </c:pt>
                <c:pt idx="221">
                  <c:v>44581</c:v>
                </c:pt>
                <c:pt idx="222">
                  <c:v>44582</c:v>
                </c:pt>
                <c:pt idx="223">
                  <c:v>44585</c:v>
                </c:pt>
                <c:pt idx="224">
                  <c:v>44586</c:v>
                </c:pt>
                <c:pt idx="225">
                  <c:v>44588</c:v>
                </c:pt>
                <c:pt idx="226">
                  <c:v>44589</c:v>
                </c:pt>
                <c:pt idx="227">
                  <c:v>44592</c:v>
                </c:pt>
                <c:pt idx="228">
                  <c:v>44593</c:v>
                </c:pt>
                <c:pt idx="229">
                  <c:v>44594</c:v>
                </c:pt>
                <c:pt idx="230">
                  <c:v>44595</c:v>
                </c:pt>
                <c:pt idx="231">
                  <c:v>44596</c:v>
                </c:pt>
                <c:pt idx="232">
                  <c:v>44599</c:v>
                </c:pt>
                <c:pt idx="233">
                  <c:v>44600</c:v>
                </c:pt>
                <c:pt idx="234">
                  <c:v>44601</c:v>
                </c:pt>
                <c:pt idx="235">
                  <c:v>44602</c:v>
                </c:pt>
                <c:pt idx="236">
                  <c:v>44603</c:v>
                </c:pt>
                <c:pt idx="237">
                  <c:v>44606</c:v>
                </c:pt>
                <c:pt idx="238">
                  <c:v>44607</c:v>
                </c:pt>
                <c:pt idx="239">
                  <c:v>44608</c:v>
                </c:pt>
                <c:pt idx="240">
                  <c:v>44609</c:v>
                </c:pt>
                <c:pt idx="241">
                  <c:v>44610</c:v>
                </c:pt>
                <c:pt idx="242">
                  <c:v>44613</c:v>
                </c:pt>
                <c:pt idx="243">
                  <c:v>44614</c:v>
                </c:pt>
                <c:pt idx="244">
                  <c:v>44615</c:v>
                </c:pt>
                <c:pt idx="245">
                  <c:v>44616</c:v>
                </c:pt>
                <c:pt idx="246">
                  <c:v>44617</c:v>
                </c:pt>
                <c:pt idx="247">
                  <c:v>44620</c:v>
                </c:pt>
              </c:numCache>
            </c:numRef>
          </c:cat>
          <c:val>
            <c:numRef>
              <c:f>Indices!$F$2:$F$249</c:f>
              <c:numCache>
                <c:formatCode>0</c:formatCode>
                <c:ptCount val="248"/>
                <c:pt idx="0">
                  <c:v>100</c:v>
                </c:pt>
                <c:pt idx="1">
                  <c:v>101.06695751138088</c:v>
                </c:pt>
                <c:pt idx="2">
                  <c:v>103.27877736830695</c:v>
                </c:pt>
                <c:pt idx="3">
                  <c:v>102.16236722306523</c:v>
                </c:pt>
                <c:pt idx="4">
                  <c:v>101.19566984608713</c:v>
                </c:pt>
                <c:pt idx="5">
                  <c:v>101.31828528072836</c:v>
                </c:pt>
                <c:pt idx="6">
                  <c:v>102.28159549100366</c:v>
                </c:pt>
                <c:pt idx="7">
                  <c:v>102.79915456319095</c:v>
                </c:pt>
                <c:pt idx="8">
                  <c:v>101.82500541946669</c:v>
                </c:pt>
                <c:pt idx="9">
                  <c:v>101.13741057879901</c:v>
                </c:pt>
                <c:pt idx="10">
                  <c:v>101.00869824409274</c:v>
                </c:pt>
                <c:pt idx="11">
                  <c:v>99.726994363754557</c:v>
                </c:pt>
                <c:pt idx="12">
                  <c:v>98.620068285280681</c:v>
                </c:pt>
                <c:pt idx="13">
                  <c:v>99.880771732061518</c:v>
                </c:pt>
                <c:pt idx="14">
                  <c:v>99.829286798179012</c:v>
                </c:pt>
                <c:pt idx="15">
                  <c:v>100.36039453717748</c:v>
                </c:pt>
                <c:pt idx="16">
                  <c:v>98.562486451333129</c:v>
                </c:pt>
                <c:pt idx="17">
                  <c:v>97.041648601777524</c:v>
                </c:pt>
                <c:pt idx="18">
                  <c:v>98.277287014957651</c:v>
                </c:pt>
                <c:pt idx="19">
                  <c:v>100.56565683936695</c:v>
                </c:pt>
                <c:pt idx="20">
                  <c:v>99.519699761543421</c:v>
                </c:pt>
                <c:pt idx="21">
                  <c:v>100.71672447431168</c:v>
                </c:pt>
                <c:pt idx="22">
                  <c:v>99.161337524387548</c:v>
                </c:pt>
                <c:pt idx="23">
                  <c:v>99.470924561023153</c:v>
                </c:pt>
                <c:pt idx="24">
                  <c:v>100.38952417082156</c:v>
                </c:pt>
                <c:pt idx="25">
                  <c:v>100.7600802081075</c:v>
                </c:pt>
                <c:pt idx="26">
                  <c:v>100.49655863862993</c:v>
                </c:pt>
                <c:pt idx="27">
                  <c:v>96.946130500758699</c:v>
                </c:pt>
                <c:pt idx="28">
                  <c:v>98.260351181443724</c:v>
                </c:pt>
                <c:pt idx="29">
                  <c:v>98.779942553652702</c:v>
                </c:pt>
                <c:pt idx="30">
                  <c:v>99.02652828961628</c:v>
                </c:pt>
                <c:pt idx="31">
                  <c:v>97.276040537611081</c:v>
                </c:pt>
                <c:pt idx="32">
                  <c:v>96.848580099718177</c:v>
                </c:pt>
                <c:pt idx="33">
                  <c:v>97.592401907652274</c:v>
                </c:pt>
                <c:pt idx="34">
                  <c:v>97.153425102969848</c:v>
                </c:pt>
                <c:pt idx="35">
                  <c:v>98.126219380012984</c:v>
                </c:pt>
                <c:pt idx="36">
                  <c:v>99.264984825493158</c:v>
                </c:pt>
                <c:pt idx="37">
                  <c:v>100.69775634077605</c:v>
                </c:pt>
                <c:pt idx="38">
                  <c:v>100.90301864296552</c:v>
                </c:pt>
                <c:pt idx="39">
                  <c:v>99.115949490570117</c:v>
                </c:pt>
                <c:pt idx="40">
                  <c:v>99.13694992412745</c:v>
                </c:pt>
                <c:pt idx="41">
                  <c:v>98.204124214177313</c:v>
                </c:pt>
                <c:pt idx="42">
                  <c:v>99.026528289616294</c:v>
                </c:pt>
                <c:pt idx="43">
                  <c:v>99.75070453067417</c:v>
                </c:pt>
                <c:pt idx="44">
                  <c:v>100.41729893778452</c:v>
                </c:pt>
                <c:pt idx="45">
                  <c:v>101.22479947973117</c:v>
                </c:pt>
                <c:pt idx="46">
                  <c:v>100.60427053977887</c:v>
                </c:pt>
                <c:pt idx="47">
                  <c:v>99.558990895295892</c:v>
                </c:pt>
                <c:pt idx="48">
                  <c:v>99.43231086061131</c:v>
                </c:pt>
                <c:pt idx="49">
                  <c:v>101.09473227834381</c:v>
                </c:pt>
                <c:pt idx="50">
                  <c:v>102.34730652503794</c:v>
                </c:pt>
                <c:pt idx="51">
                  <c:v>101.81958595274224</c:v>
                </c:pt>
                <c:pt idx="52">
                  <c:v>100.97889117710817</c:v>
                </c:pt>
                <c:pt idx="53">
                  <c:v>102.80254172989376</c:v>
                </c:pt>
                <c:pt idx="54">
                  <c:v>102.95428679817907</c:v>
                </c:pt>
                <c:pt idx="55">
                  <c:v>103.02744959895946</c:v>
                </c:pt>
                <c:pt idx="56">
                  <c:v>103.6574626056796</c:v>
                </c:pt>
                <c:pt idx="57">
                  <c:v>103.90404834164318</c:v>
                </c:pt>
                <c:pt idx="58">
                  <c:v>104.56657814871016</c:v>
                </c:pt>
                <c:pt idx="59">
                  <c:v>105.56308259267287</c:v>
                </c:pt>
                <c:pt idx="60">
                  <c:v>105.50956535876868</c:v>
                </c:pt>
                <c:pt idx="61">
                  <c:v>105.51837199219597</c:v>
                </c:pt>
                <c:pt idx="62">
                  <c:v>106.29200086711467</c:v>
                </c:pt>
                <c:pt idx="63">
                  <c:v>106.15583676566226</c:v>
                </c:pt>
                <c:pt idx="64">
                  <c:v>106.70726750487752</c:v>
                </c:pt>
                <c:pt idx="65">
                  <c:v>106.62868523737265</c:v>
                </c:pt>
                <c:pt idx="66">
                  <c:v>105.91941252980708</c:v>
                </c:pt>
                <c:pt idx="67">
                  <c:v>106.61310427053979</c:v>
                </c:pt>
                <c:pt idx="68">
                  <c:v>107.03040320832432</c:v>
                </c:pt>
                <c:pt idx="69">
                  <c:v>107.11508237589423</c:v>
                </c:pt>
                <c:pt idx="70">
                  <c:v>107.50392911337525</c:v>
                </c:pt>
                <c:pt idx="71">
                  <c:v>106.81497940602645</c:v>
                </c:pt>
                <c:pt idx="72">
                  <c:v>106.29877520052027</c:v>
                </c:pt>
                <c:pt idx="73">
                  <c:v>106.24458053327552</c:v>
                </c:pt>
                <c:pt idx="74">
                  <c:v>106.67204097116844</c:v>
                </c:pt>
                <c:pt idx="75">
                  <c:v>106.85020593973555</c:v>
                </c:pt>
                <c:pt idx="76">
                  <c:v>106.26896813353568</c:v>
                </c:pt>
                <c:pt idx="77">
                  <c:v>106.97011164101454</c:v>
                </c:pt>
                <c:pt idx="78">
                  <c:v>107.44363754606547</c:v>
                </c:pt>
                <c:pt idx="79">
                  <c:v>107.13405050942988</c:v>
                </c:pt>
                <c:pt idx="80">
                  <c:v>106.68558963797963</c:v>
                </c:pt>
                <c:pt idx="81">
                  <c:v>106.50268263602862</c:v>
                </c:pt>
                <c:pt idx="82">
                  <c:v>106.22154779969652</c:v>
                </c:pt>
                <c:pt idx="83">
                  <c:v>106.50742466941256</c:v>
                </c:pt>
                <c:pt idx="84">
                  <c:v>107.26750487752008</c:v>
                </c:pt>
                <c:pt idx="85">
                  <c:v>107.15843810969004</c:v>
                </c:pt>
                <c:pt idx="86">
                  <c:v>107.57438218079346</c:v>
                </c:pt>
                <c:pt idx="87">
                  <c:v>106.54603836982444</c:v>
                </c:pt>
                <c:pt idx="88">
                  <c:v>106.28793626707136</c:v>
                </c:pt>
                <c:pt idx="89">
                  <c:v>106.30690440060704</c:v>
                </c:pt>
                <c:pt idx="90">
                  <c:v>107.11846954259705</c:v>
                </c:pt>
                <c:pt idx="91">
                  <c:v>107.40028181226972</c:v>
                </c:pt>
                <c:pt idx="92">
                  <c:v>107.87584001734234</c:v>
                </c:pt>
                <c:pt idx="93">
                  <c:v>107.87042055061785</c:v>
                </c:pt>
                <c:pt idx="94">
                  <c:v>106.71200953826147</c:v>
                </c:pt>
                <c:pt idx="95">
                  <c:v>105.89705722956865</c:v>
                </c:pt>
                <c:pt idx="96">
                  <c:v>107.19772924344248</c:v>
                </c:pt>
                <c:pt idx="97">
                  <c:v>107.41450791242146</c:v>
                </c:pt>
                <c:pt idx="98">
                  <c:v>107.20043897680472</c:v>
                </c:pt>
                <c:pt idx="99">
                  <c:v>106.67204097116847</c:v>
                </c:pt>
                <c:pt idx="100">
                  <c:v>106.42071320182097</c:v>
                </c:pt>
                <c:pt idx="101">
                  <c:v>106.88881964014745</c:v>
                </c:pt>
                <c:pt idx="102">
                  <c:v>106.78449490570132</c:v>
                </c:pt>
                <c:pt idx="103">
                  <c:v>107.61164101452421</c:v>
                </c:pt>
                <c:pt idx="104">
                  <c:v>109.27541729893781</c:v>
                </c:pt>
                <c:pt idx="105">
                  <c:v>110.14253197485371</c:v>
                </c:pt>
                <c:pt idx="106">
                  <c:v>110.38505311077394</c:v>
                </c:pt>
                <c:pt idx="107">
                  <c:v>110.00298070669851</c:v>
                </c:pt>
                <c:pt idx="108">
                  <c:v>110.1391448081509</c:v>
                </c:pt>
                <c:pt idx="109">
                  <c:v>110.28682527639285</c:v>
                </c:pt>
                <c:pt idx="110">
                  <c:v>110.30172880988513</c:v>
                </c:pt>
                <c:pt idx="111">
                  <c:v>110.8579015824843</c:v>
                </c:pt>
                <c:pt idx="112">
                  <c:v>111.97363429438545</c:v>
                </c:pt>
                <c:pt idx="113">
                  <c:v>112.2039616301756</c:v>
                </c:pt>
                <c:pt idx="114">
                  <c:v>112.55283980056362</c:v>
                </c:pt>
                <c:pt idx="115">
                  <c:v>112.24325276392804</c:v>
                </c:pt>
                <c:pt idx="116">
                  <c:v>111.44117168870582</c:v>
                </c:pt>
                <c:pt idx="117">
                  <c:v>111.75279102536309</c:v>
                </c:pt>
                <c:pt idx="118">
                  <c:v>112.62058313461955</c:v>
                </c:pt>
                <c:pt idx="119">
                  <c:v>112.68900390201604</c:v>
                </c:pt>
                <c:pt idx="120">
                  <c:v>112.70390743550836</c:v>
                </c:pt>
                <c:pt idx="121">
                  <c:v>113.16659440711034</c:v>
                </c:pt>
                <c:pt idx="122">
                  <c:v>114.69691632343375</c:v>
                </c:pt>
                <c:pt idx="123">
                  <c:v>116.05923477129849</c:v>
                </c:pt>
                <c:pt idx="124">
                  <c:v>115.68054953392584</c:v>
                </c:pt>
                <c:pt idx="125">
                  <c:v>116.75021677866897</c:v>
                </c:pt>
                <c:pt idx="126">
                  <c:v>117.35584218512898</c:v>
                </c:pt>
                <c:pt idx="127">
                  <c:v>117.72301105571212</c:v>
                </c:pt>
                <c:pt idx="128">
                  <c:v>117.6166540212443</c:v>
                </c:pt>
                <c:pt idx="129">
                  <c:v>117.55839475395621</c:v>
                </c:pt>
                <c:pt idx="130">
                  <c:v>117.66542922176457</c:v>
                </c:pt>
                <c:pt idx="131">
                  <c:v>117.57058855408627</c:v>
                </c:pt>
                <c:pt idx="132">
                  <c:v>117.73791458920441</c:v>
                </c:pt>
                <c:pt idx="133">
                  <c:v>118.68293409928462</c:v>
                </c:pt>
                <c:pt idx="134">
                  <c:v>119.42811077389983</c:v>
                </c:pt>
                <c:pt idx="135">
                  <c:v>119.12800780403208</c:v>
                </c:pt>
                <c:pt idx="136">
                  <c:v>117.85240082375896</c:v>
                </c:pt>
                <c:pt idx="137">
                  <c:v>118.97084326902234</c:v>
                </c:pt>
                <c:pt idx="138">
                  <c:v>118.86719596791677</c:v>
                </c:pt>
                <c:pt idx="139">
                  <c:v>120.73894428788209</c:v>
                </c:pt>
                <c:pt idx="140">
                  <c:v>120.943529156731</c:v>
                </c:pt>
                <c:pt idx="141">
                  <c:v>120.95640039020162</c:v>
                </c:pt>
                <c:pt idx="142">
                  <c:v>120.23493388250597</c:v>
                </c:pt>
                <c:pt idx="143">
                  <c:v>119.98225124647736</c:v>
                </c:pt>
                <c:pt idx="144">
                  <c:v>119.35156080641667</c:v>
                </c:pt>
                <c:pt idx="145">
                  <c:v>118.76829070019511</c:v>
                </c:pt>
                <c:pt idx="146">
                  <c:v>119.84676457836551</c:v>
                </c:pt>
                <c:pt idx="147">
                  <c:v>120.73420225449817</c:v>
                </c:pt>
                <c:pt idx="148">
                  <c:v>119.53988727509216</c:v>
                </c:pt>
                <c:pt idx="149">
                  <c:v>120.5181010188598</c:v>
                </c:pt>
                <c:pt idx="150">
                  <c:v>121.22805115976593</c:v>
                </c:pt>
                <c:pt idx="151">
                  <c:v>121.57218729677004</c:v>
                </c:pt>
                <c:pt idx="152">
                  <c:v>121.88380663342733</c:v>
                </c:pt>
                <c:pt idx="153">
                  <c:v>123.03408844569699</c:v>
                </c:pt>
                <c:pt idx="154">
                  <c:v>124.2317905918058</c:v>
                </c:pt>
                <c:pt idx="155">
                  <c:v>125.17003576848042</c:v>
                </c:pt>
                <c:pt idx="156">
                  <c:v>124.77509213093435</c:v>
                </c:pt>
                <c:pt idx="157">
                  <c:v>123.74403858660311</c:v>
                </c:pt>
                <c:pt idx="158">
                  <c:v>123.14451008020814</c:v>
                </c:pt>
                <c:pt idx="159">
                  <c:v>122.71637220897469</c:v>
                </c:pt>
                <c:pt idx="160">
                  <c:v>122.7875027097334</c:v>
                </c:pt>
                <c:pt idx="161">
                  <c:v>123.75623238673319</c:v>
                </c:pt>
                <c:pt idx="162">
                  <c:v>123.36738564925214</c:v>
                </c:pt>
                <c:pt idx="163">
                  <c:v>120.97130392369394</c:v>
                </c:pt>
                <c:pt idx="164">
                  <c:v>119.71398764361589</c:v>
                </c:pt>
                <c:pt idx="165">
                  <c:v>121.46142694558858</c:v>
                </c:pt>
                <c:pt idx="166">
                  <c:v>121.18571157598096</c:v>
                </c:pt>
                <c:pt idx="167">
                  <c:v>120.78094515499679</c:v>
                </c:pt>
                <c:pt idx="168">
                  <c:v>121.37437676132672</c:v>
                </c:pt>
                <c:pt idx="169">
                  <c:v>122.40238185562544</c:v>
                </c:pt>
                <c:pt idx="170">
                  <c:v>122.23776555386954</c:v>
                </c:pt>
                <c:pt idx="171">
                  <c:v>122.05451983524826</c:v>
                </c:pt>
                <c:pt idx="172">
                  <c:v>121.08172555820509</c:v>
                </c:pt>
                <c:pt idx="173">
                  <c:v>122.63406405809671</c:v>
                </c:pt>
                <c:pt idx="174">
                  <c:v>122.6794520919142</c:v>
                </c:pt>
                <c:pt idx="175">
                  <c:v>121.93258183394759</c:v>
                </c:pt>
                <c:pt idx="176">
                  <c:v>121.25142261001524</c:v>
                </c:pt>
                <c:pt idx="177">
                  <c:v>120.34467808367661</c:v>
                </c:pt>
                <c:pt idx="178">
                  <c:v>117.98551647517888</c:v>
                </c:pt>
                <c:pt idx="179">
                  <c:v>118.57352861478435</c:v>
                </c:pt>
                <c:pt idx="180">
                  <c:v>117.9753549750705</c:v>
                </c:pt>
                <c:pt idx="181">
                  <c:v>118.79640418382837</c:v>
                </c:pt>
                <c:pt idx="182">
                  <c:v>115.34284901365712</c:v>
                </c:pt>
                <c:pt idx="183">
                  <c:v>115.5291431823109</c:v>
                </c:pt>
                <c:pt idx="184">
                  <c:v>115.04985909386521</c:v>
                </c:pt>
                <c:pt idx="185">
                  <c:v>116.29430414047263</c:v>
                </c:pt>
                <c:pt idx="186">
                  <c:v>117.88457890743557</c:v>
                </c:pt>
                <c:pt idx="187">
                  <c:v>116.49617927595929</c:v>
                </c:pt>
                <c:pt idx="188">
                  <c:v>114.56922013873839</c:v>
                </c:pt>
                <c:pt idx="189">
                  <c:v>116.36069260784743</c:v>
                </c:pt>
                <c:pt idx="190">
                  <c:v>118.34591101235642</c:v>
                </c:pt>
                <c:pt idx="191">
                  <c:v>118.66498211575984</c:v>
                </c:pt>
                <c:pt idx="192">
                  <c:v>118.6273845653588</c:v>
                </c:pt>
                <c:pt idx="193">
                  <c:v>117.65831617168874</c:v>
                </c:pt>
                <c:pt idx="194">
                  <c:v>117.36464881855629</c:v>
                </c:pt>
                <c:pt idx="195">
                  <c:v>116.66350531107743</c:v>
                </c:pt>
                <c:pt idx="196">
                  <c:v>116.84641231302844</c:v>
                </c:pt>
                <c:pt idx="197">
                  <c:v>115.06340776067638</c:v>
                </c:pt>
                <c:pt idx="198">
                  <c:v>112.55013006720142</c:v>
                </c:pt>
                <c:pt idx="199">
                  <c:v>113.61132939518754</c:v>
                </c:pt>
                <c:pt idx="200">
                  <c:v>114.86187134186001</c:v>
                </c:pt>
                <c:pt idx="201">
                  <c:v>115.6554845003252</c:v>
                </c:pt>
                <c:pt idx="202">
                  <c:v>115.18907164535014</c:v>
                </c:pt>
                <c:pt idx="203">
                  <c:v>115.74795415131156</c:v>
                </c:pt>
                <c:pt idx="204">
                  <c:v>116.74378116193371</c:v>
                </c:pt>
                <c:pt idx="205">
                  <c:v>116.6106655105138</c:v>
                </c:pt>
                <c:pt idx="206">
                  <c:v>116.54529319314985</c:v>
                </c:pt>
                <c:pt idx="207">
                  <c:v>117.56212063732933</c:v>
                </c:pt>
                <c:pt idx="208">
                  <c:v>119.40236830695864</c:v>
                </c:pt>
                <c:pt idx="209">
                  <c:v>120.61869986993284</c:v>
                </c:pt>
                <c:pt idx="210">
                  <c:v>121.431619878604</c:v>
                </c:pt>
                <c:pt idx="211">
                  <c:v>120.21664318231092</c:v>
                </c:pt>
                <c:pt idx="212">
                  <c:v>120.6691686538045</c:v>
                </c:pt>
                <c:pt idx="213">
                  <c:v>121.96035660091052</c:v>
                </c:pt>
                <c:pt idx="214">
                  <c:v>122.31567038803388</c:v>
                </c:pt>
                <c:pt idx="215">
                  <c:v>123.37653099934973</c:v>
                </c:pt>
                <c:pt idx="216">
                  <c:v>123.68442445263392</c:v>
                </c:pt>
                <c:pt idx="217">
                  <c:v>123.67053706915246</c:v>
                </c:pt>
                <c:pt idx="218">
                  <c:v>124.02517342293524</c:v>
                </c:pt>
                <c:pt idx="219">
                  <c:v>122.70383969217436</c:v>
                </c:pt>
                <c:pt idx="220">
                  <c:v>121.52070236288758</c:v>
                </c:pt>
                <c:pt idx="221">
                  <c:v>120.29183828311301</c:v>
                </c:pt>
                <c:pt idx="222">
                  <c:v>119.34444775634086</c:v>
                </c:pt>
                <c:pt idx="223">
                  <c:v>116.17372100585308</c:v>
                </c:pt>
                <c:pt idx="224">
                  <c:v>117.04659386516373</c:v>
                </c:pt>
                <c:pt idx="225">
                  <c:v>115.90986071970525</c:v>
                </c:pt>
                <c:pt idx="226">
                  <c:v>115.85431118577938</c:v>
                </c:pt>
                <c:pt idx="227">
                  <c:v>117.4659251029699</c:v>
                </c:pt>
                <c:pt idx="228">
                  <c:v>119.07144212009543</c:v>
                </c:pt>
                <c:pt idx="229">
                  <c:v>120.44764795144164</c:v>
                </c:pt>
                <c:pt idx="230">
                  <c:v>118.95864946889232</c:v>
                </c:pt>
                <c:pt idx="231">
                  <c:v>118.66125623238678</c:v>
                </c:pt>
                <c:pt idx="232">
                  <c:v>116.6106655105138</c:v>
                </c:pt>
                <c:pt idx="233">
                  <c:v>116.97072133102105</c:v>
                </c:pt>
                <c:pt idx="234">
                  <c:v>118.30560372859314</c:v>
                </c:pt>
                <c:pt idx="235">
                  <c:v>119.2678977888576</c:v>
                </c:pt>
                <c:pt idx="236">
                  <c:v>117.70234933882509</c:v>
                </c:pt>
                <c:pt idx="237">
                  <c:v>114.09874268371993</c:v>
                </c:pt>
                <c:pt idx="238">
                  <c:v>117.55128170388036</c:v>
                </c:pt>
                <c:pt idx="239">
                  <c:v>117.34635811836118</c:v>
                </c:pt>
                <c:pt idx="240">
                  <c:v>117.22712985042273</c:v>
                </c:pt>
                <c:pt idx="241">
                  <c:v>117.03541621504445</c:v>
                </c:pt>
                <c:pt idx="242">
                  <c:v>116.56358389334493</c:v>
                </c:pt>
                <c:pt idx="243">
                  <c:v>115.78826143507482</c:v>
                </c:pt>
                <c:pt idx="244">
                  <c:v>115.5921444829829</c:v>
                </c:pt>
                <c:pt idx="245">
                  <c:v>110.06903045740302</c:v>
                </c:pt>
                <c:pt idx="246">
                  <c:v>112.84955560372863</c:v>
                </c:pt>
                <c:pt idx="247">
                  <c:v>113.76747778018648</c:v>
                </c:pt>
              </c:numCache>
            </c:numRef>
          </c:val>
          <c:smooth val="0"/>
          <c:extLst xmlns:c16r2="http://schemas.microsoft.com/office/drawing/2015/06/chart">
            <c:ext xmlns:c16="http://schemas.microsoft.com/office/drawing/2014/chart" uri="{C3380CC4-5D6E-409C-BE32-E72D297353CC}">
              <c16:uniqueId val="{00000000-3DD1-4744-B89F-FBAA72889017}"/>
            </c:ext>
          </c:extLst>
        </c:ser>
        <c:ser>
          <c:idx val="1"/>
          <c:order val="1"/>
          <c:tx>
            <c:strRef>
              <c:f>Indices!$G$1</c:f>
              <c:strCache>
                <c:ptCount val="1"/>
                <c:pt idx="0">
                  <c:v> BSE </c:v>
                </c:pt>
              </c:strCache>
            </c:strRef>
          </c:tx>
          <c:spPr>
            <a:ln w="28575" cap="rnd">
              <a:solidFill>
                <a:schemeClr val="accent2"/>
              </a:solidFill>
              <a:round/>
            </a:ln>
            <a:effectLst/>
          </c:spPr>
          <c:marker>
            <c:symbol val="none"/>
          </c:marker>
          <c:cat>
            <c:numRef>
              <c:f>Indices!$E$2:$E$249</c:f>
              <c:numCache>
                <c:formatCode>d\-mmm\-yy</c:formatCode>
                <c:ptCount val="248"/>
                <c:pt idx="0">
                  <c:v>44256</c:v>
                </c:pt>
                <c:pt idx="1">
                  <c:v>44257</c:v>
                </c:pt>
                <c:pt idx="2">
                  <c:v>44258</c:v>
                </c:pt>
                <c:pt idx="3">
                  <c:v>44259</c:v>
                </c:pt>
                <c:pt idx="4">
                  <c:v>44260</c:v>
                </c:pt>
                <c:pt idx="5">
                  <c:v>44263</c:v>
                </c:pt>
                <c:pt idx="6">
                  <c:v>44264</c:v>
                </c:pt>
                <c:pt idx="7">
                  <c:v>44265</c:v>
                </c:pt>
                <c:pt idx="8">
                  <c:v>44267</c:v>
                </c:pt>
                <c:pt idx="9">
                  <c:v>44270</c:v>
                </c:pt>
                <c:pt idx="10">
                  <c:v>44271</c:v>
                </c:pt>
                <c:pt idx="11">
                  <c:v>44272</c:v>
                </c:pt>
                <c:pt idx="12">
                  <c:v>44273</c:v>
                </c:pt>
                <c:pt idx="13">
                  <c:v>44274</c:v>
                </c:pt>
                <c:pt idx="14">
                  <c:v>44277</c:v>
                </c:pt>
                <c:pt idx="15">
                  <c:v>44278</c:v>
                </c:pt>
                <c:pt idx="16">
                  <c:v>44279</c:v>
                </c:pt>
                <c:pt idx="17">
                  <c:v>44280</c:v>
                </c:pt>
                <c:pt idx="18">
                  <c:v>44281</c:v>
                </c:pt>
                <c:pt idx="19">
                  <c:v>44285</c:v>
                </c:pt>
                <c:pt idx="20">
                  <c:v>44286</c:v>
                </c:pt>
                <c:pt idx="21">
                  <c:v>44287</c:v>
                </c:pt>
                <c:pt idx="22">
                  <c:v>44291</c:v>
                </c:pt>
                <c:pt idx="23">
                  <c:v>44292</c:v>
                </c:pt>
                <c:pt idx="24">
                  <c:v>44293</c:v>
                </c:pt>
                <c:pt idx="25">
                  <c:v>44294</c:v>
                </c:pt>
                <c:pt idx="26">
                  <c:v>44295</c:v>
                </c:pt>
                <c:pt idx="27">
                  <c:v>44298</c:v>
                </c:pt>
                <c:pt idx="28">
                  <c:v>44299</c:v>
                </c:pt>
                <c:pt idx="29">
                  <c:v>44301</c:v>
                </c:pt>
                <c:pt idx="30">
                  <c:v>44302</c:v>
                </c:pt>
                <c:pt idx="31">
                  <c:v>44305</c:v>
                </c:pt>
                <c:pt idx="32">
                  <c:v>44306</c:v>
                </c:pt>
                <c:pt idx="33">
                  <c:v>44308</c:v>
                </c:pt>
                <c:pt idx="34">
                  <c:v>44309</c:v>
                </c:pt>
                <c:pt idx="35">
                  <c:v>44312</c:v>
                </c:pt>
                <c:pt idx="36">
                  <c:v>44313</c:v>
                </c:pt>
                <c:pt idx="37">
                  <c:v>44314</c:v>
                </c:pt>
                <c:pt idx="38">
                  <c:v>44315</c:v>
                </c:pt>
                <c:pt idx="39">
                  <c:v>44316</c:v>
                </c:pt>
                <c:pt idx="40">
                  <c:v>44319</c:v>
                </c:pt>
                <c:pt idx="41">
                  <c:v>44320</c:v>
                </c:pt>
                <c:pt idx="42">
                  <c:v>44321</c:v>
                </c:pt>
                <c:pt idx="43">
                  <c:v>44322</c:v>
                </c:pt>
                <c:pt idx="44">
                  <c:v>44323</c:v>
                </c:pt>
                <c:pt idx="45">
                  <c:v>44326</c:v>
                </c:pt>
                <c:pt idx="46">
                  <c:v>44327</c:v>
                </c:pt>
                <c:pt idx="47">
                  <c:v>44328</c:v>
                </c:pt>
                <c:pt idx="48">
                  <c:v>44330</c:v>
                </c:pt>
                <c:pt idx="49">
                  <c:v>44333</c:v>
                </c:pt>
                <c:pt idx="50">
                  <c:v>44334</c:v>
                </c:pt>
                <c:pt idx="51">
                  <c:v>44335</c:v>
                </c:pt>
                <c:pt idx="52">
                  <c:v>44336</c:v>
                </c:pt>
                <c:pt idx="53">
                  <c:v>44337</c:v>
                </c:pt>
                <c:pt idx="54">
                  <c:v>44340</c:v>
                </c:pt>
                <c:pt idx="55">
                  <c:v>44341</c:v>
                </c:pt>
                <c:pt idx="56">
                  <c:v>44342</c:v>
                </c:pt>
                <c:pt idx="57">
                  <c:v>44343</c:v>
                </c:pt>
                <c:pt idx="58">
                  <c:v>44344</c:v>
                </c:pt>
                <c:pt idx="59">
                  <c:v>44347</c:v>
                </c:pt>
                <c:pt idx="60">
                  <c:v>44348</c:v>
                </c:pt>
                <c:pt idx="61">
                  <c:v>44349</c:v>
                </c:pt>
                <c:pt idx="62">
                  <c:v>44350</c:v>
                </c:pt>
                <c:pt idx="63">
                  <c:v>44351</c:v>
                </c:pt>
                <c:pt idx="64">
                  <c:v>44354</c:v>
                </c:pt>
                <c:pt idx="65">
                  <c:v>44355</c:v>
                </c:pt>
                <c:pt idx="66">
                  <c:v>44356</c:v>
                </c:pt>
                <c:pt idx="67">
                  <c:v>44357</c:v>
                </c:pt>
                <c:pt idx="68">
                  <c:v>44358</c:v>
                </c:pt>
                <c:pt idx="69">
                  <c:v>44361</c:v>
                </c:pt>
                <c:pt idx="70">
                  <c:v>44362</c:v>
                </c:pt>
                <c:pt idx="71">
                  <c:v>44363</c:v>
                </c:pt>
                <c:pt idx="72">
                  <c:v>44364</c:v>
                </c:pt>
                <c:pt idx="73">
                  <c:v>44365</c:v>
                </c:pt>
                <c:pt idx="74">
                  <c:v>44368</c:v>
                </c:pt>
                <c:pt idx="75">
                  <c:v>44369</c:v>
                </c:pt>
                <c:pt idx="76">
                  <c:v>44370</c:v>
                </c:pt>
                <c:pt idx="77">
                  <c:v>44371</c:v>
                </c:pt>
                <c:pt idx="78">
                  <c:v>44372</c:v>
                </c:pt>
                <c:pt idx="79">
                  <c:v>44375</c:v>
                </c:pt>
                <c:pt idx="80">
                  <c:v>44376</c:v>
                </c:pt>
                <c:pt idx="81">
                  <c:v>44377</c:v>
                </c:pt>
                <c:pt idx="82">
                  <c:v>44378</c:v>
                </c:pt>
                <c:pt idx="83">
                  <c:v>44379</c:v>
                </c:pt>
                <c:pt idx="84">
                  <c:v>44382</c:v>
                </c:pt>
                <c:pt idx="85">
                  <c:v>44383</c:v>
                </c:pt>
                <c:pt idx="86">
                  <c:v>44384</c:v>
                </c:pt>
                <c:pt idx="87">
                  <c:v>44385</c:v>
                </c:pt>
                <c:pt idx="88">
                  <c:v>44386</c:v>
                </c:pt>
                <c:pt idx="89">
                  <c:v>44389</c:v>
                </c:pt>
                <c:pt idx="90">
                  <c:v>44390</c:v>
                </c:pt>
                <c:pt idx="91">
                  <c:v>44391</c:v>
                </c:pt>
                <c:pt idx="92">
                  <c:v>44392</c:v>
                </c:pt>
                <c:pt idx="93">
                  <c:v>44393</c:v>
                </c:pt>
                <c:pt idx="94">
                  <c:v>44396</c:v>
                </c:pt>
                <c:pt idx="95">
                  <c:v>44397</c:v>
                </c:pt>
                <c:pt idx="96">
                  <c:v>44399</c:v>
                </c:pt>
                <c:pt idx="97">
                  <c:v>44400</c:v>
                </c:pt>
                <c:pt idx="98">
                  <c:v>44403</c:v>
                </c:pt>
                <c:pt idx="99">
                  <c:v>44404</c:v>
                </c:pt>
                <c:pt idx="100">
                  <c:v>44405</c:v>
                </c:pt>
                <c:pt idx="101">
                  <c:v>44406</c:v>
                </c:pt>
                <c:pt idx="102">
                  <c:v>44407</c:v>
                </c:pt>
                <c:pt idx="103">
                  <c:v>44410</c:v>
                </c:pt>
                <c:pt idx="104">
                  <c:v>44411</c:v>
                </c:pt>
                <c:pt idx="105">
                  <c:v>44412</c:v>
                </c:pt>
                <c:pt idx="106">
                  <c:v>44413</c:v>
                </c:pt>
                <c:pt idx="107">
                  <c:v>44414</c:v>
                </c:pt>
                <c:pt idx="108">
                  <c:v>44417</c:v>
                </c:pt>
                <c:pt idx="109">
                  <c:v>44418</c:v>
                </c:pt>
                <c:pt idx="110">
                  <c:v>44419</c:v>
                </c:pt>
                <c:pt idx="111">
                  <c:v>44420</c:v>
                </c:pt>
                <c:pt idx="112">
                  <c:v>44421</c:v>
                </c:pt>
                <c:pt idx="113">
                  <c:v>44424</c:v>
                </c:pt>
                <c:pt idx="114">
                  <c:v>44425</c:v>
                </c:pt>
                <c:pt idx="115">
                  <c:v>44426</c:v>
                </c:pt>
                <c:pt idx="116">
                  <c:v>44428</c:v>
                </c:pt>
                <c:pt idx="117">
                  <c:v>44431</c:v>
                </c:pt>
                <c:pt idx="118">
                  <c:v>44432</c:v>
                </c:pt>
                <c:pt idx="119">
                  <c:v>44433</c:v>
                </c:pt>
                <c:pt idx="120">
                  <c:v>44434</c:v>
                </c:pt>
                <c:pt idx="121">
                  <c:v>44435</c:v>
                </c:pt>
                <c:pt idx="122">
                  <c:v>44438</c:v>
                </c:pt>
                <c:pt idx="123">
                  <c:v>44439</c:v>
                </c:pt>
                <c:pt idx="124">
                  <c:v>44440</c:v>
                </c:pt>
                <c:pt idx="125">
                  <c:v>44441</c:v>
                </c:pt>
                <c:pt idx="126">
                  <c:v>44442</c:v>
                </c:pt>
                <c:pt idx="127">
                  <c:v>44445</c:v>
                </c:pt>
                <c:pt idx="128">
                  <c:v>44446</c:v>
                </c:pt>
                <c:pt idx="129">
                  <c:v>44447</c:v>
                </c:pt>
                <c:pt idx="130">
                  <c:v>44448</c:v>
                </c:pt>
                <c:pt idx="131">
                  <c:v>44452</c:v>
                </c:pt>
                <c:pt idx="132">
                  <c:v>44453</c:v>
                </c:pt>
                <c:pt idx="133">
                  <c:v>44454</c:v>
                </c:pt>
                <c:pt idx="134">
                  <c:v>44455</c:v>
                </c:pt>
                <c:pt idx="135">
                  <c:v>44456</c:v>
                </c:pt>
                <c:pt idx="136">
                  <c:v>44459</c:v>
                </c:pt>
                <c:pt idx="137">
                  <c:v>44460</c:v>
                </c:pt>
                <c:pt idx="138">
                  <c:v>44461</c:v>
                </c:pt>
                <c:pt idx="139">
                  <c:v>44462</c:v>
                </c:pt>
                <c:pt idx="140">
                  <c:v>44463</c:v>
                </c:pt>
                <c:pt idx="141">
                  <c:v>44466</c:v>
                </c:pt>
                <c:pt idx="142">
                  <c:v>44467</c:v>
                </c:pt>
                <c:pt idx="143">
                  <c:v>44468</c:v>
                </c:pt>
                <c:pt idx="144">
                  <c:v>44469</c:v>
                </c:pt>
                <c:pt idx="145">
                  <c:v>44470</c:v>
                </c:pt>
                <c:pt idx="146">
                  <c:v>44473</c:v>
                </c:pt>
                <c:pt idx="147">
                  <c:v>44474</c:v>
                </c:pt>
                <c:pt idx="148">
                  <c:v>44475</c:v>
                </c:pt>
                <c:pt idx="149">
                  <c:v>44476</c:v>
                </c:pt>
                <c:pt idx="150">
                  <c:v>44477</c:v>
                </c:pt>
                <c:pt idx="151">
                  <c:v>44480</c:v>
                </c:pt>
                <c:pt idx="152">
                  <c:v>44481</c:v>
                </c:pt>
                <c:pt idx="153">
                  <c:v>44482</c:v>
                </c:pt>
                <c:pt idx="154">
                  <c:v>44483</c:v>
                </c:pt>
                <c:pt idx="155">
                  <c:v>44487</c:v>
                </c:pt>
                <c:pt idx="156">
                  <c:v>44488</c:v>
                </c:pt>
                <c:pt idx="157">
                  <c:v>44489</c:v>
                </c:pt>
                <c:pt idx="158">
                  <c:v>44490</c:v>
                </c:pt>
                <c:pt idx="159">
                  <c:v>44491</c:v>
                </c:pt>
                <c:pt idx="160">
                  <c:v>44494</c:v>
                </c:pt>
                <c:pt idx="161">
                  <c:v>44495</c:v>
                </c:pt>
                <c:pt idx="162">
                  <c:v>44496</c:v>
                </c:pt>
                <c:pt idx="163">
                  <c:v>44497</c:v>
                </c:pt>
                <c:pt idx="164">
                  <c:v>44498</c:v>
                </c:pt>
                <c:pt idx="165">
                  <c:v>44501</c:v>
                </c:pt>
                <c:pt idx="166">
                  <c:v>44502</c:v>
                </c:pt>
                <c:pt idx="167">
                  <c:v>44503</c:v>
                </c:pt>
                <c:pt idx="168">
                  <c:v>44504</c:v>
                </c:pt>
                <c:pt idx="169">
                  <c:v>44508</c:v>
                </c:pt>
                <c:pt idx="170">
                  <c:v>44509</c:v>
                </c:pt>
                <c:pt idx="171">
                  <c:v>44510</c:v>
                </c:pt>
                <c:pt idx="172">
                  <c:v>44511</c:v>
                </c:pt>
                <c:pt idx="173">
                  <c:v>44512</c:v>
                </c:pt>
                <c:pt idx="174">
                  <c:v>44515</c:v>
                </c:pt>
                <c:pt idx="175">
                  <c:v>44516</c:v>
                </c:pt>
                <c:pt idx="176">
                  <c:v>44517</c:v>
                </c:pt>
                <c:pt idx="177">
                  <c:v>44518</c:v>
                </c:pt>
                <c:pt idx="178">
                  <c:v>44522</c:v>
                </c:pt>
                <c:pt idx="179">
                  <c:v>44523</c:v>
                </c:pt>
                <c:pt idx="180">
                  <c:v>44524</c:v>
                </c:pt>
                <c:pt idx="181">
                  <c:v>44525</c:v>
                </c:pt>
                <c:pt idx="182">
                  <c:v>44526</c:v>
                </c:pt>
                <c:pt idx="183">
                  <c:v>44529</c:v>
                </c:pt>
                <c:pt idx="184">
                  <c:v>44530</c:v>
                </c:pt>
                <c:pt idx="185">
                  <c:v>44531</c:v>
                </c:pt>
                <c:pt idx="186">
                  <c:v>44532</c:v>
                </c:pt>
                <c:pt idx="187">
                  <c:v>44533</c:v>
                </c:pt>
                <c:pt idx="188">
                  <c:v>44536</c:v>
                </c:pt>
                <c:pt idx="189">
                  <c:v>44537</c:v>
                </c:pt>
                <c:pt idx="190">
                  <c:v>44538</c:v>
                </c:pt>
                <c:pt idx="191">
                  <c:v>44539</c:v>
                </c:pt>
                <c:pt idx="192">
                  <c:v>44540</c:v>
                </c:pt>
                <c:pt idx="193">
                  <c:v>44543</c:v>
                </c:pt>
                <c:pt idx="194">
                  <c:v>44544</c:v>
                </c:pt>
                <c:pt idx="195">
                  <c:v>44545</c:v>
                </c:pt>
                <c:pt idx="196">
                  <c:v>44546</c:v>
                </c:pt>
                <c:pt idx="197">
                  <c:v>44547</c:v>
                </c:pt>
                <c:pt idx="198">
                  <c:v>44550</c:v>
                </c:pt>
                <c:pt idx="199">
                  <c:v>44551</c:v>
                </c:pt>
                <c:pt idx="200">
                  <c:v>44552</c:v>
                </c:pt>
                <c:pt idx="201">
                  <c:v>44553</c:v>
                </c:pt>
                <c:pt idx="202">
                  <c:v>44554</c:v>
                </c:pt>
                <c:pt idx="203">
                  <c:v>44557</c:v>
                </c:pt>
                <c:pt idx="204">
                  <c:v>44558</c:v>
                </c:pt>
                <c:pt idx="205">
                  <c:v>44559</c:v>
                </c:pt>
                <c:pt idx="206">
                  <c:v>44560</c:v>
                </c:pt>
                <c:pt idx="207">
                  <c:v>44561</c:v>
                </c:pt>
                <c:pt idx="208">
                  <c:v>44564</c:v>
                </c:pt>
                <c:pt idx="209">
                  <c:v>44565</c:v>
                </c:pt>
                <c:pt idx="210">
                  <c:v>44566</c:v>
                </c:pt>
                <c:pt idx="211">
                  <c:v>44567</c:v>
                </c:pt>
                <c:pt idx="212">
                  <c:v>44568</c:v>
                </c:pt>
                <c:pt idx="213">
                  <c:v>44571</c:v>
                </c:pt>
                <c:pt idx="214">
                  <c:v>44572</c:v>
                </c:pt>
                <c:pt idx="215">
                  <c:v>44573</c:v>
                </c:pt>
                <c:pt idx="216">
                  <c:v>44574</c:v>
                </c:pt>
                <c:pt idx="217">
                  <c:v>44575</c:v>
                </c:pt>
                <c:pt idx="218">
                  <c:v>44578</c:v>
                </c:pt>
                <c:pt idx="219">
                  <c:v>44579</c:v>
                </c:pt>
                <c:pt idx="220">
                  <c:v>44580</c:v>
                </c:pt>
                <c:pt idx="221">
                  <c:v>44581</c:v>
                </c:pt>
                <c:pt idx="222">
                  <c:v>44582</c:v>
                </c:pt>
                <c:pt idx="223">
                  <c:v>44585</c:v>
                </c:pt>
                <c:pt idx="224">
                  <c:v>44586</c:v>
                </c:pt>
                <c:pt idx="225">
                  <c:v>44588</c:v>
                </c:pt>
                <c:pt idx="226">
                  <c:v>44589</c:v>
                </c:pt>
                <c:pt idx="227">
                  <c:v>44592</c:v>
                </c:pt>
                <c:pt idx="228">
                  <c:v>44593</c:v>
                </c:pt>
                <c:pt idx="229">
                  <c:v>44594</c:v>
                </c:pt>
                <c:pt idx="230">
                  <c:v>44595</c:v>
                </c:pt>
                <c:pt idx="231">
                  <c:v>44596</c:v>
                </c:pt>
                <c:pt idx="232">
                  <c:v>44599</c:v>
                </c:pt>
                <c:pt idx="233">
                  <c:v>44600</c:v>
                </c:pt>
                <c:pt idx="234">
                  <c:v>44601</c:v>
                </c:pt>
                <c:pt idx="235">
                  <c:v>44602</c:v>
                </c:pt>
                <c:pt idx="236">
                  <c:v>44603</c:v>
                </c:pt>
                <c:pt idx="237">
                  <c:v>44606</c:v>
                </c:pt>
                <c:pt idx="238">
                  <c:v>44607</c:v>
                </c:pt>
                <c:pt idx="239">
                  <c:v>44608</c:v>
                </c:pt>
                <c:pt idx="240">
                  <c:v>44609</c:v>
                </c:pt>
                <c:pt idx="241">
                  <c:v>44610</c:v>
                </c:pt>
                <c:pt idx="242">
                  <c:v>44613</c:v>
                </c:pt>
                <c:pt idx="243">
                  <c:v>44614</c:v>
                </c:pt>
                <c:pt idx="244">
                  <c:v>44615</c:v>
                </c:pt>
                <c:pt idx="245">
                  <c:v>44616</c:v>
                </c:pt>
                <c:pt idx="246">
                  <c:v>44617</c:v>
                </c:pt>
                <c:pt idx="247">
                  <c:v>44620</c:v>
                </c:pt>
              </c:numCache>
            </c:numRef>
          </c:cat>
          <c:val>
            <c:numRef>
              <c:f>Indices!$G$2:$G$249</c:f>
              <c:numCache>
                <c:formatCode>0</c:formatCode>
                <c:ptCount val="248"/>
                <c:pt idx="0">
                  <c:v>100</c:v>
                </c:pt>
                <c:pt idx="1">
                  <c:v>100.89689427038823</c:v>
                </c:pt>
                <c:pt idx="2">
                  <c:v>103.1994110307363</c:v>
                </c:pt>
                <c:pt idx="3">
                  <c:v>101.9986038058327</c:v>
                </c:pt>
                <c:pt idx="4">
                  <c:v>101.11434749988966</c:v>
                </c:pt>
                <c:pt idx="5">
                  <c:v>101.18616323435599</c:v>
                </c:pt>
                <c:pt idx="6">
                  <c:v>102.35848488860535</c:v>
                </c:pt>
                <c:pt idx="7">
                  <c:v>102.86801551861791</c:v>
                </c:pt>
                <c:pt idx="8">
                  <c:v>101.89027839630248</c:v>
                </c:pt>
                <c:pt idx="9">
                  <c:v>101.09388603364505</c:v>
                </c:pt>
                <c:pt idx="10">
                  <c:v>101.03149862186004</c:v>
                </c:pt>
                <c:pt idx="11">
                  <c:v>99.90330954186372</c:v>
                </c:pt>
                <c:pt idx="12">
                  <c:v>98.729583669342674</c:v>
                </c:pt>
                <c:pt idx="13">
                  <c:v>100.01685061926023</c:v>
                </c:pt>
                <c:pt idx="14">
                  <c:v>99.842526950960661</c:v>
                </c:pt>
                <c:pt idx="15">
                  <c:v>100.40441486224616</c:v>
                </c:pt>
                <c:pt idx="16">
                  <c:v>98.656965524435378</c:v>
                </c:pt>
                <c:pt idx="17">
                  <c:v>97.172105003430275</c:v>
                </c:pt>
                <c:pt idx="18">
                  <c:v>98.312330240041049</c:v>
                </c:pt>
                <c:pt idx="19">
                  <c:v>100.57532828617163</c:v>
                </c:pt>
                <c:pt idx="20">
                  <c:v>99.316747509518564</c:v>
                </c:pt>
                <c:pt idx="21">
                  <c:v>100.36108469843408</c:v>
                </c:pt>
                <c:pt idx="22">
                  <c:v>98.614838976284744</c:v>
                </c:pt>
                <c:pt idx="23">
                  <c:v>98.699292675196276</c:v>
                </c:pt>
                <c:pt idx="24">
                  <c:v>99.622867092746603</c:v>
                </c:pt>
                <c:pt idx="25">
                  <c:v>99.792175695790135</c:v>
                </c:pt>
                <c:pt idx="26">
                  <c:v>99.481442252526591</c:v>
                </c:pt>
                <c:pt idx="27">
                  <c:v>96.055350272217751</c:v>
                </c:pt>
                <c:pt idx="28">
                  <c:v>97.380731718081122</c:v>
                </c:pt>
                <c:pt idx="29">
                  <c:v>97.901496094267188</c:v>
                </c:pt>
                <c:pt idx="30">
                  <c:v>97.958266632965447</c:v>
                </c:pt>
                <c:pt idx="31">
                  <c:v>96.187747994976931</c:v>
                </c:pt>
                <c:pt idx="32">
                  <c:v>95.699080036429464</c:v>
                </c:pt>
                <c:pt idx="33">
                  <c:v>96.451139222223588</c:v>
                </c:pt>
                <c:pt idx="34">
                  <c:v>96.045520744315965</c:v>
                </c:pt>
                <c:pt idx="35">
                  <c:v>97.064582004341077</c:v>
                </c:pt>
                <c:pt idx="36">
                  <c:v>98.183142159045801</c:v>
                </c:pt>
                <c:pt idx="37">
                  <c:v>99.767300972120282</c:v>
                </c:pt>
                <c:pt idx="38">
                  <c:v>99.8316944100077</c:v>
                </c:pt>
                <c:pt idx="39">
                  <c:v>97.858767738285835</c:v>
                </c:pt>
                <c:pt idx="40">
                  <c:v>97.730582670341732</c:v>
                </c:pt>
                <c:pt idx="41">
                  <c:v>96.797780532720324</c:v>
                </c:pt>
                <c:pt idx="42">
                  <c:v>97.648536202753093</c:v>
                </c:pt>
                <c:pt idx="43">
                  <c:v>98.194576507829552</c:v>
                </c:pt>
                <c:pt idx="44">
                  <c:v>98.709523408318631</c:v>
                </c:pt>
                <c:pt idx="45">
                  <c:v>99.303106532022227</c:v>
                </c:pt>
                <c:pt idx="46">
                  <c:v>98.619854041540819</c:v>
                </c:pt>
                <c:pt idx="47">
                  <c:v>97.675015747304926</c:v>
                </c:pt>
                <c:pt idx="48">
                  <c:v>97.758867638385723</c:v>
                </c:pt>
                <c:pt idx="49">
                  <c:v>99.460178375841025</c:v>
                </c:pt>
                <c:pt idx="50">
                  <c:v>100.68906996617841</c:v>
                </c:pt>
                <c:pt idx="51">
                  <c:v>100.10591817820733</c:v>
                </c:pt>
                <c:pt idx="52">
                  <c:v>99.428483163422925</c:v>
                </c:pt>
                <c:pt idx="53">
                  <c:v>101.38556222893573</c:v>
                </c:pt>
                <c:pt idx="54">
                  <c:v>101.60903353674439</c:v>
                </c:pt>
                <c:pt idx="55">
                  <c:v>101.58014676086965</c:v>
                </c:pt>
                <c:pt idx="56">
                  <c:v>102.34243667978608</c:v>
                </c:pt>
                <c:pt idx="57">
                  <c:v>102.53842542999169</c:v>
                </c:pt>
                <c:pt idx="58">
                  <c:v>103.15567966170376</c:v>
                </c:pt>
                <c:pt idx="59">
                  <c:v>104.18778009139456</c:v>
                </c:pt>
                <c:pt idx="60">
                  <c:v>104.18276502613854</c:v>
                </c:pt>
                <c:pt idx="61">
                  <c:v>104.01145039699259</c:v>
                </c:pt>
                <c:pt idx="62">
                  <c:v>104.77955779160601</c:v>
                </c:pt>
                <c:pt idx="63">
                  <c:v>104.51416053825695</c:v>
                </c:pt>
                <c:pt idx="64">
                  <c:v>104.97233690004775</c:v>
                </c:pt>
                <c:pt idx="65">
                  <c:v>104.86621811923017</c:v>
                </c:pt>
                <c:pt idx="66">
                  <c:v>104.19620540102468</c:v>
                </c:pt>
                <c:pt idx="67">
                  <c:v>104.91616816918024</c:v>
                </c:pt>
                <c:pt idx="68">
                  <c:v>105.26581851883059</c:v>
                </c:pt>
                <c:pt idx="69">
                  <c:v>105.41968072088555</c:v>
                </c:pt>
                <c:pt idx="70">
                  <c:v>105.86421610517996</c:v>
                </c:pt>
                <c:pt idx="71">
                  <c:v>105.32038242881616</c:v>
                </c:pt>
                <c:pt idx="72">
                  <c:v>104.9619055643152</c:v>
                </c:pt>
                <c:pt idx="73">
                  <c:v>105.00443331768632</c:v>
                </c:pt>
                <c:pt idx="74">
                  <c:v>105.465819321241</c:v>
                </c:pt>
                <c:pt idx="75">
                  <c:v>105.49430489189524</c:v>
                </c:pt>
                <c:pt idx="76">
                  <c:v>104.92740191535371</c:v>
                </c:pt>
                <c:pt idx="77">
                  <c:v>105.71556957099126</c:v>
                </c:pt>
                <c:pt idx="78">
                  <c:v>106.1689314701363</c:v>
                </c:pt>
                <c:pt idx="79">
                  <c:v>105.78899012633953</c:v>
                </c:pt>
                <c:pt idx="80">
                  <c:v>105.41606987390121</c:v>
                </c:pt>
                <c:pt idx="81">
                  <c:v>105.28166612503964</c:v>
                </c:pt>
                <c:pt idx="82">
                  <c:v>104.95247724163389</c:v>
                </c:pt>
                <c:pt idx="83">
                  <c:v>105.28567817724445</c:v>
                </c:pt>
                <c:pt idx="84">
                  <c:v>106.07866029552778</c:v>
                </c:pt>
                <c:pt idx="85">
                  <c:v>106.04094700480245</c:v>
                </c:pt>
                <c:pt idx="86">
                  <c:v>106.42931365822936</c:v>
                </c:pt>
                <c:pt idx="87">
                  <c:v>105.45458557506754</c:v>
                </c:pt>
                <c:pt idx="88">
                  <c:v>105.08808460615693</c:v>
                </c:pt>
                <c:pt idx="89">
                  <c:v>105.06100325377437</c:v>
                </c:pt>
                <c:pt idx="90">
                  <c:v>105.8573956164318</c:v>
                </c:pt>
                <c:pt idx="91">
                  <c:v>106.12700552459594</c:v>
                </c:pt>
                <c:pt idx="92">
                  <c:v>106.63814097549044</c:v>
                </c:pt>
                <c:pt idx="93">
                  <c:v>106.60042768476511</c:v>
                </c:pt>
                <c:pt idx="94">
                  <c:v>105.4234921704802</c:v>
                </c:pt>
                <c:pt idx="95">
                  <c:v>104.7115535067343</c:v>
                </c:pt>
                <c:pt idx="96">
                  <c:v>105.99280237834461</c:v>
                </c:pt>
                <c:pt idx="97">
                  <c:v>106.27083759613886</c:v>
                </c:pt>
                <c:pt idx="98">
                  <c:v>106.02309337249102</c:v>
                </c:pt>
                <c:pt idx="99">
                  <c:v>105.47444523348143</c:v>
                </c:pt>
                <c:pt idx="100">
                  <c:v>105.2034311070456</c:v>
                </c:pt>
                <c:pt idx="101">
                  <c:v>105.6234929728906</c:v>
                </c:pt>
                <c:pt idx="102">
                  <c:v>105.49049344230072</c:v>
                </c:pt>
                <c:pt idx="103">
                  <c:v>106.22028573835806</c:v>
                </c:pt>
                <c:pt idx="104">
                  <c:v>107.97114532054295</c:v>
                </c:pt>
                <c:pt idx="105">
                  <c:v>109.06723798290068</c:v>
                </c:pt>
                <c:pt idx="106">
                  <c:v>109.3139791934973</c:v>
                </c:pt>
                <c:pt idx="107">
                  <c:v>108.88248297886854</c:v>
                </c:pt>
                <c:pt idx="108">
                  <c:v>109.13363744689049</c:v>
                </c:pt>
                <c:pt idx="109">
                  <c:v>109.43815220923656</c:v>
                </c:pt>
                <c:pt idx="110">
                  <c:v>109.38037865748711</c:v>
                </c:pt>
                <c:pt idx="111">
                  <c:v>110.01849556066426</c:v>
                </c:pt>
                <c:pt idx="112">
                  <c:v>111.20867084722511</c:v>
                </c:pt>
                <c:pt idx="113">
                  <c:v>111.50014643990552</c:v>
                </c:pt>
                <c:pt idx="114">
                  <c:v>111.92081011358125</c:v>
                </c:pt>
                <c:pt idx="115">
                  <c:v>111.59422906410863</c:v>
                </c:pt>
                <c:pt idx="116">
                  <c:v>110.99202002816466</c:v>
                </c:pt>
                <c:pt idx="117">
                  <c:v>111.44638494036091</c:v>
                </c:pt>
                <c:pt idx="118">
                  <c:v>112.25521466485328</c:v>
                </c:pt>
                <c:pt idx="119">
                  <c:v>112.22552547853759</c:v>
                </c:pt>
                <c:pt idx="120">
                  <c:v>112.23535500643941</c:v>
                </c:pt>
                <c:pt idx="121">
                  <c:v>112.58761319002289</c:v>
                </c:pt>
                <c:pt idx="122">
                  <c:v>114.12242376097807</c:v>
                </c:pt>
                <c:pt idx="123">
                  <c:v>115.45161665643602</c:v>
                </c:pt>
                <c:pt idx="124">
                  <c:v>115.02192586529944</c:v>
                </c:pt>
                <c:pt idx="125">
                  <c:v>116.05362508976974</c:v>
                </c:pt>
                <c:pt idx="126">
                  <c:v>116.61029733318897</c:v>
                </c:pt>
                <c:pt idx="127">
                  <c:v>116.94510308968147</c:v>
                </c:pt>
                <c:pt idx="128">
                  <c:v>116.91019823549949</c:v>
                </c:pt>
                <c:pt idx="129">
                  <c:v>116.85162227330909</c:v>
                </c:pt>
                <c:pt idx="130">
                  <c:v>116.96155250372124</c:v>
                </c:pt>
                <c:pt idx="131">
                  <c:v>116.70618538088424</c:v>
                </c:pt>
                <c:pt idx="132">
                  <c:v>116.84520298978137</c:v>
                </c:pt>
                <c:pt idx="133">
                  <c:v>117.80027201713955</c:v>
                </c:pt>
                <c:pt idx="134">
                  <c:v>118.63879092794761</c:v>
                </c:pt>
                <c:pt idx="135">
                  <c:v>118.38743585731544</c:v>
                </c:pt>
                <c:pt idx="136">
                  <c:v>117.33427215354932</c:v>
                </c:pt>
                <c:pt idx="137">
                  <c:v>118.36617198062989</c:v>
                </c:pt>
                <c:pt idx="138">
                  <c:v>118.20970194464178</c:v>
                </c:pt>
                <c:pt idx="139">
                  <c:v>120.13167555336237</c:v>
                </c:pt>
                <c:pt idx="140">
                  <c:v>120.45885841066571</c:v>
                </c:pt>
                <c:pt idx="141">
                  <c:v>120.51783557807661</c:v>
                </c:pt>
                <c:pt idx="142">
                  <c:v>119.6947630682571</c:v>
                </c:pt>
                <c:pt idx="143">
                  <c:v>119.18463063041384</c:v>
                </c:pt>
                <c:pt idx="144">
                  <c:v>118.60910174163193</c:v>
                </c:pt>
                <c:pt idx="145">
                  <c:v>117.88532752388181</c:v>
                </c:pt>
                <c:pt idx="146">
                  <c:v>118.95594365473893</c:v>
                </c:pt>
                <c:pt idx="147">
                  <c:v>119.84982888597355</c:v>
                </c:pt>
                <c:pt idx="148">
                  <c:v>118.7360831939146</c:v>
                </c:pt>
                <c:pt idx="149">
                  <c:v>119.71522453450173</c:v>
                </c:pt>
                <c:pt idx="150">
                  <c:v>120.48012228735128</c:v>
                </c:pt>
                <c:pt idx="151">
                  <c:v>120.63398448940626</c:v>
                </c:pt>
                <c:pt idx="152">
                  <c:v>120.93187936561438</c:v>
                </c:pt>
                <c:pt idx="153">
                  <c:v>121.84020798478636</c:v>
                </c:pt>
                <c:pt idx="154">
                  <c:v>122.98143623444835</c:v>
                </c:pt>
                <c:pt idx="155">
                  <c:v>123.90340583111674</c:v>
                </c:pt>
                <c:pt idx="156">
                  <c:v>123.80410753904737</c:v>
                </c:pt>
                <c:pt idx="157">
                  <c:v>122.88915903373743</c:v>
                </c:pt>
                <c:pt idx="158">
                  <c:v>122.2141312502759</c:v>
                </c:pt>
                <c:pt idx="159">
                  <c:v>122.00971719044014</c:v>
                </c:pt>
                <c:pt idx="160">
                  <c:v>122.30159398834104</c:v>
                </c:pt>
                <c:pt idx="161">
                  <c:v>123.0703031907852</c:v>
                </c:pt>
                <c:pt idx="162">
                  <c:v>122.65505578758599</c:v>
                </c:pt>
                <c:pt idx="163">
                  <c:v>120.33087394533186</c:v>
                </c:pt>
                <c:pt idx="164">
                  <c:v>118.97118945311725</c:v>
                </c:pt>
                <c:pt idx="165">
                  <c:v>120.63932051883869</c:v>
                </c:pt>
                <c:pt idx="166">
                  <c:v>120.41986126323485</c:v>
                </c:pt>
                <c:pt idx="167">
                  <c:v>119.90403171126073</c:v>
                </c:pt>
                <c:pt idx="168">
                  <c:v>120.49721362974385</c:v>
                </c:pt>
                <c:pt idx="169">
                  <c:v>121.45607404643559</c:v>
                </c:pt>
                <c:pt idx="170">
                  <c:v>121.23107815878909</c:v>
                </c:pt>
                <c:pt idx="171">
                  <c:v>121.06933227415163</c:v>
                </c:pt>
                <c:pt idx="172">
                  <c:v>120.20046218841408</c:v>
                </c:pt>
                <c:pt idx="173">
                  <c:v>121.7390842089638</c:v>
                </c:pt>
                <c:pt idx="174">
                  <c:v>121.803317164763</c:v>
                </c:pt>
                <c:pt idx="175">
                  <c:v>121.00824877933317</c:v>
                </c:pt>
                <c:pt idx="176">
                  <c:v>120.37827634213181</c:v>
                </c:pt>
                <c:pt idx="177">
                  <c:v>119.63139270368191</c:v>
                </c:pt>
                <c:pt idx="178">
                  <c:v>117.28410144072799</c:v>
                </c:pt>
                <c:pt idx="179">
                  <c:v>117.68217726049056</c:v>
                </c:pt>
                <c:pt idx="180">
                  <c:v>117.03354878053678</c:v>
                </c:pt>
                <c:pt idx="181">
                  <c:v>117.9444852336419</c:v>
                </c:pt>
                <c:pt idx="182">
                  <c:v>114.5584335343372</c:v>
                </c:pt>
                <c:pt idx="183">
                  <c:v>114.86621811923021</c:v>
                </c:pt>
                <c:pt idx="184">
                  <c:v>114.47361875072724</c:v>
                </c:pt>
                <c:pt idx="185">
                  <c:v>115.71719445213427</c:v>
                </c:pt>
                <c:pt idx="186">
                  <c:v>117.27487372065691</c:v>
                </c:pt>
                <c:pt idx="187">
                  <c:v>115.74060477674941</c:v>
                </c:pt>
                <c:pt idx="188">
                  <c:v>113.83624407720799</c:v>
                </c:pt>
                <c:pt idx="189">
                  <c:v>115.61460627725694</c:v>
                </c:pt>
                <c:pt idx="190">
                  <c:v>117.65278897809024</c:v>
                </c:pt>
                <c:pt idx="191">
                  <c:v>117.96863778791494</c:v>
                </c:pt>
                <c:pt idx="192">
                  <c:v>117.92759449385962</c:v>
                </c:pt>
                <c:pt idx="193">
                  <c:v>116.91806185782096</c:v>
                </c:pt>
                <c:pt idx="194">
                  <c:v>116.58439953620683</c:v>
                </c:pt>
                <c:pt idx="195">
                  <c:v>115.92429658694726</c:v>
                </c:pt>
                <c:pt idx="196">
                  <c:v>116.15119819939103</c:v>
                </c:pt>
                <c:pt idx="197">
                  <c:v>114.36703858390612</c:v>
                </c:pt>
                <c:pt idx="198">
                  <c:v>111.98040914908393</c:v>
                </c:pt>
                <c:pt idx="199">
                  <c:v>112.97740412198252</c:v>
                </c:pt>
                <c:pt idx="200">
                  <c:v>114.20418938491234</c:v>
                </c:pt>
                <c:pt idx="201">
                  <c:v>114.97594774703215</c:v>
                </c:pt>
                <c:pt idx="202">
                  <c:v>114.5928569422546</c:v>
                </c:pt>
                <c:pt idx="203">
                  <c:v>115.18650024674128</c:v>
                </c:pt>
                <c:pt idx="204">
                  <c:v>116.14385614385623</c:v>
                </c:pt>
                <c:pt idx="205">
                  <c:v>115.96132782879778</c:v>
                </c:pt>
                <c:pt idx="206">
                  <c:v>115.93691449113143</c:v>
                </c:pt>
                <c:pt idx="207">
                  <c:v>116.85868348518957</c:v>
                </c:pt>
                <c:pt idx="208">
                  <c:v>118.72308414477097</c:v>
                </c:pt>
                <c:pt idx="209">
                  <c:v>120.07255796412431</c:v>
                </c:pt>
                <c:pt idx="210">
                  <c:v>120.80921086945193</c:v>
                </c:pt>
                <c:pt idx="211">
                  <c:v>119.56284679176254</c:v>
                </c:pt>
                <c:pt idx="212">
                  <c:v>119.84932737944796</c:v>
                </c:pt>
                <c:pt idx="213">
                  <c:v>121.15521025159589</c:v>
                </c:pt>
                <c:pt idx="214">
                  <c:v>121.59906358701551</c:v>
                </c:pt>
                <c:pt idx="215">
                  <c:v>122.66857640351627</c:v>
                </c:pt>
                <c:pt idx="216">
                  <c:v>122.83961018900789</c:v>
                </c:pt>
                <c:pt idx="217">
                  <c:v>122.81499624873129</c:v>
                </c:pt>
                <c:pt idx="218">
                  <c:v>122.98727377040642</c:v>
                </c:pt>
                <c:pt idx="219">
                  <c:v>121.87583500836524</c:v>
                </c:pt>
                <c:pt idx="220">
                  <c:v>120.5598016441391</c:v>
                </c:pt>
                <c:pt idx="221">
                  <c:v>119.28757988998964</c:v>
                </c:pt>
                <c:pt idx="222">
                  <c:v>118.4301240927748</c:v>
                </c:pt>
                <c:pt idx="223">
                  <c:v>115.3294697270602</c:v>
                </c:pt>
                <c:pt idx="224">
                  <c:v>116.06495913724839</c:v>
                </c:pt>
                <c:pt idx="225">
                  <c:v>114.89903670626572</c:v>
                </c:pt>
                <c:pt idx="226">
                  <c:v>114.74515444394972</c:v>
                </c:pt>
                <c:pt idx="227">
                  <c:v>116.37793932974665</c:v>
                </c:pt>
                <c:pt idx="228">
                  <c:v>118.07985187503269</c:v>
                </c:pt>
                <c:pt idx="229">
                  <c:v>119.47556459604661</c:v>
                </c:pt>
                <c:pt idx="230">
                  <c:v>117.93030262909788</c:v>
                </c:pt>
                <c:pt idx="231">
                  <c:v>117.64303969123254</c:v>
                </c:pt>
                <c:pt idx="232">
                  <c:v>115.58961119202091</c:v>
                </c:pt>
                <c:pt idx="233">
                  <c:v>115.96552042335182</c:v>
                </c:pt>
                <c:pt idx="234">
                  <c:v>117.28426192281621</c:v>
                </c:pt>
                <c:pt idx="235">
                  <c:v>118.2071542914917</c:v>
                </c:pt>
                <c:pt idx="236">
                  <c:v>116.65627545145624</c:v>
                </c:pt>
                <c:pt idx="237">
                  <c:v>113.1515873684549</c:v>
                </c:pt>
                <c:pt idx="238">
                  <c:v>116.63446994772303</c:v>
                </c:pt>
                <c:pt idx="239">
                  <c:v>116.34285393321545</c:v>
                </c:pt>
                <c:pt idx="240">
                  <c:v>116.13288318107602</c:v>
                </c:pt>
                <c:pt idx="241">
                  <c:v>116.01444739998963</c:v>
                </c:pt>
                <c:pt idx="242">
                  <c:v>115.71478722081137</c:v>
                </c:pt>
                <c:pt idx="243">
                  <c:v>114.94665976593693</c:v>
                </c:pt>
                <c:pt idx="244">
                  <c:v>114.80900625478942</c:v>
                </c:pt>
                <c:pt idx="245">
                  <c:v>109.38842282215781</c:v>
                </c:pt>
                <c:pt idx="246">
                  <c:v>112.05364916208293</c:v>
                </c:pt>
                <c:pt idx="247">
                  <c:v>112.8335118696565</c:v>
                </c:pt>
              </c:numCache>
            </c:numRef>
          </c:val>
          <c:smooth val="0"/>
          <c:extLst xmlns:c16r2="http://schemas.microsoft.com/office/drawing/2015/06/chart">
            <c:ext xmlns:c16="http://schemas.microsoft.com/office/drawing/2014/chart" uri="{C3380CC4-5D6E-409C-BE32-E72D297353CC}">
              <c16:uniqueId val="{00000001-3DD1-4744-B89F-FBAA72889017}"/>
            </c:ext>
          </c:extLst>
        </c:ser>
        <c:dLbls>
          <c:showLegendKey val="0"/>
          <c:showVal val="0"/>
          <c:showCatName val="0"/>
          <c:showSerName val="0"/>
          <c:showPercent val="0"/>
          <c:showBubbleSize val="0"/>
        </c:dLbls>
        <c:smooth val="0"/>
        <c:axId val="481661888"/>
        <c:axId val="481660712"/>
      </c:lineChart>
      <c:dateAx>
        <c:axId val="481661888"/>
        <c:scaling>
          <c:orientation val="minMax"/>
        </c:scaling>
        <c:delete val="0"/>
        <c:axPos val="b"/>
        <c:numFmt formatCode="[$-409]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481660712"/>
        <c:crosses val="autoZero"/>
        <c:auto val="1"/>
        <c:lblOffset val="100"/>
        <c:baseTimeUnit val="days"/>
      </c:dateAx>
      <c:valAx>
        <c:axId val="481660712"/>
        <c:scaling>
          <c:orientation val="minMax"/>
          <c:min val="9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481661888"/>
        <c:crosses val="autoZero"/>
        <c:crossBetween val="between"/>
      </c:valAx>
      <c:spPr>
        <a:noFill/>
        <a:ln>
          <a:noFill/>
        </a:ln>
        <a:effectLst/>
      </c:spPr>
    </c:plotArea>
    <c:legend>
      <c:legendPos val="b"/>
      <c:layout>
        <c:manualLayout>
          <c:xMode val="edge"/>
          <c:yMode val="edge"/>
          <c:x val="0.38152225614655311"/>
          <c:y val="0.90595871462013211"/>
          <c:w val="0.24511875301301622"/>
          <c:h val="8.421327555185823E-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Garamond" panose="02020404030301010803"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71408458048704"/>
          <c:y val="2.7597065390420877E-2"/>
          <c:w val="0.81568441362048283"/>
          <c:h val="0.65597657310486546"/>
        </c:manualLayout>
      </c:layout>
      <c:barChart>
        <c:barDir val="col"/>
        <c:grouping val="clustered"/>
        <c:varyColors val="0"/>
        <c:ser>
          <c:idx val="2"/>
          <c:order val="0"/>
          <c:tx>
            <c:strRef>
              <c:f>ADT!$B$4</c:f>
              <c:strCache>
                <c:ptCount val="1"/>
                <c:pt idx="0">
                  <c:v>ADT at BSE (RHS)</c:v>
                </c:pt>
              </c:strCache>
            </c:strRef>
          </c:tx>
          <c:spPr>
            <a:solidFill>
              <a:srgbClr val="00B050"/>
            </a:solidFill>
            <a:ln>
              <a:noFill/>
            </a:ln>
            <a:effectLst/>
          </c:spPr>
          <c:invertIfNegative val="0"/>
          <c:cat>
            <c:numRef>
              <c:f>ADT!$A$8:$A$19</c:f>
              <c:numCache>
                <c:formatCode>[$-409]mmm\-yy</c:formatCode>
                <c:ptCount val="12"/>
                <c:pt idx="0">
                  <c:v>44265</c:v>
                </c:pt>
                <c:pt idx="1">
                  <c:v>44296</c:v>
                </c:pt>
                <c:pt idx="2">
                  <c:v>44317</c:v>
                </c:pt>
                <c:pt idx="3">
                  <c:v>44348</c:v>
                </c:pt>
                <c:pt idx="4">
                  <c:v>44378</c:v>
                </c:pt>
                <c:pt idx="5">
                  <c:v>44409</c:v>
                </c:pt>
                <c:pt idx="6">
                  <c:v>44440</c:v>
                </c:pt>
                <c:pt idx="7">
                  <c:v>44471</c:v>
                </c:pt>
                <c:pt idx="8">
                  <c:v>44501</c:v>
                </c:pt>
                <c:pt idx="9">
                  <c:v>44531</c:v>
                </c:pt>
                <c:pt idx="10">
                  <c:v>44562</c:v>
                </c:pt>
                <c:pt idx="11">
                  <c:v>44593</c:v>
                </c:pt>
              </c:numCache>
            </c:numRef>
          </c:cat>
          <c:val>
            <c:numRef>
              <c:f>ADT!$B$8:$B$19</c:f>
              <c:numCache>
                <c:formatCode>#,##0;\-#,##0;0</c:formatCode>
                <c:ptCount val="12"/>
                <c:pt idx="0">
                  <c:v>5010.8952380950004</c:v>
                </c:pt>
                <c:pt idx="1">
                  <c:v>4362.0763157900001</c:v>
                </c:pt>
                <c:pt idx="2">
                  <c:v>5625.0295000000006</c:v>
                </c:pt>
                <c:pt idx="3">
                  <c:v>6815.7186363636347</c:v>
                </c:pt>
                <c:pt idx="4">
                  <c:v>5525.4642857142853</c:v>
                </c:pt>
                <c:pt idx="5">
                  <c:v>5199.0995238100004</c:v>
                </c:pt>
                <c:pt idx="6">
                  <c:v>6141.6595238099999</c:v>
                </c:pt>
                <c:pt idx="7">
                  <c:v>6686.43</c:v>
                </c:pt>
                <c:pt idx="8">
                  <c:v>4853.2844999999998</c:v>
                </c:pt>
                <c:pt idx="9">
                  <c:v>4256.3873913043499</c:v>
                </c:pt>
                <c:pt idx="10">
                  <c:v>5364.6855000000014</c:v>
                </c:pt>
                <c:pt idx="11">
                  <c:v>4812.4435000000003</c:v>
                </c:pt>
              </c:numCache>
            </c:numRef>
          </c:val>
          <c:extLst xmlns:c16r2="http://schemas.microsoft.com/office/drawing/2015/06/chart">
            <c:ext xmlns:c16="http://schemas.microsoft.com/office/drawing/2014/chart" uri="{C3380CC4-5D6E-409C-BE32-E72D297353CC}">
              <c16:uniqueId val="{00000000-4409-44ED-B9E6-B526B42BD3CF}"/>
            </c:ext>
          </c:extLst>
        </c:ser>
        <c:dLbls>
          <c:showLegendKey val="0"/>
          <c:showVal val="0"/>
          <c:showCatName val="0"/>
          <c:showSerName val="0"/>
          <c:showPercent val="0"/>
          <c:showBubbleSize val="0"/>
        </c:dLbls>
        <c:gapWidth val="219"/>
        <c:overlap val="-27"/>
        <c:axId val="481384216"/>
        <c:axId val="481383824"/>
      </c:barChart>
      <c:lineChart>
        <c:grouping val="standard"/>
        <c:varyColors val="0"/>
        <c:ser>
          <c:idx val="0"/>
          <c:order val="1"/>
          <c:tx>
            <c:strRef>
              <c:f>ADT!$C$4</c:f>
              <c:strCache>
                <c:ptCount val="1"/>
                <c:pt idx="0">
                  <c:v>ADT at NSE (LHS)</c:v>
                </c:pt>
              </c:strCache>
            </c:strRef>
          </c:tx>
          <c:spPr>
            <a:ln w="28575" cap="rnd">
              <a:solidFill>
                <a:schemeClr val="accent1"/>
              </a:solidFill>
              <a:round/>
            </a:ln>
            <a:effectLst/>
          </c:spPr>
          <c:marker>
            <c:symbol val="none"/>
          </c:marker>
          <c:cat>
            <c:numRef>
              <c:f>ADT!$A$8:$A$19</c:f>
              <c:numCache>
                <c:formatCode>[$-409]mmm\-yy</c:formatCode>
                <c:ptCount val="12"/>
                <c:pt idx="0">
                  <c:v>44265</c:v>
                </c:pt>
                <c:pt idx="1">
                  <c:v>44296</c:v>
                </c:pt>
                <c:pt idx="2">
                  <c:v>44317</c:v>
                </c:pt>
                <c:pt idx="3">
                  <c:v>44348</c:v>
                </c:pt>
                <c:pt idx="4">
                  <c:v>44378</c:v>
                </c:pt>
                <c:pt idx="5">
                  <c:v>44409</c:v>
                </c:pt>
                <c:pt idx="6">
                  <c:v>44440</c:v>
                </c:pt>
                <c:pt idx="7">
                  <c:v>44471</c:v>
                </c:pt>
                <c:pt idx="8">
                  <c:v>44501</c:v>
                </c:pt>
                <c:pt idx="9">
                  <c:v>44531</c:v>
                </c:pt>
                <c:pt idx="10">
                  <c:v>44562</c:v>
                </c:pt>
                <c:pt idx="11">
                  <c:v>44593</c:v>
                </c:pt>
              </c:numCache>
            </c:numRef>
          </c:cat>
          <c:val>
            <c:numRef>
              <c:f>ADT!$C$8:$C$19</c:f>
              <c:numCache>
                <c:formatCode>#,##0;\-#,##0;0</c:formatCode>
                <c:ptCount val="12"/>
                <c:pt idx="0">
                  <c:v>66616.515109999993</c:v>
                </c:pt>
                <c:pt idx="1">
                  <c:v>70036.149999999994</c:v>
                </c:pt>
                <c:pt idx="2">
                  <c:v>78395.767018697938</c:v>
                </c:pt>
                <c:pt idx="3">
                  <c:v>70667.895154310216</c:v>
                </c:pt>
                <c:pt idx="4">
                  <c:v>62653.139047681041</c:v>
                </c:pt>
                <c:pt idx="5">
                  <c:v>62923</c:v>
                </c:pt>
                <c:pt idx="6">
                  <c:v>68525</c:v>
                </c:pt>
                <c:pt idx="7">
                  <c:v>81360.84</c:v>
                </c:pt>
                <c:pt idx="8">
                  <c:v>66982</c:v>
                </c:pt>
                <c:pt idx="9">
                  <c:v>53597</c:v>
                </c:pt>
                <c:pt idx="10">
                  <c:v>64177.537499999999</c:v>
                </c:pt>
                <c:pt idx="11">
                  <c:v>58442.168107528145</c:v>
                </c:pt>
              </c:numCache>
            </c:numRef>
          </c:val>
          <c:smooth val="0"/>
          <c:extLst xmlns:c16r2="http://schemas.microsoft.com/office/drawing/2015/06/chart">
            <c:ext xmlns:c16="http://schemas.microsoft.com/office/drawing/2014/chart" uri="{C3380CC4-5D6E-409C-BE32-E72D297353CC}">
              <c16:uniqueId val="{00000001-4409-44ED-B9E6-B526B42BD3CF}"/>
            </c:ext>
          </c:extLst>
        </c:ser>
        <c:dLbls>
          <c:showLegendKey val="0"/>
          <c:showVal val="0"/>
          <c:showCatName val="0"/>
          <c:showSerName val="0"/>
          <c:showPercent val="0"/>
          <c:showBubbleSize val="0"/>
        </c:dLbls>
        <c:marker val="1"/>
        <c:smooth val="0"/>
        <c:axId val="481660320"/>
        <c:axId val="481661104"/>
        <c:extLst xmlns:c16r2="http://schemas.microsoft.com/office/drawing/2015/06/chart"/>
      </c:lineChart>
      <c:dateAx>
        <c:axId val="481660320"/>
        <c:scaling>
          <c:orientation val="minMax"/>
        </c:scaling>
        <c:delete val="0"/>
        <c:axPos val="b"/>
        <c:numFmt formatCode="[$-409]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Palatino Linotype" panose="02040502050505030304" pitchFamily="18" charset="0"/>
                <a:ea typeface="+mn-ea"/>
                <a:cs typeface="+mn-cs"/>
              </a:defRPr>
            </a:pPr>
            <a:endParaRPr lang="en-US"/>
          </a:p>
        </c:txPr>
        <c:crossAx val="481661104"/>
        <c:crosses val="autoZero"/>
        <c:auto val="1"/>
        <c:lblOffset val="100"/>
        <c:baseTimeUnit val="months"/>
      </c:dateAx>
      <c:valAx>
        <c:axId val="48166110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81660320"/>
        <c:crosses val="autoZero"/>
        <c:crossBetween val="between"/>
      </c:valAx>
      <c:valAx>
        <c:axId val="481383824"/>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81384216"/>
        <c:crosses val="max"/>
        <c:crossBetween val="between"/>
      </c:valAx>
      <c:dateAx>
        <c:axId val="481384216"/>
        <c:scaling>
          <c:orientation val="minMax"/>
        </c:scaling>
        <c:delete val="1"/>
        <c:axPos val="b"/>
        <c:numFmt formatCode="[$-409]mmm\-yy" sourceLinked="1"/>
        <c:majorTickMark val="out"/>
        <c:minorTickMark val="none"/>
        <c:tickLblPos val="nextTo"/>
        <c:crossAx val="481383824"/>
        <c:crosses val="autoZero"/>
        <c:auto val="1"/>
        <c:lblOffset val="100"/>
        <c:baseTimeUnit val="days"/>
        <c:majorUnit val="1"/>
        <c:minorUnit val="1"/>
      </c:date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Palatino Linotype" panose="0204050205050503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131889763779523E-2"/>
          <c:y val="5.1524036469125567E-2"/>
          <c:w val="0.82362510936132982"/>
          <c:h val="0.49203930903985832"/>
        </c:manualLayout>
      </c:layout>
      <c:barChart>
        <c:barDir val="col"/>
        <c:grouping val="clustered"/>
        <c:varyColors val="0"/>
        <c:ser>
          <c:idx val="0"/>
          <c:order val="0"/>
          <c:tx>
            <c:strRef>
              <c:f>'Rtn, Volt'!$F$5</c:f>
              <c:strCache>
                <c:ptCount val="1"/>
                <c:pt idx="0">
                  <c:v>Return (LHS)</c:v>
                </c:pt>
              </c:strCache>
            </c:strRef>
          </c:tx>
          <c:spPr>
            <a:solidFill>
              <a:srgbClr val="00B050"/>
            </a:solidFill>
            <a:ln>
              <a:noFill/>
            </a:ln>
            <a:effectLst/>
          </c:spPr>
          <c:invertIfNegative val="0"/>
          <c:cat>
            <c:strRef>
              <c:f>'Rtn, Volt'!$E$8:$E$17</c:f>
              <c:strCache>
                <c:ptCount val="10"/>
                <c:pt idx="0">
                  <c:v>BSE Metal</c:v>
                </c:pt>
                <c:pt idx="1">
                  <c:v>BSECons.Dur.</c:v>
                </c:pt>
                <c:pt idx="2">
                  <c:v>BSE Power</c:v>
                </c:pt>
                <c:pt idx="3">
                  <c:v>BSE Teck</c:v>
                </c:pt>
                <c:pt idx="4">
                  <c:v>BSE Bank</c:v>
                </c:pt>
                <c:pt idx="5">
                  <c:v>BSE Capital Goods</c:v>
                </c:pt>
                <c:pt idx="6">
                  <c:v>BSE Auto</c:v>
                </c:pt>
                <c:pt idx="7">
                  <c:v>BSE PSU</c:v>
                </c:pt>
                <c:pt idx="8">
                  <c:v>BSE Oil&amp;Gas</c:v>
                </c:pt>
                <c:pt idx="9">
                  <c:v>BSE Realty</c:v>
                </c:pt>
              </c:strCache>
            </c:strRef>
          </c:cat>
          <c:val>
            <c:numRef>
              <c:f>'Rtn, Volt'!$F$8:$F$17</c:f>
              <c:numCache>
                <c:formatCode>0.00</c:formatCode>
                <c:ptCount val="10"/>
                <c:pt idx="0">
                  <c:v>9.4767764643169059</c:v>
                </c:pt>
                <c:pt idx="1">
                  <c:v>2.8159008222745419</c:v>
                </c:pt>
                <c:pt idx="2">
                  <c:v>-2.1107516012861094</c:v>
                </c:pt>
                <c:pt idx="3">
                  <c:v>-3.7199266092978744</c:v>
                </c:pt>
                <c:pt idx="4">
                  <c:v>-4.4380837228261694</c:v>
                </c:pt>
                <c:pt idx="5">
                  <c:v>-5.1452245158325365</c:v>
                </c:pt>
                <c:pt idx="6">
                  <c:v>-6.7883883607937401</c:v>
                </c:pt>
                <c:pt idx="7">
                  <c:v>-7.1091471262863966</c:v>
                </c:pt>
                <c:pt idx="8">
                  <c:v>-7.2662490052066708</c:v>
                </c:pt>
                <c:pt idx="9">
                  <c:v>-9.0662475961601601</c:v>
                </c:pt>
              </c:numCache>
            </c:numRef>
          </c:val>
          <c:extLst xmlns:c16r2="http://schemas.microsoft.com/office/drawing/2015/06/chart">
            <c:ext xmlns:c16="http://schemas.microsoft.com/office/drawing/2014/chart" uri="{C3380CC4-5D6E-409C-BE32-E72D297353CC}">
              <c16:uniqueId val="{00000000-B709-46DA-A3E6-6AB6F8507430}"/>
            </c:ext>
          </c:extLst>
        </c:ser>
        <c:dLbls>
          <c:showLegendKey val="0"/>
          <c:showVal val="0"/>
          <c:showCatName val="0"/>
          <c:showSerName val="0"/>
          <c:showPercent val="0"/>
          <c:showBubbleSize val="0"/>
        </c:dLbls>
        <c:gapWidth val="219"/>
        <c:overlap val="-27"/>
        <c:axId val="481383040"/>
        <c:axId val="481383432"/>
      </c:barChart>
      <c:lineChart>
        <c:grouping val="standard"/>
        <c:varyColors val="0"/>
        <c:ser>
          <c:idx val="1"/>
          <c:order val="1"/>
          <c:tx>
            <c:strRef>
              <c:f>'Rtn, Volt'!$G$5</c:f>
              <c:strCache>
                <c:ptCount val="1"/>
                <c:pt idx="0">
                  <c:v>Volatility (RHS)</c:v>
                </c:pt>
              </c:strCache>
            </c:strRef>
          </c:tx>
          <c:spPr>
            <a:ln w="28575" cap="rnd">
              <a:solidFill>
                <a:srgbClr val="FF0000"/>
              </a:solidFill>
              <a:round/>
            </a:ln>
            <a:effectLst/>
          </c:spPr>
          <c:marker>
            <c:symbol val="none"/>
          </c:marker>
          <c:cat>
            <c:strRef>
              <c:f>'Rtn, Volt'!$E$8:$E$17</c:f>
              <c:strCache>
                <c:ptCount val="10"/>
                <c:pt idx="0">
                  <c:v>BSE Metal</c:v>
                </c:pt>
                <c:pt idx="1">
                  <c:v>BSECons.Dur.</c:v>
                </c:pt>
                <c:pt idx="2">
                  <c:v>BSE Power</c:v>
                </c:pt>
                <c:pt idx="3">
                  <c:v>BSE Teck</c:v>
                </c:pt>
                <c:pt idx="4">
                  <c:v>BSE Bank</c:v>
                </c:pt>
                <c:pt idx="5">
                  <c:v>BSE Capital Goods</c:v>
                </c:pt>
                <c:pt idx="6">
                  <c:v>BSE Auto</c:v>
                </c:pt>
                <c:pt idx="7">
                  <c:v>BSE PSU</c:v>
                </c:pt>
                <c:pt idx="8">
                  <c:v>BSE Oil&amp;Gas</c:v>
                </c:pt>
                <c:pt idx="9">
                  <c:v>BSE Realty</c:v>
                </c:pt>
              </c:strCache>
            </c:strRef>
          </c:cat>
          <c:val>
            <c:numRef>
              <c:f>'Rtn, Volt'!$G$8:$G$17</c:f>
              <c:numCache>
                <c:formatCode>0.00</c:formatCode>
                <c:ptCount val="10"/>
                <c:pt idx="0">
                  <c:v>2.6878113817595106</c:v>
                </c:pt>
                <c:pt idx="1">
                  <c:v>1.8347726699554638</c:v>
                </c:pt>
                <c:pt idx="2">
                  <c:v>2.2436336591536912</c:v>
                </c:pt>
                <c:pt idx="3">
                  <c:v>1.8257659662241341</c:v>
                </c:pt>
                <c:pt idx="4">
                  <c:v>2.2071775925981014</c:v>
                </c:pt>
                <c:pt idx="5">
                  <c:v>1.8529109804628994</c:v>
                </c:pt>
                <c:pt idx="6">
                  <c:v>2.1212784308170849</c:v>
                </c:pt>
                <c:pt idx="7">
                  <c:v>2.0523734713095614</c:v>
                </c:pt>
                <c:pt idx="8">
                  <c:v>1.7310832152084799</c:v>
                </c:pt>
                <c:pt idx="9">
                  <c:v>2.9851389160112727</c:v>
                </c:pt>
              </c:numCache>
            </c:numRef>
          </c:val>
          <c:smooth val="0"/>
          <c:extLst xmlns:c16r2="http://schemas.microsoft.com/office/drawing/2015/06/chart">
            <c:ext xmlns:c16="http://schemas.microsoft.com/office/drawing/2014/chart" uri="{C3380CC4-5D6E-409C-BE32-E72D297353CC}">
              <c16:uniqueId val="{00000001-B709-46DA-A3E6-6AB6F8507430}"/>
            </c:ext>
          </c:extLst>
        </c:ser>
        <c:dLbls>
          <c:showLegendKey val="0"/>
          <c:showVal val="0"/>
          <c:showCatName val="0"/>
          <c:showSerName val="0"/>
          <c:showPercent val="0"/>
          <c:showBubbleSize val="0"/>
        </c:dLbls>
        <c:marker val="1"/>
        <c:smooth val="0"/>
        <c:axId val="550049096"/>
        <c:axId val="550046352"/>
      </c:lineChart>
      <c:catAx>
        <c:axId val="48138304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81383432"/>
        <c:crosses val="autoZero"/>
        <c:auto val="1"/>
        <c:lblAlgn val="ctr"/>
        <c:lblOffset val="100"/>
        <c:noMultiLvlLbl val="0"/>
      </c:catAx>
      <c:valAx>
        <c:axId val="481383432"/>
        <c:scaling>
          <c:orientation val="minMax"/>
          <c:max val="15"/>
          <c:min val="-15"/>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81383040"/>
        <c:crosses val="autoZero"/>
        <c:crossBetween val="between"/>
      </c:valAx>
      <c:valAx>
        <c:axId val="550046352"/>
        <c:scaling>
          <c:orientation val="minMax"/>
          <c:max val="4"/>
          <c:min val="-4"/>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550049096"/>
        <c:crosses val="max"/>
        <c:crossBetween val="between"/>
        <c:majorUnit val="1"/>
      </c:valAx>
      <c:catAx>
        <c:axId val="550049096"/>
        <c:scaling>
          <c:orientation val="minMax"/>
        </c:scaling>
        <c:delete val="1"/>
        <c:axPos val="b"/>
        <c:numFmt formatCode="General" sourceLinked="1"/>
        <c:majorTickMark val="out"/>
        <c:minorTickMark val="none"/>
        <c:tickLblPos val="nextTo"/>
        <c:crossAx val="550046352"/>
        <c:crosses val="autoZero"/>
        <c:auto val="1"/>
        <c:lblAlgn val="ctr"/>
        <c:lblOffset val="100"/>
        <c:noMultiLvlLbl val="0"/>
      </c:catAx>
      <c:spPr>
        <a:noFill/>
        <a:ln>
          <a:solidFill>
            <a:sysClr val="window" lastClr="FFFFFF">
              <a:lumMod val="65000"/>
            </a:sysClr>
          </a:solidFill>
        </a:ln>
        <a:effectLst/>
      </c:spPr>
    </c:plotArea>
    <c:legend>
      <c:legendPos val="b"/>
      <c:layout>
        <c:manualLayout>
          <c:xMode val="edge"/>
          <c:yMode val="edge"/>
          <c:x val="0.27204128297522134"/>
          <c:y val="0.89843089381269203"/>
          <c:w val="0.4960808735333041"/>
          <c:h val="9.9665379665379666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Palatino Linotype" panose="0204050205050503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131889763779523E-2"/>
          <c:y val="5.4386482939632545E-2"/>
          <c:w val="0.82362510936132982"/>
          <c:h val="0.59328943312690896"/>
        </c:manualLayout>
      </c:layout>
      <c:barChart>
        <c:barDir val="col"/>
        <c:grouping val="clustered"/>
        <c:varyColors val="0"/>
        <c:ser>
          <c:idx val="0"/>
          <c:order val="0"/>
          <c:tx>
            <c:strRef>
              <c:f>'Rtn, Volt'!$B$5</c:f>
              <c:strCache>
                <c:ptCount val="1"/>
                <c:pt idx="0">
                  <c:v>Return (LHS)</c:v>
                </c:pt>
              </c:strCache>
            </c:strRef>
          </c:tx>
          <c:spPr>
            <a:solidFill>
              <a:srgbClr val="00B050"/>
            </a:solidFill>
            <a:ln>
              <a:noFill/>
            </a:ln>
            <a:effectLst/>
          </c:spPr>
          <c:invertIfNegative val="0"/>
          <c:cat>
            <c:strRef>
              <c:f>'Rtn, Volt'!$A$8:$A$17</c:f>
              <c:strCache>
                <c:ptCount val="10"/>
                <c:pt idx="0">
                  <c:v>NIFTY Pharma</c:v>
                </c:pt>
                <c:pt idx="1">
                  <c:v>NIFTY FMCG</c:v>
                </c:pt>
                <c:pt idx="2">
                  <c:v>NIFTY IT</c:v>
                </c:pt>
                <c:pt idx="3">
                  <c:v>NIFTY Energy</c:v>
                </c:pt>
                <c:pt idx="4">
                  <c:v>NIFTY Service Sector</c:v>
                </c:pt>
                <c:pt idx="5">
                  <c:v>NIFTY Bank</c:v>
                </c:pt>
                <c:pt idx="6">
                  <c:v>NIFTY PSE</c:v>
                </c:pt>
                <c:pt idx="7">
                  <c:v>NIFTY Infra</c:v>
                </c:pt>
                <c:pt idx="8">
                  <c:v>NIFTY Realty</c:v>
                </c:pt>
                <c:pt idx="9">
                  <c:v>NIFTY PSU</c:v>
                </c:pt>
              </c:strCache>
            </c:strRef>
          </c:cat>
          <c:val>
            <c:numRef>
              <c:f>'Rtn, Volt'!$B$8:$B$17</c:f>
              <c:numCache>
                <c:formatCode>0.00</c:formatCode>
                <c:ptCount val="10"/>
                <c:pt idx="0">
                  <c:v>-1.9142785605353541</c:v>
                </c:pt>
                <c:pt idx="1">
                  <c:v>-2.6101502032645718</c:v>
                </c:pt>
                <c:pt idx="2">
                  <c:v>-2.8046306413148314</c:v>
                </c:pt>
                <c:pt idx="3">
                  <c:v>-3.0893833841326268</c:v>
                </c:pt>
                <c:pt idx="4">
                  <c:v>-3.8884904873352721</c:v>
                </c:pt>
                <c:pt idx="5">
                  <c:v>-4.6610498652415178</c:v>
                </c:pt>
                <c:pt idx="6">
                  <c:v>-4.8371768498803096</c:v>
                </c:pt>
                <c:pt idx="7">
                  <c:v>-5.1020912641518752</c:v>
                </c:pt>
                <c:pt idx="8">
                  <c:v>-9.1306611140031251</c:v>
                </c:pt>
                <c:pt idx="9">
                  <c:v>-10.550758655377656</c:v>
                </c:pt>
              </c:numCache>
            </c:numRef>
          </c:val>
          <c:extLst xmlns:c16r2="http://schemas.microsoft.com/office/drawing/2015/06/chart">
            <c:ext xmlns:c16="http://schemas.microsoft.com/office/drawing/2014/chart" uri="{C3380CC4-5D6E-409C-BE32-E72D297353CC}">
              <c16:uniqueId val="{00000000-94C6-4968-ABB1-6FFA0EFE2CFC}"/>
            </c:ext>
          </c:extLst>
        </c:ser>
        <c:dLbls>
          <c:showLegendKey val="0"/>
          <c:showVal val="0"/>
          <c:showCatName val="0"/>
          <c:showSerName val="0"/>
          <c:showPercent val="0"/>
          <c:showBubbleSize val="0"/>
        </c:dLbls>
        <c:gapWidth val="219"/>
        <c:overlap val="-27"/>
        <c:axId val="550045960"/>
        <c:axId val="550046744"/>
      </c:barChart>
      <c:lineChart>
        <c:grouping val="standard"/>
        <c:varyColors val="0"/>
        <c:ser>
          <c:idx val="1"/>
          <c:order val="1"/>
          <c:tx>
            <c:strRef>
              <c:f>'Rtn, Volt'!$C$5</c:f>
              <c:strCache>
                <c:ptCount val="1"/>
                <c:pt idx="0">
                  <c:v>Volatility (RHS)</c:v>
                </c:pt>
              </c:strCache>
            </c:strRef>
          </c:tx>
          <c:spPr>
            <a:ln w="28575" cap="rnd">
              <a:solidFill>
                <a:srgbClr val="FF0000"/>
              </a:solidFill>
              <a:round/>
            </a:ln>
            <a:effectLst/>
          </c:spPr>
          <c:marker>
            <c:symbol val="none"/>
          </c:marker>
          <c:cat>
            <c:strRef>
              <c:f>'Rtn, Volt'!$A$8:$A$17</c:f>
              <c:strCache>
                <c:ptCount val="10"/>
                <c:pt idx="0">
                  <c:v>NIFTY Pharma</c:v>
                </c:pt>
                <c:pt idx="1">
                  <c:v>NIFTY FMCG</c:v>
                </c:pt>
                <c:pt idx="2">
                  <c:v>NIFTY IT</c:v>
                </c:pt>
                <c:pt idx="3">
                  <c:v>NIFTY Energy</c:v>
                </c:pt>
                <c:pt idx="4">
                  <c:v>NIFTY Service Sector</c:v>
                </c:pt>
                <c:pt idx="5">
                  <c:v>NIFTY Bank</c:v>
                </c:pt>
                <c:pt idx="6">
                  <c:v>NIFTY PSE</c:v>
                </c:pt>
                <c:pt idx="7">
                  <c:v>NIFTY Infra</c:v>
                </c:pt>
                <c:pt idx="8">
                  <c:v>NIFTY Realty</c:v>
                </c:pt>
                <c:pt idx="9">
                  <c:v>NIFTY PSU</c:v>
                </c:pt>
              </c:strCache>
            </c:strRef>
          </c:cat>
          <c:val>
            <c:numRef>
              <c:f>'Rtn, Volt'!$C$8:$C$17</c:f>
              <c:numCache>
                <c:formatCode>0.00</c:formatCode>
                <c:ptCount val="10"/>
                <c:pt idx="0">
                  <c:v>1.4281774560353506</c:v>
                </c:pt>
                <c:pt idx="1">
                  <c:v>1.3649243512815834</c:v>
                </c:pt>
                <c:pt idx="2">
                  <c:v>1.8375890721220498</c:v>
                </c:pt>
                <c:pt idx="3">
                  <c:v>1.8618244947783</c:v>
                </c:pt>
                <c:pt idx="4">
                  <c:v>1.9314678141226185</c:v>
                </c:pt>
                <c:pt idx="5">
                  <c:v>2.2585301613227973</c:v>
                </c:pt>
                <c:pt idx="6">
                  <c:v>1.9353576259466359</c:v>
                </c:pt>
                <c:pt idx="7">
                  <c:v>1.9210820093593353</c:v>
                </c:pt>
                <c:pt idx="8">
                  <c:v>2.9605302881983797</c:v>
                </c:pt>
                <c:pt idx="9">
                  <c:v>3.0894670146002707</c:v>
                </c:pt>
              </c:numCache>
            </c:numRef>
          </c:val>
          <c:smooth val="0"/>
          <c:extLst xmlns:c16r2="http://schemas.microsoft.com/office/drawing/2015/06/chart">
            <c:ext xmlns:c16="http://schemas.microsoft.com/office/drawing/2014/chart" uri="{C3380CC4-5D6E-409C-BE32-E72D297353CC}">
              <c16:uniqueId val="{00000001-94C6-4968-ABB1-6FFA0EFE2CFC}"/>
            </c:ext>
          </c:extLst>
        </c:ser>
        <c:dLbls>
          <c:showLegendKey val="0"/>
          <c:showVal val="0"/>
          <c:showCatName val="0"/>
          <c:showSerName val="0"/>
          <c:showPercent val="0"/>
          <c:showBubbleSize val="0"/>
        </c:dLbls>
        <c:marker val="1"/>
        <c:smooth val="0"/>
        <c:axId val="550047528"/>
        <c:axId val="550047136"/>
      </c:lineChart>
      <c:catAx>
        <c:axId val="55004596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550046744"/>
        <c:crosses val="autoZero"/>
        <c:auto val="1"/>
        <c:lblAlgn val="ctr"/>
        <c:lblOffset val="100"/>
        <c:noMultiLvlLbl val="0"/>
      </c:catAx>
      <c:valAx>
        <c:axId val="550046744"/>
        <c:scaling>
          <c:orientation val="minMax"/>
          <c:max val="15"/>
          <c:min val="-15"/>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550045960"/>
        <c:crosses val="autoZero"/>
        <c:crossBetween val="between"/>
      </c:valAx>
      <c:valAx>
        <c:axId val="550047136"/>
        <c:scaling>
          <c:orientation val="minMax"/>
          <c:max val="4"/>
          <c:min val="-4"/>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550047528"/>
        <c:crosses val="max"/>
        <c:crossBetween val="between"/>
      </c:valAx>
      <c:catAx>
        <c:axId val="550047528"/>
        <c:scaling>
          <c:orientation val="minMax"/>
        </c:scaling>
        <c:delete val="1"/>
        <c:axPos val="b"/>
        <c:numFmt formatCode="General" sourceLinked="1"/>
        <c:majorTickMark val="out"/>
        <c:minorTickMark val="none"/>
        <c:tickLblPos val="nextTo"/>
        <c:crossAx val="550047136"/>
        <c:crossesAt val="0"/>
        <c:auto val="1"/>
        <c:lblAlgn val="ctr"/>
        <c:lblOffset val="100"/>
        <c:noMultiLvlLbl val="0"/>
      </c:catAx>
      <c:spPr>
        <a:noFill/>
        <a:ln>
          <a:solidFill>
            <a:schemeClr val="bg1">
              <a:lumMod val="65000"/>
            </a:schemeClr>
          </a:solid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1000" b="1">
          <a:solidFill>
            <a:sysClr val="windowText" lastClr="000000"/>
          </a:solidFill>
          <a:latin typeface="Palatino Linotype" panose="0204050205050503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802201170888683E-2"/>
          <c:y val="7.710296684118674E-2"/>
          <c:w val="0.92324861451892737"/>
          <c:h val="0.63200265676797873"/>
        </c:manualLayout>
      </c:layout>
      <c:barChart>
        <c:barDir val="col"/>
        <c:grouping val="clustered"/>
        <c:varyColors val="0"/>
        <c:ser>
          <c:idx val="0"/>
          <c:order val="0"/>
          <c:tx>
            <c:strRef>
              <c:f>Sheet1!$G$2</c:f>
              <c:strCache>
                <c:ptCount val="1"/>
                <c:pt idx="0">
                  <c:v>NSDL</c:v>
                </c:pt>
              </c:strCache>
            </c:strRef>
          </c:tx>
          <c:spPr>
            <a:solidFill>
              <a:schemeClr val="accent1"/>
            </a:solidFill>
            <a:ln>
              <a:noFill/>
            </a:ln>
            <a:effectLst/>
          </c:spPr>
          <c:invertIfNegative val="0"/>
          <c:cat>
            <c:numRef>
              <c:f>Sheet1!$F$74:$F$85</c:f>
              <c:numCache>
                <c:formatCode>mmm\-yy</c:formatCode>
                <c:ptCount val="12"/>
                <c:pt idx="0">
                  <c:v>44256</c:v>
                </c:pt>
                <c:pt idx="1">
                  <c:v>44287</c:v>
                </c:pt>
                <c:pt idx="2">
                  <c:v>44317</c:v>
                </c:pt>
                <c:pt idx="3">
                  <c:v>44348</c:v>
                </c:pt>
                <c:pt idx="4">
                  <c:v>44378</c:v>
                </c:pt>
                <c:pt idx="5">
                  <c:v>44409</c:v>
                </c:pt>
                <c:pt idx="6">
                  <c:v>44440</c:v>
                </c:pt>
                <c:pt idx="7">
                  <c:v>44470</c:v>
                </c:pt>
                <c:pt idx="8">
                  <c:v>44501</c:v>
                </c:pt>
                <c:pt idx="9">
                  <c:v>44531</c:v>
                </c:pt>
                <c:pt idx="10">
                  <c:v>44562</c:v>
                </c:pt>
                <c:pt idx="11">
                  <c:v>44593</c:v>
                </c:pt>
              </c:numCache>
            </c:numRef>
          </c:cat>
          <c:val>
            <c:numRef>
              <c:f>Sheet1!$G$74:$G$85</c:f>
              <c:numCache>
                <c:formatCode>0.0</c:formatCode>
                <c:ptCount val="12"/>
                <c:pt idx="0">
                  <c:v>4</c:v>
                </c:pt>
                <c:pt idx="1">
                  <c:v>2</c:v>
                </c:pt>
                <c:pt idx="2">
                  <c:v>2</c:v>
                </c:pt>
                <c:pt idx="3">
                  <c:v>4</c:v>
                </c:pt>
                <c:pt idx="4">
                  <c:v>3</c:v>
                </c:pt>
                <c:pt idx="5">
                  <c:v>5</c:v>
                </c:pt>
                <c:pt idx="6">
                  <c:v>5</c:v>
                </c:pt>
                <c:pt idx="7">
                  <c:v>4</c:v>
                </c:pt>
                <c:pt idx="8">
                  <c:v>4</c:v>
                </c:pt>
                <c:pt idx="9">
                  <c:v>4</c:v>
                </c:pt>
                <c:pt idx="10">
                  <c:v>5</c:v>
                </c:pt>
                <c:pt idx="11">
                  <c:v>5.6999999999999886</c:v>
                </c:pt>
              </c:numCache>
            </c:numRef>
          </c:val>
          <c:extLst xmlns:c16r2="http://schemas.microsoft.com/office/drawing/2015/06/chart">
            <c:ext xmlns:c16="http://schemas.microsoft.com/office/drawing/2014/chart" uri="{C3380CC4-5D6E-409C-BE32-E72D297353CC}">
              <c16:uniqueId val="{00000000-5E7C-4FCB-A82B-20FDDEAF15AE}"/>
            </c:ext>
          </c:extLst>
        </c:ser>
        <c:ser>
          <c:idx val="1"/>
          <c:order val="1"/>
          <c:tx>
            <c:strRef>
              <c:f>Sheet1!$H$2</c:f>
              <c:strCache>
                <c:ptCount val="1"/>
                <c:pt idx="0">
                  <c:v>CDSL</c:v>
                </c:pt>
              </c:strCache>
            </c:strRef>
          </c:tx>
          <c:spPr>
            <a:solidFill>
              <a:schemeClr val="accent2"/>
            </a:solidFill>
            <a:ln>
              <a:noFill/>
            </a:ln>
            <a:effectLst/>
          </c:spPr>
          <c:invertIfNegative val="0"/>
          <c:cat>
            <c:numRef>
              <c:f>Sheet1!$F$74:$F$85</c:f>
              <c:numCache>
                <c:formatCode>mmm\-yy</c:formatCode>
                <c:ptCount val="12"/>
                <c:pt idx="0">
                  <c:v>44256</c:v>
                </c:pt>
                <c:pt idx="1">
                  <c:v>44287</c:v>
                </c:pt>
                <c:pt idx="2">
                  <c:v>44317</c:v>
                </c:pt>
                <c:pt idx="3">
                  <c:v>44348</c:v>
                </c:pt>
                <c:pt idx="4">
                  <c:v>44378</c:v>
                </c:pt>
                <c:pt idx="5">
                  <c:v>44409</c:v>
                </c:pt>
                <c:pt idx="6">
                  <c:v>44440</c:v>
                </c:pt>
                <c:pt idx="7">
                  <c:v>44470</c:v>
                </c:pt>
                <c:pt idx="8">
                  <c:v>44501</c:v>
                </c:pt>
                <c:pt idx="9">
                  <c:v>44531</c:v>
                </c:pt>
                <c:pt idx="10">
                  <c:v>44562</c:v>
                </c:pt>
                <c:pt idx="11">
                  <c:v>44593</c:v>
                </c:pt>
              </c:numCache>
            </c:numRef>
          </c:cat>
          <c:val>
            <c:numRef>
              <c:f>Sheet1!$H$74:$H$85</c:f>
              <c:numCache>
                <c:formatCode>0.0</c:formatCode>
                <c:ptCount val="12"/>
                <c:pt idx="0">
                  <c:v>16</c:v>
                </c:pt>
                <c:pt idx="1">
                  <c:v>17</c:v>
                </c:pt>
                <c:pt idx="2">
                  <c:v>24</c:v>
                </c:pt>
                <c:pt idx="3">
                  <c:v>21.5</c:v>
                </c:pt>
                <c:pt idx="4">
                  <c:v>22.5</c:v>
                </c:pt>
                <c:pt idx="5">
                  <c:v>22</c:v>
                </c:pt>
                <c:pt idx="6">
                  <c:v>24</c:v>
                </c:pt>
                <c:pt idx="7">
                  <c:v>31</c:v>
                </c:pt>
                <c:pt idx="8">
                  <c:v>30</c:v>
                </c:pt>
                <c:pt idx="9">
                  <c:v>30</c:v>
                </c:pt>
                <c:pt idx="10">
                  <c:v>29</c:v>
                </c:pt>
                <c:pt idx="11">
                  <c:v>22.600000000000023</c:v>
                </c:pt>
              </c:numCache>
            </c:numRef>
          </c:val>
          <c:extLst xmlns:c16r2="http://schemas.microsoft.com/office/drawing/2015/06/chart">
            <c:ext xmlns:c16="http://schemas.microsoft.com/office/drawing/2014/chart" uri="{C3380CC4-5D6E-409C-BE32-E72D297353CC}">
              <c16:uniqueId val="{00000001-5E7C-4FCB-A82B-20FDDEAF15AE}"/>
            </c:ext>
          </c:extLst>
        </c:ser>
        <c:dLbls>
          <c:showLegendKey val="0"/>
          <c:showVal val="0"/>
          <c:showCatName val="0"/>
          <c:showSerName val="0"/>
          <c:showPercent val="0"/>
          <c:showBubbleSize val="0"/>
        </c:dLbls>
        <c:gapWidth val="219"/>
        <c:axId val="550048312"/>
        <c:axId val="550048704"/>
      </c:barChart>
      <c:dateAx>
        <c:axId val="550048312"/>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Palatino Linotype" panose="02040502050505030304" pitchFamily="18" charset="0"/>
                <a:ea typeface="+mn-ea"/>
                <a:cs typeface="+mn-cs"/>
              </a:defRPr>
            </a:pPr>
            <a:endParaRPr lang="en-US"/>
          </a:p>
        </c:txPr>
        <c:crossAx val="550048704"/>
        <c:crosses val="autoZero"/>
        <c:auto val="0"/>
        <c:lblOffset val="100"/>
        <c:baseTimeUnit val="months"/>
      </c:dateAx>
      <c:valAx>
        <c:axId val="55004870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Palatino Linotype" panose="02040502050505030304" pitchFamily="18" charset="0"/>
                <a:ea typeface="+mn-ea"/>
                <a:cs typeface="+mn-cs"/>
              </a:defRPr>
            </a:pPr>
            <a:endParaRPr lang="en-US"/>
          </a:p>
        </c:txPr>
        <c:crossAx val="550048312"/>
        <c:crossesAt val="43891"/>
        <c:crossBetween val="between"/>
      </c:valAx>
      <c:spPr>
        <a:noFill/>
        <a:ln>
          <a:solidFill>
            <a:schemeClr val="bg1">
              <a:lumMod val="75000"/>
            </a:schemeClr>
          </a:solidFill>
        </a:ln>
        <a:effectLst/>
      </c:spPr>
    </c:plotArea>
    <c:legend>
      <c:legendPos val="b"/>
      <c:layout>
        <c:manualLayout>
          <c:xMode val="edge"/>
          <c:yMode val="edge"/>
          <c:x val="0.40331116930791361"/>
          <c:y val="0.91004010697814253"/>
          <c:w val="0.19337748691008128"/>
          <c:h val="8.9959893021857418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Palatino Linotype" panose="0204050205050503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bg1">
          <a:lumMod val="75000"/>
        </a:schemeClr>
      </a:solidFill>
      <a:round/>
    </a:ln>
    <a:effectLst/>
  </c:spPr>
  <c:txPr>
    <a:bodyPr/>
    <a:lstStyle/>
    <a:p>
      <a:pPr>
        <a:defRPr b="1">
          <a:solidFill>
            <a:sysClr val="windowText" lastClr="000000"/>
          </a:solidFill>
          <a:latin typeface="Palatino Linotype" panose="0204050205050503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81333257938808"/>
          <c:y val="5.3641462625391004E-2"/>
          <c:w val="0.69482934920388084"/>
          <c:h val="0.59820767267105301"/>
        </c:manualLayout>
      </c:layout>
      <c:barChart>
        <c:barDir val="col"/>
        <c:grouping val="clustered"/>
        <c:varyColors val="0"/>
        <c:ser>
          <c:idx val="1"/>
          <c:order val="1"/>
          <c:tx>
            <c:strRef>
              <c:f>ADNT!$C$1</c:f>
              <c:strCache>
                <c:ptCount val="1"/>
                <c:pt idx="0">
                  <c:v>ADNT at NSE (RHS)</c:v>
                </c:pt>
              </c:strCache>
            </c:strRef>
          </c:tx>
          <c:spPr>
            <a:solidFill>
              <a:srgbClr val="00B050"/>
            </a:solidFill>
            <a:ln>
              <a:noFill/>
            </a:ln>
            <a:effectLst/>
          </c:spPr>
          <c:invertIfNegative val="0"/>
          <c:cat>
            <c:numRef>
              <c:f>ADNT!$A$6:$A$17</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ADNT!$C$6:$C$17</c:f>
              <c:numCache>
                <c:formatCode>[&gt;=10000000]#\,##\,##\,##0;[&gt;=100000]#\,##\,##0;##,##0</c:formatCode>
                <c:ptCount val="12"/>
                <c:pt idx="0">
                  <c:v>4438327.3871428566</c:v>
                </c:pt>
                <c:pt idx="1">
                  <c:v>4665024.3789473688</c:v>
                </c:pt>
                <c:pt idx="2">
                  <c:v>4332641.5880000005</c:v>
                </c:pt>
                <c:pt idx="3">
                  <c:v>4608723.0909090908</c:v>
                </c:pt>
                <c:pt idx="4">
                  <c:v>5386820.5952380951</c:v>
                </c:pt>
                <c:pt idx="5">
                  <c:v>5739759</c:v>
                </c:pt>
                <c:pt idx="6" formatCode="_(* #,##0_);_(* \(#,##0\);_(* &quot;-&quot;??_);_(@_)">
                  <c:v>6860710.1618907135</c:v>
                </c:pt>
                <c:pt idx="7" formatCode="_(* #,##0_);_(* \(#,##0\);_(* &quot;-&quot;??_);_(@_)">
                  <c:v>7019570.4000000004</c:v>
                </c:pt>
                <c:pt idx="8" formatCode="_(* #,##0_);_(* \(#,##0\);_(* &quot;-&quot;??_);_(@_)">
                  <c:v>7312334.5</c:v>
                </c:pt>
                <c:pt idx="9" formatCode="_(* #,##0_);_(* \(#,##0\);_(* &quot;-&quot;??_);_(@_)">
                  <c:v>7553061</c:v>
                </c:pt>
                <c:pt idx="10" formatCode="_(* #,##0_);_(* \(#,##0\);_(* &quot;-&quot;??_);_(@_)">
                  <c:v>8987038.0999999996</c:v>
                </c:pt>
                <c:pt idx="11" formatCode="_(* #,##0_);_(* \(#,##0\);_(* &quot;-&quot;??_);_(@_)">
                  <c:v>10008863.325401936</c:v>
                </c:pt>
              </c:numCache>
            </c:numRef>
          </c:val>
          <c:extLst xmlns:c16r2="http://schemas.microsoft.com/office/drawing/2015/06/chart">
            <c:ext xmlns:c16="http://schemas.microsoft.com/office/drawing/2014/chart" uri="{C3380CC4-5D6E-409C-BE32-E72D297353CC}">
              <c16:uniqueId val="{00000000-FA09-4976-A832-5DF6E838CE42}"/>
            </c:ext>
          </c:extLst>
        </c:ser>
        <c:dLbls>
          <c:showLegendKey val="0"/>
          <c:showVal val="0"/>
          <c:showCatName val="0"/>
          <c:showSerName val="0"/>
          <c:showPercent val="0"/>
          <c:showBubbleSize val="0"/>
        </c:dLbls>
        <c:gapWidth val="219"/>
        <c:overlap val="-27"/>
        <c:axId val="434921280"/>
        <c:axId val="434918928"/>
      </c:barChart>
      <c:lineChart>
        <c:grouping val="standard"/>
        <c:varyColors val="0"/>
        <c:ser>
          <c:idx val="0"/>
          <c:order val="0"/>
          <c:tx>
            <c:strRef>
              <c:f>ADNT!$B$1</c:f>
              <c:strCache>
                <c:ptCount val="1"/>
                <c:pt idx="0">
                  <c:v>ADNT at BSE (LHS)</c:v>
                </c:pt>
              </c:strCache>
            </c:strRef>
          </c:tx>
          <c:spPr>
            <a:ln w="28575" cap="rnd">
              <a:solidFill>
                <a:srgbClr val="C00000"/>
              </a:solidFill>
              <a:round/>
            </a:ln>
            <a:effectLst/>
          </c:spPr>
          <c:marker>
            <c:symbol val="none"/>
          </c:marker>
          <c:cat>
            <c:numRef>
              <c:f>ADNT!$A$6:$A$17</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ADNT!$B$6:$B$17</c:f>
              <c:numCache>
                <c:formatCode>#,##0</c:formatCode>
                <c:ptCount val="12"/>
                <c:pt idx="0">
                  <c:v>295833.62791219522</c:v>
                </c:pt>
                <c:pt idx="1">
                  <c:v>317790.11645149474</c:v>
                </c:pt>
                <c:pt idx="2">
                  <c:v>323982.19198160624</c:v>
                </c:pt>
                <c:pt idx="3">
                  <c:v>303244.85652462277</c:v>
                </c:pt>
                <c:pt idx="4">
                  <c:v>302849.34979702381</c:v>
                </c:pt>
                <c:pt idx="5">
                  <c:v>303377.24</c:v>
                </c:pt>
                <c:pt idx="6">
                  <c:v>162415.96650452382</c:v>
                </c:pt>
                <c:pt idx="7">
                  <c:v>230084.4</c:v>
                </c:pt>
                <c:pt idx="8">
                  <c:v>254708.6</c:v>
                </c:pt>
                <c:pt idx="9">
                  <c:v>257503.52173913043</c:v>
                </c:pt>
                <c:pt idx="10">
                  <c:v>253228.22257352498</c:v>
                </c:pt>
                <c:pt idx="11">
                  <c:v>241224.5151263625</c:v>
                </c:pt>
              </c:numCache>
            </c:numRef>
          </c:val>
          <c:smooth val="0"/>
          <c:extLst xmlns:c16r2="http://schemas.microsoft.com/office/drawing/2015/06/chart">
            <c:ext xmlns:c16="http://schemas.microsoft.com/office/drawing/2014/chart" uri="{C3380CC4-5D6E-409C-BE32-E72D297353CC}">
              <c16:uniqueId val="{00000001-FA09-4976-A832-5DF6E838CE42}"/>
            </c:ext>
          </c:extLst>
        </c:ser>
        <c:dLbls>
          <c:showLegendKey val="0"/>
          <c:showVal val="0"/>
          <c:showCatName val="0"/>
          <c:showSerName val="0"/>
          <c:showPercent val="0"/>
          <c:showBubbleSize val="0"/>
        </c:dLbls>
        <c:marker val="1"/>
        <c:smooth val="0"/>
        <c:axId val="434920888"/>
        <c:axId val="434919712"/>
      </c:lineChart>
      <c:dateAx>
        <c:axId val="434920888"/>
        <c:scaling>
          <c:orientation val="minMax"/>
        </c:scaling>
        <c:delete val="0"/>
        <c:axPos val="b"/>
        <c:numFmt formatCode="[$-409]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434919712"/>
        <c:crosses val="autoZero"/>
        <c:auto val="1"/>
        <c:lblOffset val="100"/>
        <c:baseTimeUnit val="months"/>
      </c:dateAx>
      <c:valAx>
        <c:axId val="43491971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r>
                  <a:rPr lang="en-US"/>
                  <a:t>BSE</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434920888"/>
        <c:crosses val="autoZero"/>
        <c:crossBetween val="between"/>
        <c:majorUnit val="100000"/>
      </c:valAx>
      <c:valAx>
        <c:axId val="434918928"/>
        <c:scaling>
          <c:orientation val="minMax"/>
          <c:min val="1000000"/>
        </c:scaling>
        <c:delete val="0"/>
        <c:axPos val="r"/>
        <c:title>
          <c:tx>
            <c:rich>
              <a:bodyPr rot="-54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r>
                  <a:rPr lang="en-US"/>
                  <a:t>NSE</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title>
        <c:numFmt formatCode="[&gt;=10000000]#\,##\,##\,##0;[&gt;=100000]#\,##\,##0;##,##0"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434921280"/>
        <c:crosses val="max"/>
        <c:crossBetween val="between"/>
        <c:majorUnit val="2000000"/>
      </c:valAx>
      <c:dateAx>
        <c:axId val="434921280"/>
        <c:scaling>
          <c:orientation val="minMax"/>
        </c:scaling>
        <c:delete val="1"/>
        <c:axPos val="b"/>
        <c:numFmt formatCode="[$-409]mmm\-yy" sourceLinked="1"/>
        <c:majorTickMark val="out"/>
        <c:minorTickMark val="none"/>
        <c:tickLblPos val="nextTo"/>
        <c:crossAx val="434918928"/>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b="1">
          <a:solidFill>
            <a:sysClr val="windowText" lastClr="000000"/>
          </a:solidFill>
          <a:latin typeface="Garamond" panose="02020404030301010803"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633028303894446"/>
          <c:y val="5.4292215724884213E-2"/>
          <c:w val="0.75736946395214111"/>
          <c:h val="0.62586375083681345"/>
        </c:manualLayout>
      </c:layout>
      <c:lineChart>
        <c:grouping val="standard"/>
        <c:varyColors val="0"/>
        <c:ser>
          <c:idx val="0"/>
          <c:order val="0"/>
          <c:tx>
            <c:strRef>
              <c:f>CD!$B$3</c:f>
              <c:strCache>
                <c:ptCount val="1"/>
                <c:pt idx="0">
                  <c:v>BSE  (LHS)</c:v>
                </c:pt>
              </c:strCache>
            </c:strRef>
          </c:tx>
          <c:spPr>
            <a:ln w="28575" cap="rnd">
              <a:solidFill>
                <a:srgbClr val="ED7D31"/>
              </a:solidFill>
              <a:round/>
            </a:ln>
            <a:effectLst/>
          </c:spPr>
          <c:marker>
            <c:symbol val="none"/>
          </c:marker>
          <c:cat>
            <c:numRef>
              <c:f>CD!$A$7:$A$18</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CD!$B$7:$B$18</c:f>
              <c:numCache>
                <c:formatCode>0\,00\,000;\-0\,00\,000;0</c:formatCode>
                <c:ptCount val="12"/>
                <c:pt idx="0">
                  <c:v>563283.70030000003</c:v>
                </c:pt>
                <c:pt idx="1">
                  <c:v>448635.7488</c:v>
                </c:pt>
                <c:pt idx="2">
                  <c:v>417945.56279999996</c:v>
                </c:pt>
                <c:pt idx="3">
                  <c:v>503265.83970000001</c:v>
                </c:pt>
                <c:pt idx="4" formatCode="[&gt;=10000000]#\,##\,##\,##0;[&gt;=100000]#\,##\,##0;##,##0">
                  <c:v>500963.52590000007</c:v>
                </c:pt>
                <c:pt idx="5" formatCode="[&gt;=10000000]#\,##\,##\,##0;[&gt;=100000]#\,##\,##0;##,##0">
                  <c:v>478902.13159999996</c:v>
                </c:pt>
                <c:pt idx="6" formatCode="[&gt;=10000000]#\,##\,##\,##0;[&gt;=100000]#\,##\,##0;##,##0">
                  <c:v>531555.85820000002</c:v>
                </c:pt>
                <c:pt idx="7" formatCode="[&gt;=10000000]#\,##\,##\,##0;[&gt;=100000]#\,##\,##0;##,##0">
                  <c:v>515735.00710000005</c:v>
                </c:pt>
                <c:pt idx="8" formatCode="_(* #,##0_);_(* \(#,##0\);_(* &quot;-&quot;??_);_(@_)">
                  <c:v>527481.43999999994</c:v>
                </c:pt>
                <c:pt idx="9" formatCode="[&gt;=10000000]#\,##\,##\,##0;[&gt;=100000]#\,##\,##0;##,##0">
                  <c:v>638502.38</c:v>
                </c:pt>
                <c:pt idx="10" formatCode="[&gt;=10000000]#\,##\,##\,##0;[&gt;=100000]#\,##\,##0;##,##0">
                  <c:v>565634.80999999994</c:v>
                </c:pt>
                <c:pt idx="11" formatCode="[&gt;=10000000]#\,##\,##\,##0;[&gt;=100000]#\,##\,##0;##,##0">
                  <c:v>599325.55330000003</c:v>
                </c:pt>
              </c:numCache>
            </c:numRef>
          </c:val>
          <c:smooth val="0"/>
          <c:extLst xmlns:c16r2="http://schemas.microsoft.com/office/drawing/2015/06/chart">
            <c:ext xmlns:c16="http://schemas.microsoft.com/office/drawing/2014/chart" uri="{C3380CC4-5D6E-409C-BE32-E72D297353CC}">
              <c16:uniqueId val="{00000000-B4FE-4AB1-BAC1-B96BD52B5F49}"/>
            </c:ext>
          </c:extLst>
        </c:ser>
        <c:ser>
          <c:idx val="1"/>
          <c:order val="1"/>
          <c:tx>
            <c:strRef>
              <c:f>CD!$C$3</c:f>
              <c:strCache>
                <c:ptCount val="1"/>
                <c:pt idx="0">
                  <c:v>NSE (LHS)</c:v>
                </c:pt>
              </c:strCache>
            </c:strRef>
          </c:tx>
          <c:spPr>
            <a:ln w="28575" cap="rnd">
              <a:solidFill>
                <a:srgbClr val="0070C0"/>
              </a:solidFill>
              <a:round/>
            </a:ln>
            <a:effectLst/>
          </c:spPr>
          <c:marker>
            <c:symbol val="none"/>
          </c:marker>
          <c:cat>
            <c:numRef>
              <c:f>CD!$A$7:$A$18</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CD!$C$7:$C$18</c:f>
              <c:numCache>
                <c:formatCode>0\,00\,000;\-0\,00\,000;0</c:formatCode>
                <c:ptCount val="12"/>
                <c:pt idx="0">
                  <c:v>1444570.959</c:v>
                </c:pt>
                <c:pt idx="1">
                  <c:v>1490637.77</c:v>
                </c:pt>
                <c:pt idx="2">
                  <c:v>1105377.56</c:v>
                </c:pt>
                <c:pt idx="3">
                  <c:v>1378693.62</c:v>
                </c:pt>
                <c:pt idx="4" formatCode="[&gt;=10000000]#\,##\,##\,##0;[&gt;=100000]#\,##\,##0;##,##0">
                  <c:v>1386768.69</c:v>
                </c:pt>
                <c:pt idx="5" formatCode="[&gt;=10000000]#\,##\,##\,##0;[&gt;=100000]#\,##\,##0;##,##0">
                  <c:v>1076862.0382310494</c:v>
                </c:pt>
                <c:pt idx="6" formatCode="[&gt;=10000000]#\,##\,##\,##0;[&gt;=100000]#\,##\,##0;##,##0">
                  <c:v>1489316.15</c:v>
                </c:pt>
                <c:pt idx="7" formatCode="[&gt;=10000000]#\,##\,##\,##0;[&gt;=100000]#\,##\,##0;##,##0">
                  <c:v>1737277.2801382274</c:v>
                </c:pt>
                <c:pt idx="8" formatCode="_(* #,##0_);_(* \(#,##0\);_(* &quot;-&quot;??_);_(@_)">
                  <c:v>1619217.61</c:v>
                </c:pt>
                <c:pt idx="9" formatCode="[&gt;=10000000]#\,##\,##\,##0;[&gt;=100000]#\,##\,##0;##,##0">
                  <c:v>2326399.94</c:v>
                </c:pt>
                <c:pt idx="10" formatCode="[&gt;=10000000]#\,##\,##\,##0;[&gt;=100000]#\,##\,##0;##,##0">
                  <c:v>2157261.44</c:v>
                </c:pt>
                <c:pt idx="11" formatCode="[&gt;=10000000]#\,##\,##\,##0;[&gt;=100000]#\,##\,##0;##,##0">
                  <c:v>2630773.5400900235</c:v>
                </c:pt>
              </c:numCache>
            </c:numRef>
          </c:val>
          <c:smooth val="0"/>
          <c:extLst xmlns:c16r2="http://schemas.microsoft.com/office/drawing/2015/06/chart">
            <c:ext xmlns:c16="http://schemas.microsoft.com/office/drawing/2014/chart" uri="{C3380CC4-5D6E-409C-BE32-E72D297353CC}">
              <c16:uniqueId val="{00000001-B4FE-4AB1-BAC1-B96BD52B5F49}"/>
            </c:ext>
          </c:extLst>
        </c:ser>
        <c:dLbls>
          <c:showLegendKey val="0"/>
          <c:showVal val="0"/>
          <c:showCatName val="0"/>
          <c:showSerName val="0"/>
          <c:showPercent val="0"/>
          <c:showBubbleSize val="0"/>
        </c:dLbls>
        <c:marker val="1"/>
        <c:smooth val="0"/>
        <c:axId val="434918536"/>
        <c:axId val="434917752"/>
      </c:lineChart>
      <c:lineChart>
        <c:grouping val="standard"/>
        <c:varyColors val="0"/>
        <c:ser>
          <c:idx val="3"/>
          <c:order val="2"/>
          <c:tx>
            <c:strRef>
              <c:f>CD!$D$3</c:f>
              <c:strCache>
                <c:ptCount val="1"/>
                <c:pt idx="0">
                  <c:v>MSEI (RHS)</c:v>
                </c:pt>
              </c:strCache>
            </c:strRef>
          </c:tx>
          <c:spPr>
            <a:ln w="28575" cap="rnd">
              <a:solidFill>
                <a:srgbClr val="00B050"/>
              </a:solidFill>
              <a:round/>
            </a:ln>
            <a:effectLst/>
          </c:spPr>
          <c:marker>
            <c:symbol val="none"/>
          </c:marker>
          <c:cat>
            <c:numRef>
              <c:f>CD!$A$7:$A$18</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CD!$D$7:$D$18</c:f>
              <c:numCache>
                <c:formatCode>#,##0;\-#,##0;0</c:formatCode>
                <c:ptCount val="12"/>
                <c:pt idx="0">
                  <c:v>14323.94781</c:v>
                </c:pt>
                <c:pt idx="1">
                  <c:v>9625.6356357500008</c:v>
                </c:pt>
                <c:pt idx="2">
                  <c:v>12607.516215999998</c:v>
                </c:pt>
                <c:pt idx="3">
                  <c:v>14464.578571</c:v>
                </c:pt>
                <c:pt idx="4" formatCode="[&gt;=10000000]#\,##\,##\,##0;[&gt;=100000]#\,##\,##0;##,##0">
                  <c:v>6391.1461387500003</c:v>
                </c:pt>
                <c:pt idx="5" formatCode="[&gt;=10000000]#\,##\,##\,##0;[&gt;=100000]#\,##\,##0;##,##0">
                  <c:v>5395</c:v>
                </c:pt>
                <c:pt idx="6" formatCode="[&gt;=10000000]#\,##\,##\,##0;[&gt;=100000]#\,##\,##0;##,##0">
                  <c:v>4618.395657</c:v>
                </c:pt>
                <c:pt idx="7" formatCode="[&gt;=10000000]#\,##\,##\,##0;[&gt;=100000]#\,##\,##0;##,##0">
                  <c:v>4432</c:v>
                </c:pt>
                <c:pt idx="8" formatCode="_(* #,##0_);_(* \(#,##0\);_(* &quot;-&quot;??_);_(@_)">
                  <c:v>4277.6000000000004</c:v>
                </c:pt>
                <c:pt idx="9" formatCode="[&gt;=10000000]#\,##\,##\,##0;[&gt;=100000]#\,##\,##0;##,##0">
                  <c:v>10055.84</c:v>
                </c:pt>
                <c:pt idx="10" formatCode="[&gt;=10000000]#\,##\,##\,##0;[&gt;=100000]#\,##\,##0;##,##0">
                  <c:v>4405.5900000000011</c:v>
                </c:pt>
                <c:pt idx="11" formatCode="[&gt;=10000000]#\,##\,##\,##0;[&gt;=100000]#\,##\,##0;##,##0">
                  <c:v>4794.3500000000004</c:v>
                </c:pt>
              </c:numCache>
            </c:numRef>
          </c:val>
          <c:smooth val="0"/>
          <c:extLst xmlns:c16r2="http://schemas.microsoft.com/office/drawing/2015/06/chart">
            <c:ext xmlns:c16="http://schemas.microsoft.com/office/drawing/2014/chart" uri="{C3380CC4-5D6E-409C-BE32-E72D297353CC}">
              <c16:uniqueId val="{00000002-B4FE-4AB1-BAC1-B96BD52B5F49}"/>
            </c:ext>
          </c:extLst>
        </c:ser>
        <c:dLbls>
          <c:showLegendKey val="0"/>
          <c:showVal val="0"/>
          <c:showCatName val="0"/>
          <c:showSerName val="0"/>
          <c:showPercent val="0"/>
          <c:showBubbleSize val="0"/>
        </c:dLbls>
        <c:marker val="1"/>
        <c:smooth val="0"/>
        <c:axId val="434920104"/>
        <c:axId val="434919320"/>
      </c:lineChart>
      <c:dateAx>
        <c:axId val="434918536"/>
        <c:scaling>
          <c:orientation val="minMax"/>
        </c:scaling>
        <c:delete val="0"/>
        <c:axPos val="b"/>
        <c:numFmt formatCode="[$-409]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34917752"/>
        <c:crosses val="autoZero"/>
        <c:auto val="1"/>
        <c:lblOffset val="100"/>
        <c:baseTimeUnit val="months"/>
      </c:dateAx>
      <c:valAx>
        <c:axId val="434917752"/>
        <c:scaling>
          <c:orientation val="minMax"/>
          <c:min val="200000"/>
        </c:scaling>
        <c:delete val="0"/>
        <c:axPos val="l"/>
        <c:numFmt formatCode="0\,00\,000;\-0\,00\,0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34918536"/>
        <c:crosses val="autoZero"/>
        <c:crossBetween val="between"/>
      </c:valAx>
      <c:valAx>
        <c:axId val="434919320"/>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434920104"/>
        <c:crosses val="max"/>
        <c:crossBetween val="between"/>
      </c:valAx>
      <c:dateAx>
        <c:axId val="434920104"/>
        <c:scaling>
          <c:orientation val="minMax"/>
        </c:scaling>
        <c:delete val="1"/>
        <c:axPos val="b"/>
        <c:numFmt formatCode="[$-409]mmm\-yy" sourceLinked="1"/>
        <c:majorTickMark val="out"/>
        <c:minorTickMark val="none"/>
        <c:tickLblPos val="nextTo"/>
        <c:crossAx val="434919320"/>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a:solidFill>
            <a:sysClr val="windowText" lastClr="000000"/>
          </a:solidFill>
          <a:latin typeface="Garamond" panose="02020404030301010803"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IRD!$B$2</c:f>
              <c:strCache>
                <c:ptCount val="1"/>
                <c:pt idx="0">
                  <c:v>BSE</c:v>
                </c:pt>
              </c:strCache>
            </c:strRef>
          </c:tx>
          <c:spPr>
            <a:ln w="28575" cap="rnd">
              <a:solidFill>
                <a:schemeClr val="accent6"/>
              </a:solidFill>
              <a:round/>
            </a:ln>
            <a:effectLst/>
          </c:spPr>
          <c:marker>
            <c:symbol val="none"/>
          </c:marker>
          <c:cat>
            <c:numRef>
              <c:f>IRD!$A$7:$A$18</c:f>
              <c:numCache>
                <c:formatCode>[$-409]mmm\-yy</c:formatCode>
                <c:ptCount val="12"/>
                <c:pt idx="0">
                  <c:v>44265</c:v>
                </c:pt>
                <c:pt idx="1">
                  <c:v>44296</c:v>
                </c:pt>
                <c:pt idx="2">
                  <c:v>44317</c:v>
                </c:pt>
                <c:pt idx="3">
                  <c:v>44348</c:v>
                </c:pt>
                <c:pt idx="4">
                  <c:v>44379</c:v>
                </c:pt>
                <c:pt idx="5">
                  <c:v>44410</c:v>
                </c:pt>
                <c:pt idx="6">
                  <c:v>44441</c:v>
                </c:pt>
                <c:pt idx="7">
                  <c:v>44471</c:v>
                </c:pt>
                <c:pt idx="8">
                  <c:v>44501</c:v>
                </c:pt>
                <c:pt idx="9">
                  <c:v>44531</c:v>
                </c:pt>
                <c:pt idx="10">
                  <c:v>44562</c:v>
                </c:pt>
                <c:pt idx="11">
                  <c:v>44593</c:v>
                </c:pt>
              </c:numCache>
            </c:numRef>
          </c:cat>
          <c:val>
            <c:numRef>
              <c:f>IRD!$B$7:$B$18</c:f>
              <c:numCache>
                <c:formatCode>#,##0;\-#,##0;0</c:formatCode>
                <c:ptCount val="12"/>
                <c:pt idx="0">
                  <c:v>14649.4748</c:v>
                </c:pt>
                <c:pt idx="1">
                  <c:v>155.46360000000001</c:v>
                </c:pt>
                <c:pt idx="2">
                  <c:v>2276.2072000000003</c:v>
                </c:pt>
                <c:pt idx="3">
                  <c:v>3124.1062999999999</c:v>
                </c:pt>
                <c:pt idx="4" formatCode="_(* #,##0_);_(* \(#,##0\);_(* &quot;-&quot;??_);_(@_)">
                  <c:v>2288.64</c:v>
                </c:pt>
                <c:pt idx="5" formatCode="_(* #,##0_);_(* \(#,##0\);_(* &quot;-&quot;??_);_(@_)">
                  <c:v>3833</c:v>
                </c:pt>
                <c:pt idx="6" formatCode="_(* #,##0_);_(* \(#,##0\);_(* &quot;-&quot;??_);_(@_)">
                  <c:v>4252</c:v>
                </c:pt>
                <c:pt idx="7" formatCode="_(* #,##0_);_(* \(#,##0\);_(* &quot;-&quot;??_);_(@_)">
                  <c:v>3297.4011000000005</c:v>
                </c:pt>
                <c:pt idx="8" formatCode="_(* #,##0_);_(* \(#,##0\);_(* &quot;-&quot;??_);_(@_)">
                  <c:v>2277</c:v>
                </c:pt>
                <c:pt idx="9" formatCode="_(* #,##0_);_(* \(#,##0\);_(* &quot;-&quot;??_);_(@_)">
                  <c:v>2030.91</c:v>
                </c:pt>
                <c:pt idx="10" formatCode="_(* #,##0_);_(* \(#,##0\);_(* &quot;-&quot;??_);_(@_)">
                  <c:v>3825.81</c:v>
                </c:pt>
                <c:pt idx="11" formatCode="#,##0">
                  <c:v>5088.8701999999994</c:v>
                </c:pt>
              </c:numCache>
            </c:numRef>
          </c:val>
          <c:smooth val="0"/>
          <c:extLst xmlns:c16r2="http://schemas.microsoft.com/office/drawing/2015/06/chart">
            <c:ext xmlns:c16="http://schemas.microsoft.com/office/drawing/2014/chart" uri="{C3380CC4-5D6E-409C-BE32-E72D297353CC}">
              <c16:uniqueId val="{00000000-EF26-482C-BFA7-1991E6D481F1}"/>
            </c:ext>
          </c:extLst>
        </c:ser>
        <c:ser>
          <c:idx val="1"/>
          <c:order val="1"/>
          <c:tx>
            <c:strRef>
              <c:f>IRD!$C$2</c:f>
              <c:strCache>
                <c:ptCount val="1"/>
                <c:pt idx="0">
                  <c:v>NSE</c:v>
                </c:pt>
              </c:strCache>
            </c:strRef>
          </c:tx>
          <c:spPr>
            <a:ln w="28575" cap="rnd">
              <a:solidFill>
                <a:schemeClr val="accent5"/>
              </a:solidFill>
              <a:round/>
            </a:ln>
            <a:effectLst/>
          </c:spPr>
          <c:marker>
            <c:symbol val="none"/>
          </c:marker>
          <c:cat>
            <c:numRef>
              <c:f>IRD!$A$7:$A$18</c:f>
              <c:numCache>
                <c:formatCode>[$-409]mmm\-yy</c:formatCode>
                <c:ptCount val="12"/>
                <c:pt idx="0">
                  <c:v>44265</c:v>
                </c:pt>
                <c:pt idx="1">
                  <c:v>44296</c:v>
                </c:pt>
                <c:pt idx="2">
                  <c:v>44317</c:v>
                </c:pt>
                <c:pt idx="3">
                  <c:v>44348</c:v>
                </c:pt>
                <c:pt idx="4">
                  <c:v>44379</c:v>
                </c:pt>
                <c:pt idx="5">
                  <c:v>44410</c:v>
                </c:pt>
                <c:pt idx="6">
                  <c:v>44441</c:v>
                </c:pt>
                <c:pt idx="7">
                  <c:v>44471</c:v>
                </c:pt>
                <c:pt idx="8">
                  <c:v>44501</c:v>
                </c:pt>
                <c:pt idx="9">
                  <c:v>44531</c:v>
                </c:pt>
                <c:pt idx="10">
                  <c:v>44562</c:v>
                </c:pt>
                <c:pt idx="11">
                  <c:v>44593</c:v>
                </c:pt>
              </c:numCache>
            </c:numRef>
          </c:cat>
          <c:val>
            <c:numRef>
              <c:f>IRD!$C$7:$C$18</c:f>
              <c:numCache>
                <c:formatCode>#,##0;\-#,##0;0</c:formatCode>
                <c:ptCount val="12"/>
                <c:pt idx="0">
                  <c:v>4389.8273959999997</c:v>
                </c:pt>
                <c:pt idx="1">
                  <c:v>2364.85</c:v>
                </c:pt>
                <c:pt idx="2">
                  <c:v>2810.9</c:v>
                </c:pt>
                <c:pt idx="3">
                  <c:v>1965.78</c:v>
                </c:pt>
                <c:pt idx="4" formatCode="_(* #,##0_);_(* \(#,##0\);_(* &quot;-&quot;??_);_(@_)">
                  <c:v>2141</c:v>
                </c:pt>
                <c:pt idx="5" formatCode="_(* #,##0_);_(* \(#,##0\);_(* &quot;-&quot;??_);_(@_)">
                  <c:v>1569</c:v>
                </c:pt>
                <c:pt idx="6" formatCode="_(* #,##0_);_(* \(#,##0\);_(* &quot;-&quot;??_);_(@_)">
                  <c:v>1971</c:v>
                </c:pt>
                <c:pt idx="7" formatCode="_(* #,##0_);_(* \(#,##0\);_(* &quot;-&quot;??_);_(@_)">
                  <c:v>2279.9407679999995</c:v>
                </c:pt>
                <c:pt idx="8" formatCode="_(* #,##0_);_(* \(#,##0\);_(* &quot;-&quot;??_);_(@_)">
                  <c:v>1603</c:v>
                </c:pt>
                <c:pt idx="9" formatCode="_(* #,##0_);_(* \(#,##0\);_(* &quot;-&quot;??_);_(@_)">
                  <c:v>1757.03</c:v>
                </c:pt>
                <c:pt idx="10" formatCode="_(* #,##0_);_(* \(#,##0\);_(* &quot;-&quot;??_);_(@_)">
                  <c:v>1994.74</c:v>
                </c:pt>
                <c:pt idx="11" formatCode="#,##0">
                  <c:v>3742.3274135000001</c:v>
                </c:pt>
              </c:numCache>
            </c:numRef>
          </c:val>
          <c:smooth val="0"/>
          <c:extLst xmlns:c16r2="http://schemas.microsoft.com/office/drawing/2015/06/chart">
            <c:ext xmlns:c16="http://schemas.microsoft.com/office/drawing/2014/chart" uri="{C3380CC4-5D6E-409C-BE32-E72D297353CC}">
              <c16:uniqueId val="{00000001-EF26-482C-BFA7-1991E6D481F1}"/>
            </c:ext>
          </c:extLst>
        </c:ser>
        <c:dLbls>
          <c:showLegendKey val="0"/>
          <c:showVal val="0"/>
          <c:showCatName val="0"/>
          <c:showSerName val="0"/>
          <c:showPercent val="0"/>
          <c:showBubbleSize val="0"/>
        </c:dLbls>
        <c:smooth val="0"/>
        <c:axId val="553329784"/>
        <c:axId val="553329000"/>
      </c:lineChart>
      <c:dateAx>
        <c:axId val="553329784"/>
        <c:scaling>
          <c:orientation val="minMax"/>
        </c:scaling>
        <c:delete val="0"/>
        <c:axPos val="b"/>
        <c:numFmt formatCode="[$-409]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553329000"/>
        <c:crosses val="autoZero"/>
        <c:auto val="1"/>
        <c:lblOffset val="100"/>
        <c:baseTimeUnit val="months"/>
      </c:dateAx>
      <c:valAx>
        <c:axId val="553329000"/>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553329784"/>
        <c:crosses val="autoZero"/>
        <c:crossBetween val="between"/>
        <c:majorUnit val="4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Garamond" panose="02020404030301010803"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Corpdebt!$B$23</c:f>
              <c:strCache>
                <c:ptCount val="1"/>
                <c:pt idx="0">
                  <c:v>BSE</c:v>
                </c:pt>
              </c:strCache>
            </c:strRef>
          </c:tx>
          <c:spPr>
            <a:solidFill>
              <a:srgbClr val="FF0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Corpdebt!$A$31:$A$42</c:f>
              <c:strCache>
                <c:ptCount val="12"/>
                <c:pt idx="0">
                  <c:v>Mar-21</c:v>
                </c:pt>
                <c:pt idx="1">
                  <c:v>Apr-21</c:v>
                </c:pt>
                <c:pt idx="2">
                  <c:v>May-21</c:v>
                </c:pt>
                <c:pt idx="3">
                  <c:v>Jun-21</c:v>
                </c:pt>
                <c:pt idx="4">
                  <c:v>Jul-21</c:v>
                </c:pt>
                <c:pt idx="5">
                  <c:v>Aug-21</c:v>
                </c:pt>
                <c:pt idx="6">
                  <c:v>Sep-21</c:v>
                </c:pt>
                <c:pt idx="7">
                  <c:v>Oct-21</c:v>
                </c:pt>
                <c:pt idx="8">
                  <c:v>Nov-21</c:v>
                </c:pt>
                <c:pt idx="9">
                  <c:v>Dec-21</c:v>
                </c:pt>
                <c:pt idx="10">
                  <c:v>Jan-22</c:v>
                </c:pt>
                <c:pt idx="11">
                  <c:v>Feb-22</c:v>
                </c:pt>
              </c:strCache>
            </c:strRef>
          </c:cat>
          <c:val>
            <c:numRef>
              <c:f>Corpdebt!$B$31:$B$42</c:f>
              <c:numCache>
                <c:formatCode>#,##0;\-#,##0;0</c:formatCode>
                <c:ptCount val="12"/>
                <c:pt idx="0">
                  <c:v>64043.87</c:v>
                </c:pt>
                <c:pt idx="1">
                  <c:v>60888.553099999997</c:v>
                </c:pt>
                <c:pt idx="2">
                  <c:v>54135.76</c:v>
                </c:pt>
                <c:pt idx="3">
                  <c:v>61390.57</c:v>
                </c:pt>
                <c:pt idx="4">
                  <c:v>48404.689310000002</c:v>
                </c:pt>
                <c:pt idx="5">
                  <c:v>55957.11</c:v>
                </c:pt>
                <c:pt idx="6">
                  <c:v>63765.96701</c:v>
                </c:pt>
                <c:pt idx="7">
                  <c:v>49075.25</c:v>
                </c:pt>
                <c:pt idx="8">
                  <c:v>39177.12846</c:v>
                </c:pt>
                <c:pt idx="9">
                  <c:v>51214.41</c:v>
                </c:pt>
                <c:pt idx="10">
                  <c:v>45282.34</c:v>
                </c:pt>
                <c:pt idx="11">
                  <c:v>60640</c:v>
                </c:pt>
              </c:numCache>
            </c:numRef>
          </c:val>
          <c:extLst xmlns:c15="http://schemas.microsoft.com/office/drawing/2012/chart" xmlns:c16r2="http://schemas.microsoft.com/office/drawing/2015/06/chart">
            <c:ext xmlns:c16="http://schemas.microsoft.com/office/drawing/2014/chart" uri="{C3380CC4-5D6E-409C-BE32-E72D297353CC}">
              <c16:uniqueId val="{00000000-1557-4EB1-A3C4-B16BD6A11FF6}"/>
            </c:ext>
          </c:extLst>
        </c:ser>
        <c:ser>
          <c:idx val="1"/>
          <c:order val="1"/>
          <c:tx>
            <c:strRef>
              <c:f>Corpdebt!$C$23</c:f>
              <c:strCache>
                <c:ptCount val="1"/>
                <c:pt idx="0">
                  <c:v>NSE</c:v>
                </c:pt>
              </c:strCache>
            </c:strRef>
          </c:tx>
          <c:spPr>
            <a:solidFill>
              <a:srgbClr val="00B05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Corpdebt!$A$31:$A$42</c:f>
              <c:strCache>
                <c:ptCount val="12"/>
                <c:pt idx="0">
                  <c:v>Mar-21</c:v>
                </c:pt>
                <c:pt idx="1">
                  <c:v>Apr-21</c:v>
                </c:pt>
                <c:pt idx="2">
                  <c:v>May-21</c:v>
                </c:pt>
                <c:pt idx="3">
                  <c:v>Jun-21</c:v>
                </c:pt>
                <c:pt idx="4">
                  <c:v>Jul-21</c:v>
                </c:pt>
                <c:pt idx="5">
                  <c:v>Aug-21</c:v>
                </c:pt>
                <c:pt idx="6">
                  <c:v>Sep-21</c:v>
                </c:pt>
                <c:pt idx="7">
                  <c:v>Oct-21</c:v>
                </c:pt>
                <c:pt idx="8">
                  <c:v>Nov-21</c:v>
                </c:pt>
                <c:pt idx="9">
                  <c:v>Dec-21</c:v>
                </c:pt>
                <c:pt idx="10">
                  <c:v>Jan-22</c:v>
                </c:pt>
                <c:pt idx="11">
                  <c:v>Feb-22</c:v>
                </c:pt>
              </c:strCache>
            </c:strRef>
          </c:cat>
          <c:val>
            <c:numRef>
              <c:f>Corpdebt!$C$31:$C$42</c:f>
              <c:numCache>
                <c:formatCode>#,##0;\-#,##0;0</c:formatCode>
                <c:ptCount val="12"/>
                <c:pt idx="0" formatCode="#,##0">
                  <c:v>95400.379999999976</c:v>
                </c:pt>
                <c:pt idx="1">
                  <c:v>90992.76</c:v>
                </c:pt>
                <c:pt idx="2">
                  <c:v>79923.94</c:v>
                </c:pt>
                <c:pt idx="3">
                  <c:v>91924.45</c:v>
                </c:pt>
                <c:pt idx="4">
                  <c:v>66672.289999999994</c:v>
                </c:pt>
                <c:pt idx="5">
                  <c:v>88259.38</c:v>
                </c:pt>
                <c:pt idx="6" formatCode="0\,00\,000;\-0\,00\,000;0">
                  <c:v>126974.72</c:v>
                </c:pt>
                <c:pt idx="7">
                  <c:v>97201.37</c:v>
                </c:pt>
                <c:pt idx="8">
                  <c:v>71902.03</c:v>
                </c:pt>
                <c:pt idx="9">
                  <c:v>94733.69</c:v>
                </c:pt>
                <c:pt idx="10">
                  <c:v>82333.559999999954</c:v>
                </c:pt>
                <c:pt idx="11">
                  <c:v>81448</c:v>
                </c:pt>
              </c:numCache>
            </c:numRef>
          </c:val>
          <c:extLst xmlns:c16r2="http://schemas.microsoft.com/office/drawing/2015/06/chart">
            <c:ext xmlns:c16="http://schemas.microsoft.com/office/drawing/2014/chart" uri="{C3380CC4-5D6E-409C-BE32-E72D297353CC}">
              <c16:uniqueId val="{00000001-1557-4EB1-A3C4-B16BD6A11FF6}"/>
            </c:ext>
          </c:extLst>
        </c:ser>
        <c:dLbls>
          <c:showLegendKey val="0"/>
          <c:showVal val="0"/>
          <c:showCatName val="0"/>
          <c:showSerName val="0"/>
          <c:showPercent val="0"/>
          <c:showBubbleSize val="0"/>
        </c:dLbls>
        <c:gapWidth val="219"/>
        <c:overlap val="-27"/>
        <c:axId val="553330176"/>
        <c:axId val="197551032"/>
        <c:extLst xmlns:c16r2="http://schemas.microsoft.com/office/drawing/2015/06/chart">
          <c:ext xmlns:c15="http://schemas.microsoft.com/office/drawing/2012/chart" uri="{02D57815-91ED-43cb-92C2-25804820EDAC}">
            <c15:filteredBarSeries>
              <c15:ser>
                <c:idx val="2"/>
                <c:order val="2"/>
                <c:tx>
                  <c:strRef>
                    <c:extLst xmlns:c16r2="http://schemas.microsoft.com/office/drawing/2015/06/chart">
                      <c:ext uri="{02D57815-91ED-43cb-92C2-25804820EDAC}">
                        <c15:formulaRef>
                          <c15:sqref>Corpdebt!$D$23</c15:sqref>
                        </c15:formulaRef>
                      </c:ext>
                    </c:extLst>
                    <c:strCache>
                      <c:ptCount val="1"/>
                      <c:pt idx="0">
                        <c:v>Total</c:v>
                      </c:pt>
                    </c:strCache>
                  </c:strRef>
                </c:tx>
                <c:spPr>
                  <a:solidFill>
                    <a:schemeClr val="accent3"/>
                  </a:solidFill>
                  <a:ln>
                    <a:noFill/>
                  </a:ln>
                  <a:effectLst/>
                </c:spPr>
                <c:invertIfNegative val="0"/>
                <c:cat>
                  <c:strRef>
                    <c:extLst xmlns:c16r2="http://schemas.microsoft.com/office/drawing/2015/06/chart">
                      <c:ext uri="{02D57815-91ED-43cb-92C2-25804820EDAC}">
                        <c15:formulaRef>
                          <c15:sqref>Corpdebt!$A$31:$A$42</c15:sqref>
                        </c15:formulaRef>
                      </c:ext>
                    </c:extLst>
                    <c:strCache>
                      <c:ptCount val="12"/>
                      <c:pt idx="0">
                        <c:v>Mar-21</c:v>
                      </c:pt>
                      <c:pt idx="1">
                        <c:v>Apr-21</c:v>
                      </c:pt>
                      <c:pt idx="2">
                        <c:v>May-21</c:v>
                      </c:pt>
                      <c:pt idx="3">
                        <c:v>Jun-21</c:v>
                      </c:pt>
                      <c:pt idx="4">
                        <c:v>Jul-21</c:v>
                      </c:pt>
                      <c:pt idx="5">
                        <c:v>Aug-21</c:v>
                      </c:pt>
                      <c:pt idx="6">
                        <c:v>Sep-21</c:v>
                      </c:pt>
                      <c:pt idx="7">
                        <c:v>Oct-21</c:v>
                      </c:pt>
                      <c:pt idx="8">
                        <c:v>Nov-21</c:v>
                      </c:pt>
                      <c:pt idx="9">
                        <c:v>Dec-21</c:v>
                      </c:pt>
                      <c:pt idx="10">
                        <c:v>Jan-22</c:v>
                      </c:pt>
                      <c:pt idx="11">
                        <c:v>Feb-22</c:v>
                      </c:pt>
                    </c:strCache>
                  </c:strRef>
                </c:cat>
                <c:val>
                  <c:numRef>
                    <c:extLst xmlns:c16r2="http://schemas.microsoft.com/office/drawing/2015/06/chart">
                      <c:ext uri="{02D57815-91ED-43cb-92C2-25804820EDAC}">
                        <c15:formulaRef>
                          <c15:sqref>Corpdebt!$D$31:$D$42</c15:sqref>
                        </c15:formulaRef>
                      </c:ext>
                    </c:extLst>
                    <c:numCache>
                      <c:formatCode>0\,00\,000;\-0\,00\,000;0</c:formatCode>
                      <c:ptCount val="12"/>
                      <c:pt idx="0" formatCode="#,##0">
                        <c:v>159444.24999999997</c:v>
                      </c:pt>
                      <c:pt idx="1">
                        <c:v>151881.3131</c:v>
                      </c:pt>
                      <c:pt idx="2">
                        <c:v>134059.70000000001</c:v>
                      </c:pt>
                      <c:pt idx="3">
                        <c:v>153315.01999999999</c:v>
                      </c:pt>
                      <c:pt idx="4">
                        <c:v>115076.97930000001</c:v>
                      </c:pt>
                      <c:pt idx="5">
                        <c:v>144216.49</c:v>
                      </c:pt>
                      <c:pt idx="6">
                        <c:v>190740.68700000001</c:v>
                      </c:pt>
                      <c:pt idx="7">
                        <c:v>146276.62</c:v>
                      </c:pt>
                      <c:pt idx="8">
                        <c:v>111079.15850000001</c:v>
                      </c:pt>
                      <c:pt idx="9">
                        <c:v>145948.1</c:v>
                      </c:pt>
                      <c:pt idx="10">
                        <c:v>127615.89999999995</c:v>
                      </c:pt>
                      <c:pt idx="11">
                        <c:v>142088</c:v>
                      </c:pt>
                    </c:numCache>
                  </c:numRef>
                </c:val>
                <c:extLst xmlns:c16r2="http://schemas.microsoft.com/office/drawing/2015/06/chart">
                  <c:ext xmlns:c16="http://schemas.microsoft.com/office/drawing/2014/chart" uri="{C3380CC4-5D6E-409C-BE32-E72D297353CC}">
                    <c16:uniqueId val="{00000002-1557-4EB1-A3C4-B16BD6A11FF6}"/>
                  </c:ext>
                </c:extLst>
              </c15:ser>
            </c15:filteredBarSeries>
          </c:ext>
        </c:extLst>
      </c:barChart>
      <c:catAx>
        <c:axId val="55333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crossAx val="197551032"/>
        <c:crosses val="autoZero"/>
        <c:auto val="1"/>
        <c:lblAlgn val="ctr"/>
        <c:lblOffset val="100"/>
        <c:noMultiLvlLbl val="1"/>
      </c:catAx>
      <c:valAx>
        <c:axId val="197551032"/>
        <c:scaling>
          <c:orientation val="minMax"/>
          <c:max val="170000"/>
          <c:min val="30000"/>
        </c:scaling>
        <c:delete val="1"/>
        <c:axPos val="l"/>
        <c:numFmt formatCode="#,##0;\-#,##0;0" sourceLinked="1"/>
        <c:majorTickMark val="out"/>
        <c:minorTickMark val="none"/>
        <c:tickLblPos val="nextTo"/>
        <c:crossAx val="553330176"/>
        <c:crosses val="autoZero"/>
        <c:crossBetween val="between"/>
      </c:valAx>
      <c:spPr>
        <a:noFill/>
        <a:ln>
          <a:solidFill>
            <a:sysClr val="window" lastClr="FFFFFF">
              <a:lumMod val="75000"/>
            </a:sysClr>
          </a:solid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12700" cap="flat" cmpd="sng" algn="ctr">
      <a:solidFill>
        <a:sysClr val="window" lastClr="FFFFFF">
          <a:lumMod val="50000"/>
        </a:sysClr>
      </a:solidFill>
      <a:round/>
    </a:ln>
    <a:effectLst/>
  </c:spPr>
  <c:txPr>
    <a:bodyPr/>
    <a:lstStyle/>
    <a:p>
      <a:pPr>
        <a:defRPr sz="1000" b="0">
          <a:solidFill>
            <a:sysClr val="windowText" lastClr="000000"/>
          </a:solidFill>
          <a:latin typeface="Garamond" panose="02020404030301010803"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12838148264396"/>
          <c:y val="5.3527980535279802E-2"/>
          <c:w val="0.87345278547287308"/>
          <c:h val="0.67124432438645898"/>
        </c:manualLayout>
      </c:layout>
      <c:barChart>
        <c:barDir val="col"/>
        <c:grouping val="clustered"/>
        <c:varyColors val="0"/>
        <c:ser>
          <c:idx val="0"/>
          <c:order val="0"/>
          <c:tx>
            <c:strRef>
              <c:f>FPI!$L$3</c:f>
              <c:strCache>
                <c:ptCount val="1"/>
                <c:pt idx="0">
                  <c:v>Equity</c:v>
                </c:pt>
              </c:strCache>
            </c:strRef>
          </c:tx>
          <c:spPr>
            <a:solidFill>
              <a:schemeClr val="accent1"/>
            </a:solidFill>
            <a:ln>
              <a:noFill/>
            </a:ln>
            <a:effectLst/>
          </c:spPr>
          <c:invertIfNegative val="0"/>
          <c:cat>
            <c:numRef>
              <c:f>FPI!$K$11:$K$22</c:f>
              <c:numCache>
                <c:formatCode>[$-409]mmm\-yy</c:formatCode>
                <c:ptCount val="12"/>
                <c:pt idx="0">
                  <c:v>44265</c:v>
                </c:pt>
                <c:pt idx="1">
                  <c:v>44296</c:v>
                </c:pt>
                <c:pt idx="2">
                  <c:v>44326</c:v>
                </c:pt>
                <c:pt idx="3">
                  <c:v>44357</c:v>
                </c:pt>
                <c:pt idx="4">
                  <c:v>44387</c:v>
                </c:pt>
                <c:pt idx="5">
                  <c:v>44418</c:v>
                </c:pt>
                <c:pt idx="6">
                  <c:v>44449</c:v>
                </c:pt>
                <c:pt idx="7">
                  <c:v>44479</c:v>
                </c:pt>
                <c:pt idx="8">
                  <c:v>44510</c:v>
                </c:pt>
                <c:pt idx="9">
                  <c:v>44540</c:v>
                </c:pt>
                <c:pt idx="10">
                  <c:v>44571</c:v>
                </c:pt>
                <c:pt idx="11">
                  <c:v>44602</c:v>
                </c:pt>
              </c:numCache>
            </c:numRef>
          </c:cat>
          <c:val>
            <c:numRef>
              <c:f>FPI!$L$11:$L$22</c:f>
              <c:numCache>
                <c:formatCode>#,##0;\-#,##0;0</c:formatCode>
                <c:ptCount val="12"/>
                <c:pt idx="0">
                  <c:v>4772.83</c:v>
                </c:pt>
                <c:pt idx="1">
                  <c:v>5526.36</c:v>
                </c:pt>
                <c:pt idx="2" formatCode="[&gt;9999999]##\,##\,##\,##0;[&gt;99999]##\,##\,##0;##,##0">
                  <c:v>475.75</c:v>
                </c:pt>
                <c:pt idx="3" formatCode="[&gt;9999999]##\,##\,##\,##0;[&gt;99999]##\,##\,##0;##,##0">
                  <c:v>6437.08</c:v>
                </c:pt>
                <c:pt idx="4" formatCode="_ * #,##0.0_ ;_ * \-#,##0.0_ ;_ * &quot;-&quot;??_ ;_ @_ ">
                  <c:v>21502.37</c:v>
                </c:pt>
                <c:pt idx="5" formatCode="_ * #,##0.0_ ;_ * \-#,##0.0_ ;_ * &quot;-&quot;??_ ;_ @_ ">
                  <c:v>11546</c:v>
                </c:pt>
                <c:pt idx="6" formatCode="_ * #,##0.0_ ;_ * \-#,##0.0_ ;_ * &quot;-&quot;??_ ;_ @_ ">
                  <c:v>7701</c:v>
                </c:pt>
                <c:pt idx="7" formatCode="_ * #,##0.0_ ;_ * \-#,##0.0_ ;_ * &quot;-&quot;??_ ;_ @_ ">
                  <c:v>5865.5</c:v>
                </c:pt>
                <c:pt idx="8" formatCode="_ * #,##0.0_ ;_ * \-#,##0.0_ ;_ * &quot;-&quot;??_ ;_ @_ ">
                  <c:v>28950.75</c:v>
                </c:pt>
                <c:pt idx="9" formatCode="_ * #,##0.0_ ;_ * \-#,##0.0_ ;_ * &quot;-&quot;??_ ;_ @_ ">
                  <c:v>24206.6</c:v>
                </c:pt>
                <c:pt idx="10" formatCode="_ * #,##0.0_ ;_ * \-#,##0.0_ ;_ * &quot;-&quot;??_ ;_ @_ ">
                  <c:v>18577.23</c:v>
                </c:pt>
                <c:pt idx="11" formatCode="General">
                  <c:v>28180.59</c:v>
                </c:pt>
              </c:numCache>
            </c:numRef>
          </c:val>
          <c:extLst xmlns:c16r2="http://schemas.microsoft.com/office/drawing/2015/06/chart">
            <c:ext xmlns:c16="http://schemas.microsoft.com/office/drawing/2014/chart" uri="{C3380CC4-5D6E-409C-BE32-E72D297353CC}">
              <c16:uniqueId val="{00000000-2933-4DC4-B511-DC5C7EFD9917}"/>
            </c:ext>
          </c:extLst>
        </c:ser>
        <c:ser>
          <c:idx val="1"/>
          <c:order val="1"/>
          <c:tx>
            <c:strRef>
              <c:f>FPI!$M$3</c:f>
              <c:strCache>
                <c:ptCount val="1"/>
                <c:pt idx="0">
                  <c:v>Debt</c:v>
                </c:pt>
              </c:strCache>
            </c:strRef>
          </c:tx>
          <c:spPr>
            <a:solidFill>
              <a:schemeClr val="accent2"/>
            </a:solidFill>
            <a:ln>
              <a:noFill/>
            </a:ln>
            <a:effectLst/>
          </c:spPr>
          <c:invertIfNegative val="0"/>
          <c:cat>
            <c:numRef>
              <c:f>FPI!$K$11:$K$22</c:f>
              <c:numCache>
                <c:formatCode>[$-409]mmm\-yy</c:formatCode>
                <c:ptCount val="12"/>
                <c:pt idx="0">
                  <c:v>44265</c:v>
                </c:pt>
                <c:pt idx="1">
                  <c:v>44296</c:v>
                </c:pt>
                <c:pt idx="2">
                  <c:v>44326</c:v>
                </c:pt>
                <c:pt idx="3">
                  <c:v>44357</c:v>
                </c:pt>
                <c:pt idx="4">
                  <c:v>44387</c:v>
                </c:pt>
                <c:pt idx="5">
                  <c:v>44418</c:v>
                </c:pt>
                <c:pt idx="6">
                  <c:v>44449</c:v>
                </c:pt>
                <c:pt idx="7">
                  <c:v>44479</c:v>
                </c:pt>
                <c:pt idx="8">
                  <c:v>44510</c:v>
                </c:pt>
                <c:pt idx="9">
                  <c:v>44540</c:v>
                </c:pt>
                <c:pt idx="10">
                  <c:v>44571</c:v>
                </c:pt>
                <c:pt idx="11">
                  <c:v>44602</c:v>
                </c:pt>
              </c:numCache>
            </c:numRef>
          </c:cat>
          <c:val>
            <c:numRef>
              <c:f>FPI!$M$11:$M$22</c:f>
              <c:numCache>
                <c:formatCode>#,##0;\-#,##0;0</c:formatCode>
                <c:ptCount val="12"/>
                <c:pt idx="0">
                  <c:v>15661.48</c:v>
                </c:pt>
                <c:pt idx="1">
                  <c:v>21588.400000000001</c:v>
                </c:pt>
                <c:pt idx="2" formatCode="[&gt;9999999]##\,##\,##\,##0;[&gt;99999]##\,##\,##0;##,##0">
                  <c:v>4238.12</c:v>
                </c:pt>
                <c:pt idx="3" formatCode="[&gt;9999999]##\,##\,##\,##0;[&gt;99999]##\,##\,##0;##,##0">
                  <c:v>6449.01</c:v>
                </c:pt>
                <c:pt idx="4" formatCode="_ * #,##0.0_ ;_ * \-#,##0.0_ ;_ * &quot;-&quot;??_ ;_ @_ ">
                  <c:v>15620.86</c:v>
                </c:pt>
                <c:pt idx="5" formatCode="_ * #,##0.0_ ;_ * \-#,##0.0_ ;_ * &quot;-&quot;??_ ;_ @_ ">
                  <c:v>21094</c:v>
                </c:pt>
                <c:pt idx="6" formatCode="_ * #,##0.0_ ;_ * \-#,##0.0_ ;_ * &quot;-&quot;??_ ;_ @_ ">
                  <c:v>7695</c:v>
                </c:pt>
                <c:pt idx="7" formatCode="_ * #,##0.0_ ;_ * \-#,##0.0_ ;_ * &quot;-&quot;??_ ;_ @_ ">
                  <c:v>1864.87</c:v>
                </c:pt>
                <c:pt idx="8" formatCode="_ * #,##0.0_ ;_ * \-#,##0.0_ ;_ * &quot;-&quot;??_ ;_ @_ ">
                  <c:v>14041.26</c:v>
                </c:pt>
                <c:pt idx="9" formatCode="_ * #,##0.0_ ;_ * \-#,##0.0_ ;_ * &quot;-&quot;??_ ;_ @_ ">
                  <c:v>1962.7</c:v>
                </c:pt>
                <c:pt idx="10" formatCode="_ * #,##0.0_ ;_ * \-#,##0.0_ ;_ * &quot;-&quot;??_ ;_ @_ ">
                  <c:v>3467</c:v>
                </c:pt>
                <c:pt idx="11" formatCode="_ * #,##0.0_ ;_ * \-#,##0.0_ ;_ * &quot;-&quot;??_ ;_ @_ ">
                  <c:v>5596.8</c:v>
                </c:pt>
              </c:numCache>
            </c:numRef>
          </c:val>
          <c:extLst xmlns:c16r2="http://schemas.microsoft.com/office/drawing/2015/06/chart">
            <c:ext xmlns:c16="http://schemas.microsoft.com/office/drawing/2014/chart" uri="{C3380CC4-5D6E-409C-BE32-E72D297353CC}">
              <c16:uniqueId val="{00000001-2933-4DC4-B511-DC5C7EFD9917}"/>
            </c:ext>
          </c:extLst>
        </c:ser>
        <c:dLbls>
          <c:showLegendKey val="0"/>
          <c:showVal val="0"/>
          <c:showCatName val="0"/>
          <c:showSerName val="0"/>
          <c:showPercent val="0"/>
          <c:showBubbleSize val="0"/>
        </c:dLbls>
        <c:gapWidth val="219"/>
        <c:overlap val="-27"/>
        <c:axId val="197550248"/>
        <c:axId val="197549464"/>
      </c:barChart>
      <c:lineChart>
        <c:grouping val="standard"/>
        <c:varyColors val="0"/>
        <c:ser>
          <c:idx val="2"/>
          <c:order val="2"/>
          <c:tx>
            <c:strRef>
              <c:f>FPI!$N$3</c:f>
              <c:strCache>
                <c:ptCount val="1"/>
                <c:pt idx="0">
                  <c:v>Total</c:v>
                </c:pt>
              </c:strCache>
            </c:strRef>
          </c:tx>
          <c:spPr>
            <a:ln w="28575" cap="rnd">
              <a:solidFill>
                <a:schemeClr val="accent3"/>
              </a:solidFill>
              <a:round/>
            </a:ln>
            <a:effectLst/>
          </c:spPr>
          <c:marker>
            <c:symbol val="none"/>
          </c:marker>
          <c:cat>
            <c:numRef>
              <c:f>FPI!$K$11:$K$22</c:f>
              <c:numCache>
                <c:formatCode>[$-409]mmm\-yy</c:formatCode>
                <c:ptCount val="12"/>
                <c:pt idx="0">
                  <c:v>44265</c:v>
                </c:pt>
                <c:pt idx="1">
                  <c:v>44296</c:v>
                </c:pt>
                <c:pt idx="2">
                  <c:v>44326</c:v>
                </c:pt>
                <c:pt idx="3">
                  <c:v>44357</c:v>
                </c:pt>
                <c:pt idx="4">
                  <c:v>44387</c:v>
                </c:pt>
                <c:pt idx="5">
                  <c:v>44418</c:v>
                </c:pt>
                <c:pt idx="6">
                  <c:v>44449</c:v>
                </c:pt>
                <c:pt idx="7">
                  <c:v>44479</c:v>
                </c:pt>
                <c:pt idx="8">
                  <c:v>44510</c:v>
                </c:pt>
                <c:pt idx="9">
                  <c:v>44540</c:v>
                </c:pt>
                <c:pt idx="10">
                  <c:v>44571</c:v>
                </c:pt>
                <c:pt idx="11">
                  <c:v>44602</c:v>
                </c:pt>
              </c:numCache>
            </c:numRef>
          </c:cat>
          <c:val>
            <c:numRef>
              <c:f>FPI!$N$11:$N$22</c:f>
              <c:numCache>
                <c:formatCode>[&gt;9999999]##\,##\,##\,##0;[&gt;99999]##\,##\,##0;##,##0</c:formatCode>
                <c:ptCount val="12"/>
                <c:pt idx="0">
                  <c:v>20434.309999999998</c:v>
                </c:pt>
                <c:pt idx="1">
                  <c:v>27114.760000000002</c:v>
                </c:pt>
                <c:pt idx="2">
                  <c:v>4713.87</c:v>
                </c:pt>
                <c:pt idx="3">
                  <c:v>12886.09</c:v>
                </c:pt>
                <c:pt idx="4" formatCode="_ * #,##0.0_ ;_ * \-#,##0.0_ ;_ * &quot;-&quot;??_ ;_ @_ ">
                  <c:v>37123.229999999996</c:v>
                </c:pt>
                <c:pt idx="5" formatCode="_ * #,##0.0_ ;_ * \-#,##0.0_ ;_ * &quot;-&quot;??_ ;_ @_ ">
                  <c:v>32640</c:v>
                </c:pt>
                <c:pt idx="6" formatCode="_ * #,##0.0_ ;_ * \-#,##0.0_ ;_ * &quot;-&quot;??_ ;_ @_ ">
                  <c:v>15396</c:v>
                </c:pt>
                <c:pt idx="7" formatCode="_ * #,##0.0_ ;_ * \-#,##0.0_ ;_ * &quot;-&quot;??_ ;_ @_ ">
                  <c:v>7730.37</c:v>
                </c:pt>
                <c:pt idx="8" formatCode="_ * #,##0.0_ ;_ * \-#,##0.0_ ;_ * &quot;-&quot;??_ ;_ @_ ">
                  <c:v>42992.01</c:v>
                </c:pt>
                <c:pt idx="9" formatCode="_ * #,##0.0_ ;_ * \-#,##0.0_ ;_ * &quot;-&quot;??_ ;_ @_ ">
                  <c:v>26169.3</c:v>
                </c:pt>
                <c:pt idx="10" formatCode="_ * #,##0.0_ ;_ * \-#,##0.0_ ;_ * &quot;-&quot;??_ ;_ @_ ">
                  <c:v>22044.23</c:v>
                </c:pt>
                <c:pt idx="11" formatCode="_ * #,##0.0_ ;_ * \-#,##0.0_ ;_ * &quot;-&quot;??_ ;_ @_ ">
                  <c:v>33777.39</c:v>
                </c:pt>
              </c:numCache>
            </c:numRef>
          </c:val>
          <c:smooth val="0"/>
          <c:extLst xmlns:c16r2="http://schemas.microsoft.com/office/drawing/2015/06/chart">
            <c:ext xmlns:c16="http://schemas.microsoft.com/office/drawing/2014/chart" uri="{C3380CC4-5D6E-409C-BE32-E72D297353CC}">
              <c16:uniqueId val="{00000002-2933-4DC4-B511-DC5C7EFD9917}"/>
            </c:ext>
          </c:extLst>
        </c:ser>
        <c:dLbls>
          <c:showLegendKey val="0"/>
          <c:showVal val="0"/>
          <c:showCatName val="0"/>
          <c:showSerName val="0"/>
          <c:showPercent val="0"/>
          <c:showBubbleSize val="0"/>
        </c:dLbls>
        <c:marker val="1"/>
        <c:smooth val="0"/>
        <c:axId val="197550248"/>
        <c:axId val="197549464"/>
      </c:lineChart>
      <c:dateAx>
        <c:axId val="197550248"/>
        <c:scaling>
          <c:orientation val="minMax"/>
        </c:scaling>
        <c:delete val="0"/>
        <c:axPos val="b"/>
        <c:numFmt formatCode="[$-409]mmm\-yy"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197549464"/>
        <c:crosses val="autoZero"/>
        <c:auto val="1"/>
        <c:lblOffset val="100"/>
        <c:baseTimeUnit val="months"/>
      </c:dateAx>
      <c:valAx>
        <c:axId val="197549464"/>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197550248"/>
        <c:crosses val="autoZero"/>
        <c:crossBetween val="between"/>
      </c:valAx>
      <c:spPr>
        <a:noFill/>
        <a:ln>
          <a:solidFill>
            <a:sysClr val="window" lastClr="FFFFFF">
              <a:lumMod val="65000"/>
            </a:sysClr>
          </a:solid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65000"/>
        </a:sysClr>
      </a:solidFill>
      <a:round/>
    </a:ln>
    <a:effectLst/>
  </c:spPr>
  <c:txPr>
    <a:bodyPr/>
    <a:lstStyle/>
    <a:p>
      <a:pPr>
        <a:defRPr sz="1000" b="1">
          <a:solidFill>
            <a:sysClr val="windowText" lastClr="000000"/>
          </a:solidFill>
          <a:latin typeface="Garamond" panose="02020404030301010803"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828515563071397E-2"/>
          <c:y val="4.1359509115414625E-2"/>
          <c:w val="0.87891243460339274"/>
          <c:h val="0.70482620415691277"/>
        </c:manualLayout>
      </c:layout>
      <c:areaChart>
        <c:grouping val="standard"/>
        <c:varyColors val="0"/>
        <c:ser>
          <c:idx val="4"/>
          <c:order val="4"/>
          <c:tx>
            <c:strRef>
              <c:f>FPI!$G$4</c:f>
              <c:strCache>
                <c:ptCount val="1"/>
                <c:pt idx="0">
                  <c:v>Total</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cat>
            <c:numRef>
              <c:f>FPI!$B$12:$B$23</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FPI!$G$12:$G$23</c:f>
              <c:numCache>
                <c:formatCode>#,##0</c:formatCode>
                <c:ptCount val="12"/>
                <c:pt idx="0">
                  <c:v>17023</c:v>
                </c:pt>
                <c:pt idx="1">
                  <c:v>-8836</c:v>
                </c:pt>
                <c:pt idx="2">
                  <c:v>-1958</c:v>
                </c:pt>
                <c:pt idx="3">
                  <c:v>12974</c:v>
                </c:pt>
                <c:pt idx="4">
                  <c:v>-7409.99</c:v>
                </c:pt>
                <c:pt idx="5">
                  <c:v>16556</c:v>
                </c:pt>
                <c:pt idx="6">
                  <c:v>27756</c:v>
                </c:pt>
                <c:pt idx="7">
                  <c:v>-12437</c:v>
                </c:pt>
                <c:pt idx="8">
                  <c:v>-2520.7600000000007</c:v>
                </c:pt>
                <c:pt idx="9">
                  <c:v>-29165</c:v>
                </c:pt>
                <c:pt idx="10">
                  <c:v>-28526</c:v>
                </c:pt>
                <c:pt idx="11">
                  <c:v>-38068</c:v>
                </c:pt>
              </c:numCache>
            </c:numRef>
          </c:val>
          <c:extLst xmlns:c16r2="http://schemas.microsoft.com/office/drawing/2015/06/chart">
            <c:ext xmlns:c16="http://schemas.microsoft.com/office/drawing/2014/chart" uri="{C3380CC4-5D6E-409C-BE32-E72D297353CC}">
              <c16:uniqueId val="{00000000-C8D6-4C15-89CF-732E922ADA2B}"/>
            </c:ext>
          </c:extLst>
        </c:ser>
        <c:dLbls>
          <c:showLegendKey val="0"/>
          <c:showVal val="0"/>
          <c:showCatName val="0"/>
          <c:showSerName val="0"/>
          <c:showPercent val="0"/>
          <c:showBubbleSize val="0"/>
        </c:dLbls>
        <c:axId val="197551424"/>
        <c:axId val="197551816"/>
      </c:areaChart>
      <c:barChart>
        <c:barDir val="col"/>
        <c:grouping val="clustered"/>
        <c:varyColors val="0"/>
        <c:ser>
          <c:idx val="0"/>
          <c:order val="0"/>
          <c:tx>
            <c:strRef>
              <c:f>FPI!$C$4</c:f>
              <c:strCache>
                <c:ptCount val="1"/>
                <c:pt idx="0">
                  <c:v>Equity </c:v>
                </c:pt>
              </c:strCache>
            </c:strRef>
          </c:tx>
          <c:spPr>
            <a:gradFill flip="none" rotWithShape="1">
              <a:gsLst>
                <a:gs pos="0">
                  <a:srgbClr val="70AD47">
                    <a:tint val="66000"/>
                    <a:satMod val="160000"/>
                  </a:srgbClr>
                </a:gs>
                <a:gs pos="50000">
                  <a:srgbClr val="70AD47">
                    <a:tint val="44500"/>
                    <a:satMod val="160000"/>
                  </a:srgbClr>
                </a:gs>
                <a:gs pos="100000">
                  <a:srgbClr val="70AD47">
                    <a:tint val="23500"/>
                    <a:satMod val="160000"/>
                  </a:srgbClr>
                </a:gs>
              </a:gsLst>
              <a:path path="circle">
                <a:fillToRect r="100000" b="100000"/>
              </a:path>
              <a:tileRect l="-100000" t="-100000"/>
            </a:gradFill>
            <a:ln w="9525" cap="flat" cmpd="sng" algn="ctr">
              <a:solidFill>
                <a:srgbClr val="70AD47"/>
              </a:solidFill>
              <a:round/>
            </a:ln>
            <a:effectLst/>
          </c:spPr>
          <c:invertIfNegative val="0"/>
          <c:cat>
            <c:numRef>
              <c:f>FPI!$B$12:$B$23</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FPI!$C$12:$C$23</c:f>
              <c:numCache>
                <c:formatCode>#,##0</c:formatCode>
                <c:ptCount val="12"/>
                <c:pt idx="0">
                  <c:v>10482</c:v>
                </c:pt>
                <c:pt idx="1">
                  <c:v>-9659</c:v>
                </c:pt>
                <c:pt idx="2">
                  <c:v>-2954</c:v>
                </c:pt>
                <c:pt idx="3">
                  <c:v>17215</c:v>
                </c:pt>
                <c:pt idx="4">
                  <c:v>-11308.36</c:v>
                </c:pt>
                <c:pt idx="5">
                  <c:v>2083</c:v>
                </c:pt>
                <c:pt idx="6">
                  <c:v>13154</c:v>
                </c:pt>
                <c:pt idx="7">
                  <c:v>-13550</c:v>
                </c:pt>
                <c:pt idx="8">
                  <c:v>-5945.1</c:v>
                </c:pt>
                <c:pt idx="9">
                  <c:v>-19026</c:v>
                </c:pt>
                <c:pt idx="10" formatCode="General">
                  <c:v>-33303</c:v>
                </c:pt>
                <c:pt idx="11">
                  <c:v>-35592</c:v>
                </c:pt>
              </c:numCache>
            </c:numRef>
          </c:val>
          <c:extLst xmlns:c16r2="http://schemas.microsoft.com/office/drawing/2015/06/chart">
            <c:ext xmlns:c16="http://schemas.microsoft.com/office/drawing/2014/chart" uri="{C3380CC4-5D6E-409C-BE32-E72D297353CC}">
              <c16:uniqueId val="{00000001-C8D6-4C15-89CF-732E922ADA2B}"/>
            </c:ext>
          </c:extLst>
        </c:ser>
        <c:ser>
          <c:idx val="1"/>
          <c:order val="1"/>
          <c:tx>
            <c:strRef>
              <c:f>FPI!$D$4</c:f>
              <c:strCache>
                <c:ptCount val="1"/>
                <c:pt idx="0">
                  <c:v>Debt </c:v>
                </c:pt>
              </c:strCache>
            </c:strRef>
          </c:tx>
          <c:spPr>
            <a:gradFill flip="none" rotWithShape="1">
              <a:gsLst>
                <a:gs pos="0">
                  <a:srgbClr val="ED7D31">
                    <a:shade val="30000"/>
                    <a:satMod val="115000"/>
                  </a:srgbClr>
                </a:gs>
                <a:gs pos="50000">
                  <a:srgbClr val="ED7D31">
                    <a:shade val="67500"/>
                    <a:satMod val="115000"/>
                  </a:srgbClr>
                </a:gs>
                <a:gs pos="100000">
                  <a:srgbClr val="ED7D31">
                    <a:shade val="100000"/>
                    <a:satMod val="115000"/>
                  </a:srgbClr>
                </a:gs>
              </a:gsLst>
              <a:lin ang="16200000" scaled="1"/>
              <a:tileRect/>
            </a:gradFill>
            <a:ln w="9525" cap="flat" cmpd="sng" algn="ctr">
              <a:solidFill>
                <a:srgbClr val="ED7D31"/>
              </a:solidFill>
              <a:round/>
            </a:ln>
            <a:effectLst/>
          </c:spPr>
          <c:invertIfNegative val="0"/>
          <c:cat>
            <c:numRef>
              <c:f>FPI!$B$12:$B$23</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FPI!$D$12:$D$23</c:f>
              <c:numCache>
                <c:formatCode>#,##0</c:formatCode>
                <c:ptCount val="12"/>
                <c:pt idx="0">
                  <c:v>-6492</c:v>
                </c:pt>
                <c:pt idx="1">
                  <c:v>-118</c:v>
                </c:pt>
                <c:pt idx="2">
                  <c:v>-1706</c:v>
                </c:pt>
                <c:pt idx="3">
                  <c:v>-4829</c:v>
                </c:pt>
                <c:pt idx="4">
                  <c:v>-781.55</c:v>
                </c:pt>
                <c:pt idx="5">
                  <c:v>12144</c:v>
                </c:pt>
                <c:pt idx="6">
                  <c:v>12804</c:v>
                </c:pt>
                <c:pt idx="7">
                  <c:v>-1558</c:v>
                </c:pt>
                <c:pt idx="8">
                  <c:v>982.57</c:v>
                </c:pt>
                <c:pt idx="9">
                  <c:v>-11799</c:v>
                </c:pt>
                <c:pt idx="10" formatCode="General">
                  <c:v>5194</c:v>
                </c:pt>
                <c:pt idx="11">
                  <c:v>-3073</c:v>
                </c:pt>
              </c:numCache>
            </c:numRef>
          </c:val>
          <c:extLst xmlns:c16r2="http://schemas.microsoft.com/office/drawing/2015/06/chart">
            <c:ext xmlns:c16="http://schemas.microsoft.com/office/drawing/2014/chart" uri="{C3380CC4-5D6E-409C-BE32-E72D297353CC}">
              <c16:uniqueId val="{00000002-C8D6-4C15-89CF-732E922ADA2B}"/>
            </c:ext>
          </c:extLst>
        </c:ser>
        <c:dLbls>
          <c:showLegendKey val="0"/>
          <c:showVal val="0"/>
          <c:showCatName val="0"/>
          <c:showSerName val="0"/>
          <c:showPercent val="0"/>
          <c:showBubbleSize val="0"/>
        </c:dLbls>
        <c:gapWidth val="219"/>
        <c:axId val="197551424"/>
        <c:axId val="197551816"/>
      </c:barChart>
      <c:lineChart>
        <c:grouping val="standard"/>
        <c:varyColors val="0"/>
        <c:ser>
          <c:idx val="2"/>
          <c:order val="2"/>
          <c:tx>
            <c:strRef>
              <c:f>FPI!$E$4</c:f>
              <c:strCache>
                <c:ptCount val="1"/>
                <c:pt idx="0">
                  <c:v>Debt-VRR </c:v>
                </c:pt>
              </c:strCache>
            </c:strRef>
          </c:tx>
          <c:spPr>
            <a:ln w="15875" cap="rnd">
              <a:solidFill>
                <a:srgbClr val="C00000"/>
              </a:solidFill>
              <a:round/>
            </a:ln>
            <a:effectLst/>
          </c:spPr>
          <c:marker>
            <c:symbol val="circle"/>
            <c:size val="5"/>
            <c:spPr>
              <a:solidFill>
                <a:srgbClr val="C00000"/>
              </a:solidFill>
              <a:ln w="9525" cap="flat" cmpd="sng" algn="ctr">
                <a:solidFill>
                  <a:srgbClr val="C00000"/>
                </a:solidFill>
                <a:round/>
              </a:ln>
              <a:effectLst/>
            </c:spPr>
          </c:marker>
          <c:cat>
            <c:numRef>
              <c:f>FPI!$B$12:$B$23</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FPI!$E$12:$E$23</c:f>
              <c:numCache>
                <c:formatCode>#,##0</c:formatCode>
                <c:ptCount val="12"/>
                <c:pt idx="0">
                  <c:v>13314</c:v>
                </c:pt>
                <c:pt idx="1">
                  <c:v>342</c:v>
                </c:pt>
                <c:pt idx="2">
                  <c:v>1994</c:v>
                </c:pt>
                <c:pt idx="3">
                  <c:v>883</c:v>
                </c:pt>
                <c:pt idx="4">
                  <c:v>4817.5</c:v>
                </c:pt>
                <c:pt idx="5">
                  <c:v>2232</c:v>
                </c:pt>
                <c:pt idx="6">
                  <c:v>559</c:v>
                </c:pt>
                <c:pt idx="7">
                  <c:v>2830</c:v>
                </c:pt>
                <c:pt idx="8">
                  <c:v>2465.92</c:v>
                </c:pt>
                <c:pt idx="9">
                  <c:v>1391</c:v>
                </c:pt>
                <c:pt idx="10" formatCode="General">
                  <c:v>-2114</c:v>
                </c:pt>
                <c:pt idx="11">
                  <c:v>487</c:v>
                </c:pt>
              </c:numCache>
            </c:numRef>
          </c:val>
          <c:smooth val="0"/>
          <c:extLst xmlns:c16r2="http://schemas.microsoft.com/office/drawing/2015/06/chart">
            <c:ext xmlns:c16="http://schemas.microsoft.com/office/drawing/2014/chart" uri="{C3380CC4-5D6E-409C-BE32-E72D297353CC}">
              <c16:uniqueId val="{00000003-C8D6-4C15-89CF-732E922ADA2B}"/>
            </c:ext>
          </c:extLst>
        </c:ser>
        <c:ser>
          <c:idx val="3"/>
          <c:order val="3"/>
          <c:tx>
            <c:strRef>
              <c:f>FPI!$F$4</c:f>
              <c:strCache>
                <c:ptCount val="1"/>
                <c:pt idx="0">
                  <c:v>Hybrid  </c:v>
                </c:pt>
              </c:strCache>
            </c:strRef>
          </c:tx>
          <c:spPr>
            <a:ln w="15875" cap="rnd">
              <a:solidFill>
                <a:sysClr val="windowText" lastClr="000000"/>
              </a:solidFill>
              <a:round/>
            </a:ln>
            <a:effectLst/>
          </c:spPr>
          <c:marker>
            <c:symbol val="circle"/>
            <c:size val="5"/>
            <c:spPr>
              <a:solidFill>
                <a:sysClr val="window" lastClr="FFFFFF"/>
              </a:solidFill>
              <a:ln w="9525" cap="flat" cmpd="sng" algn="ctr">
                <a:solidFill>
                  <a:sysClr val="windowText" lastClr="000000"/>
                </a:solidFill>
                <a:round/>
              </a:ln>
              <a:effectLst/>
            </c:spPr>
          </c:marker>
          <c:cat>
            <c:numRef>
              <c:f>FPI!$B$12:$B$23</c:f>
              <c:numCache>
                <c:formatCode>[$-409]mmm\-yy</c:formatCode>
                <c:ptCount val="12"/>
                <c:pt idx="0">
                  <c:v>44265</c:v>
                </c:pt>
                <c:pt idx="1">
                  <c:v>44296</c:v>
                </c:pt>
                <c:pt idx="2">
                  <c:v>44317</c:v>
                </c:pt>
                <c:pt idx="3">
                  <c:v>44348</c:v>
                </c:pt>
                <c:pt idx="4">
                  <c:v>44378</c:v>
                </c:pt>
                <c:pt idx="5">
                  <c:v>44409</c:v>
                </c:pt>
                <c:pt idx="6">
                  <c:v>44440</c:v>
                </c:pt>
                <c:pt idx="7">
                  <c:v>44470</c:v>
                </c:pt>
                <c:pt idx="8">
                  <c:v>44501</c:v>
                </c:pt>
                <c:pt idx="9">
                  <c:v>44531</c:v>
                </c:pt>
                <c:pt idx="10">
                  <c:v>44562</c:v>
                </c:pt>
                <c:pt idx="11">
                  <c:v>44593</c:v>
                </c:pt>
              </c:numCache>
            </c:numRef>
          </c:cat>
          <c:val>
            <c:numRef>
              <c:f>FPI!$F$12:$F$23</c:f>
              <c:numCache>
                <c:formatCode>#,##0</c:formatCode>
                <c:ptCount val="12"/>
                <c:pt idx="0">
                  <c:v>-281</c:v>
                </c:pt>
                <c:pt idx="1">
                  <c:v>599</c:v>
                </c:pt>
                <c:pt idx="2">
                  <c:v>709</c:v>
                </c:pt>
                <c:pt idx="3">
                  <c:v>-295</c:v>
                </c:pt>
                <c:pt idx="4">
                  <c:v>-137.58000000000001</c:v>
                </c:pt>
                <c:pt idx="5">
                  <c:v>97</c:v>
                </c:pt>
                <c:pt idx="6">
                  <c:v>1239</c:v>
                </c:pt>
                <c:pt idx="7">
                  <c:v>-159</c:v>
                </c:pt>
                <c:pt idx="8">
                  <c:v>-24.15</c:v>
                </c:pt>
                <c:pt idx="9">
                  <c:v>269</c:v>
                </c:pt>
                <c:pt idx="10" formatCode="General">
                  <c:v>1697</c:v>
                </c:pt>
                <c:pt idx="11">
                  <c:v>110</c:v>
                </c:pt>
              </c:numCache>
            </c:numRef>
          </c:val>
          <c:smooth val="0"/>
          <c:extLst xmlns:c16r2="http://schemas.microsoft.com/office/drawing/2015/06/chart">
            <c:ext xmlns:c16="http://schemas.microsoft.com/office/drawing/2014/chart" uri="{C3380CC4-5D6E-409C-BE32-E72D297353CC}">
              <c16:uniqueId val="{00000004-C8D6-4C15-89CF-732E922ADA2B}"/>
            </c:ext>
          </c:extLst>
        </c:ser>
        <c:dLbls>
          <c:showLegendKey val="0"/>
          <c:showVal val="0"/>
          <c:showCatName val="0"/>
          <c:showSerName val="0"/>
          <c:showPercent val="0"/>
          <c:showBubbleSize val="0"/>
        </c:dLbls>
        <c:marker val="1"/>
        <c:smooth val="0"/>
        <c:axId val="197551424"/>
        <c:axId val="197551816"/>
      </c:lineChart>
      <c:dateAx>
        <c:axId val="197551424"/>
        <c:scaling>
          <c:orientation val="minMax"/>
        </c:scaling>
        <c:delete val="0"/>
        <c:axPos val="b"/>
        <c:numFmt formatCode="[$-409]mmm\-yy" sourceLinked="1"/>
        <c:majorTickMark val="out"/>
        <c:minorTickMark val="none"/>
        <c:tickLblPos val="low"/>
        <c:spPr>
          <a:noFill/>
          <a:ln w="9525" cap="flat" cmpd="sng" algn="ctr">
            <a:solidFill>
              <a:sysClr val="window" lastClr="FFFFFF">
                <a:lumMod val="75000"/>
              </a:sys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197551816"/>
        <c:crosses val="autoZero"/>
        <c:auto val="1"/>
        <c:lblOffset val="100"/>
        <c:baseTimeUnit val="months"/>
      </c:dateAx>
      <c:valAx>
        <c:axId val="19755181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crossAx val="197551424"/>
        <c:crosses val="autoZero"/>
        <c:crossBetween val="between"/>
      </c:valAx>
      <c:spPr>
        <a:noFill/>
        <a:ln>
          <a:solidFill>
            <a:sysClr val="window" lastClr="FFFFFF">
              <a:lumMod val="65000"/>
            </a:sysClr>
          </a:solid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65000"/>
        </a:sysClr>
      </a:solidFill>
      <a:round/>
    </a:ln>
    <a:effectLst/>
  </c:spPr>
  <c:txPr>
    <a:bodyPr/>
    <a:lstStyle/>
    <a:p>
      <a:pPr>
        <a:defRPr sz="1000" b="1">
          <a:solidFill>
            <a:sysClr val="windowText" lastClr="000000"/>
          </a:solidFill>
          <a:latin typeface="Garamond" panose="02020404030301010803"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593026072992614E-2"/>
          <c:y val="5.2726284214473187E-2"/>
          <c:w val="0.80676280471762485"/>
          <c:h val="0.70693625669243709"/>
        </c:manualLayout>
      </c:layout>
      <c:barChart>
        <c:barDir val="col"/>
        <c:grouping val="clustered"/>
        <c:varyColors val="0"/>
        <c:ser>
          <c:idx val="1"/>
          <c:order val="1"/>
          <c:tx>
            <c:strRef>
              <c:f>SAST!$M$7:$M$8</c:f>
              <c:strCache>
                <c:ptCount val="2"/>
                <c:pt idx="0">
                  <c:v>Closed Value (RHS)</c:v>
                </c:pt>
              </c:strCache>
            </c:strRef>
          </c:tx>
          <c:spPr>
            <a:solidFill>
              <a:srgbClr val="C00000"/>
            </a:solidFill>
            <a:ln>
              <a:solidFill>
                <a:srgbClr val="C00000"/>
              </a:solidFill>
            </a:ln>
            <a:effectLst/>
          </c:spPr>
          <c:invertIfNegative val="0"/>
          <c:cat>
            <c:numRef>
              <c:f>SAST!$K$16:$K$27</c:f>
              <c:numCache>
                <c:formatCode>[$-409]mmm\-yy</c:formatCode>
                <c:ptCount val="12"/>
                <c:pt idx="0">
                  <c:v>44265</c:v>
                </c:pt>
                <c:pt idx="1">
                  <c:v>44296</c:v>
                </c:pt>
                <c:pt idx="2">
                  <c:v>44326</c:v>
                </c:pt>
                <c:pt idx="3">
                  <c:v>44357</c:v>
                </c:pt>
                <c:pt idx="4">
                  <c:v>44387</c:v>
                </c:pt>
                <c:pt idx="5">
                  <c:v>44418</c:v>
                </c:pt>
                <c:pt idx="6">
                  <c:v>44449</c:v>
                </c:pt>
                <c:pt idx="7">
                  <c:v>44479</c:v>
                </c:pt>
                <c:pt idx="8">
                  <c:v>44510</c:v>
                </c:pt>
                <c:pt idx="9">
                  <c:v>44540</c:v>
                </c:pt>
                <c:pt idx="10">
                  <c:v>44571</c:v>
                </c:pt>
                <c:pt idx="11">
                  <c:v>44602</c:v>
                </c:pt>
              </c:numCache>
            </c:numRef>
          </c:cat>
          <c:val>
            <c:numRef>
              <c:f>SAST!$M$16:$M$27</c:f>
              <c:numCache>
                <c:formatCode>#,##0;\-#,##0;0.0</c:formatCode>
                <c:ptCount val="12"/>
                <c:pt idx="0">
                  <c:v>440.03000000000003</c:v>
                </c:pt>
                <c:pt idx="1">
                  <c:v>5974.8600000000006</c:v>
                </c:pt>
                <c:pt idx="2">
                  <c:v>1400.44</c:v>
                </c:pt>
                <c:pt idx="3">
                  <c:v>81.680000000000007</c:v>
                </c:pt>
                <c:pt idx="4">
                  <c:v>8267.1</c:v>
                </c:pt>
                <c:pt idx="5" formatCode="General">
                  <c:v>2082</c:v>
                </c:pt>
                <c:pt idx="6" formatCode="General">
                  <c:v>6</c:v>
                </c:pt>
                <c:pt idx="7" formatCode="General">
                  <c:v>3316.25</c:v>
                </c:pt>
                <c:pt idx="8" formatCode="General">
                  <c:v>108</c:v>
                </c:pt>
                <c:pt idx="9" formatCode="General">
                  <c:v>6.2</c:v>
                </c:pt>
                <c:pt idx="10" formatCode="General">
                  <c:v>1987.83</c:v>
                </c:pt>
                <c:pt idx="11" formatCode="General">
                  <c:v>193.64</c:v>
                </c:pt>
              </c:numCache>
            </c:numRef>
          </c:val>
          <c:extLst xmlns:c16r2="http://schemas.microsoft.com/office/drawing/2015/06/chart">
            <c:ext xmlns:c16="http://schemas.microsoft.com/office/drawing/2014/chart" uri="{C3380CC4-5D6E-409C-BE32-E72D297353CC}">
              <c16:uniqueId val="{00000000-70BD-4465-9456-E69DF222D17F}"/>
            </c:ext>
          </c:extLst>
        </c:ser>
        <c:dLbls>
          <c:showLegendKey val="0"/>
          <c:showVal val="0"/>
          <c:showCatName val="0"/>
          <c:showSerName val="0"/>
          <c:showPercent val="0"/>
          <c:showBubbleSize val="0"/>
        </c:dLbls>
        <c:gapWidth val="219"/>
        <c:axId val="593033224"/>
        <c:axId val="593031264"/>
      </c:barChart>
      <c:lineChart>
        <c:grouping val="standard"/>
        <c:varyColors val="0"/>
        <c:ser>
          <c:idx val="0"/>
          <c:order val="0"/>
          <c:tx>
            <c:strRef>
              <c:f>SAST!$L$7:$L$8</c:f>
              <c:strCache>
                <c:ptCount val="2"/>
                <c:pt idx="0">
                  <c:v> Open Offers (LHS)</c:v>
                </c:pt>
              </c:strCache>
            </c:strRef>
          </c:tx>
          <c:spPr>
            <a:ln w="28575" cap="rnd">
              <a:solidFill>
                <a:srgbClr val="70AD47"/>
              </a:solidFill>
              <a:round/>
            </a:ln>
            <a:effectLst/>
          </c:spPr>
          <c:marker>
            <c:symbol val="none"/>
          </c:marker>
          <c:cat>
            <c:numRef>
              <c:f>SAST!$K$16:$K$27</c:f>
              <c:numCache>
                <c:formatCode>[$-409]mmm\-yy</c:formatCode>
                <c:ptCount val="12"/>
                <c:pt idx="0">
                  <c:v>44265</c:v>
                </c:pt>
                <c:pt idx="1">
                  <c:v>44296</c:v>
                </c:pt>
                <c:pt idx="2">
                  <c:v>44326</c:v>
                </c:pt>
                <c:pt idx="3">
                  <c:v>44357</c:v>
                </c:pt>
                <c:pt idx="4">
                  <c:v>44387</c:v>
                </c:pt>
                <c:pt idx="5">
                  <c:v>44418</c:v>
                </c:pt>
                <c:pt idx="6">
                  <c:v>44449</c:v>
                </c:pt>
                <c:pt idx="7">
                  <c:v>44479</c:v>
                </c:pt>
                <c:pt idx="8">
                  <c:v>44510</c:v>
                </c:pt>
                <c:pt idx="9">
                  <c:v>44540</c:v>
                </c:pt>
                <c:pt idx="10">
                  <c:v>44571</c:v>
                </c:pt>
                <c:pt idx="11">
                  <c:v>44602</c:v>
                </c:pt>
              </c:numCache>
            </c:numRef>
          </c:cat>
          <c:val>
            <c:numRef>
              <c:f>SAST!$L$16:$L$27</c:f>
              <c:numCache>
                <c:formatCode>General</c:formatCode>
                <c:ptCount val="12"/>
                <c:pt idx="0">
                  <c:v>3</c:v>
                </c:pt>
                <c:pt idx="1">
                  <c:v>6</c:v>
                </c:pt>
                <c:pt idx="2">
                  <c:v>3</c:v>
                </c:pt>
                <c:pt idx="3">
                  <c:v>6</c:v>
                </c:pt>
                <c:pt idx="4">
                  <c:v>5</c:v>
                </c:pt>
                <c:pt idx="5">
                  <c:v>8</c:v>
                </c:pt>
                <c:pt idx="6">
                  <c:v>3</c:v>
                </c:pt>
                <c:pt idx="7">
                  <c:v>7</c:v>
                </c:pt>
                <c:pt idx="8">
                  <c:v>7</c:v>
                </c:pt>
                <c:pt idx="9">
                  <c:v>5</c:v>
                </c:pt>
                <c:pt idx="10">
                  <c:v>7</c:v>
                </c:pt>
                <c:pt idx="11">
                  <c:v>7</c:v>
                </c:pt>
              </c:numCache>
            </c:numRef>
          </c:val>
          <c:smooth val="0"/>
          <c:extLst xmlns:c16r2="http://schemas.microsoft.com/office/drawing/2015/06/chart">
            <c:ext xmlns:c16="http://schemas.microsoft.com/office/drawing/2014/chart" uri="{C3380CC4-5D6E-409C-BE32-E72D297353CC}">
              <c16:uniqueId val="{00000001-70BD-4465-9456-E69DF222D17F}"/>
            </c:ext>
          </c:extLst>
        </c:ser>
        <c:dLbls>
          <c:showLegendKey val="0"/>
          <c:showVal val="0"/>
          <c:showCatName val="0"/>
          <c:showSerName val="0"/>
          <c:showPercent val="0"/>
          <c:showBubbleSize val="0"/>
        </c:dLbls>
        <c:marker val="1"/>
        <c:smooth val="0"/>
        <c:axId val="197549072"/>
        <c:axId val="197549856"/>
      </c:lineChart>
      <c:dateAx>
        <c:axId val="197549072"/>
        <c:scaling>
          <c:orientation val="minMax"/>
        </c:scaling>
        <c:delete val="0"/>
        <c:axPos val="b"/>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197549856"/>
        <c:crosses val="autoZero"/>
        <c:auto val="1"/>
        <c:lblOffset val="100"/>
        <c:baseTimeUnit val="months"/>
      </c:dateAx>
      <c:valAx>
        <c:axId val="19754985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r>
                  <a:rPr lang="en-US"/>
                  <a:t>Number</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197549072"/>
        <c:crosses val="autoZero"/>
        <c:crossBetween val="between"/>
        <c:majorUnit val="2"/>
      </c:valAx>
      <c:valAx>
        <c:axId val="593031264"/>
        <c:scaling>
          <c:orientation val="minMax"/>
          <c:max val="9000"/>
        </c:scaling>
        <c:delete val="0"/>
        <c:axPos val="r"/>
        <c:title>
          <c:tx>
            <c:rich>
              <a:bodyPr rot="-54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r>
                  <a:rPr lang="en-GB"/>
                  <a:t>₹</a:t>
                </a:r>
                <a:r>
                  <a:rPr lang="en-IN"/>
                  <a:t> </a:t>
                </a:r>
                <a:r>
                  <a:rPr lang="en-IN" sz="1000" b="1" i="0" u="none" strike="noStrike" kern="1200" baseline="0">
                    <a:solidFill>
                      <a:sysClr val="windowText" lastClr="000000"/>
                    </a:solidFill>
                    <a:latin typeface="Garamond" panose="02020404030301010803" pitchFamily="18" charset="0"/>
                    <a:ea typeface="+mn-ea"/>
                    <a:cs typeface="+mn-cs"/>
                  </a:rPr>
                  <a:t>Crore</a:t>
                </a:r>
                <a:endParaRPr lang="en-IN"/>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Garamond" panose="02020404030301010803" pitchFamily="18" charset="0"/>
                  <a:ea typeface="+mn-ea"/>
                  <a:cs typeface="+mn-cs"/>
                </a:defRPr>
              </a:pPr>
              <a:endParaRPr lang="en-US"/>
            </a:p>
          </c:txPr>
        </c:title>
        <c:numFmt formatCode="#,##0;\-#,##0;0.0"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593033224"/>
        <c:crosses val="max"/>
        <c:crossBetween val="between"/>
      </c:valAx>
      <c:dateAx>
        <c:axId val="593033224"/>
        <c:scaling>
          <c:orientation val="minMax"/>
        </c:scaling>
        <c:delete val="1"/>
        <c:axPos val="b"/>
        <c:numFmt formatCode="[$-409]mmm\-yy" sourceLinked="1"/>
        <c:majorTickMark val="out"/>
        <c:minorTickMark val="none"/>
        <c:tickLblPos val="nextTo"/>
        <c:crossAx val="593031264"/>
        <c:crosses val="autoZero"/>
        <c:auto val="1"/>
        <c:lblOffset val="100"/>
        <c:baseTimeUnit val="months"/>
        <c:majorUnit val="1"/>
        <c:minorUnit val="1"/>
      </c:dateAx>
      <c:spPr>
        <a:noFill/>
        <a:ln>
          <a:solidFill>
            <a:sysClr val="window" lastClr="FFFFFF">
              <a:lumMod val="65000"/>
            </a:sysClr>
          </a:solid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12700" cap="flat" cmpd="sng" algn="ctr">
      <a:solidFill>
        <a:sysClr val="window" lastClr="FFFFFF">
          <a:lumMod val="65000"/>
        </a:sysClr>
      </a:solidFill>
      <a:round/>
    </a:ln>
    <a:effectLst/>
  </c:spPr>
  <c:txPr>
    <a:bodyPr/>
    <a:lstStyle/>
    <a:p>
      <a:pPr>
        <a:defRPr b="1">
          <a:solidFill>
            <a:sysClr val="windowText" lastClr="000000"/>
          </a:solidFill>
          <a:latin typeface="Garamond" panose="02020404030301010803"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0445248133130945E-2"/>
          <c:y val="9.5263813252921672E-2"/>
          <c:w val="0.8894338475070297"/>
          <c:h val="0.62603877559691201"/>
        </c:manualLayout>
      </c:layout>
      <c:lineChart>
        <c:grouping val="standard"/>
        <c:varyColors val="0"/>
        <c:ser>
          <c:idx val="0"/>
          <c:order val="0"/>
          <c:tx>
            <c:strRef>
              <c:f>Index_Chart!$D$1</c:f>
              <c:strCache>
                <c:ptCount val="1"/>
                <c:pt idx="0">
                  <c:v>MCX iCOMDEX</c:v>
                </c:pt>
              </c:strCache>
            </c:strRef>
          </c:tx>
          <c:spPr>
            <a:ln w="28575" cap="rnd">
              <a:solidFill>
                <a:schemeClr val="accent1"/>
              </a:solidFill>
              <a:round/>
            </a:ln>
            <a:effectLst/>
          </c:spPr>
          <c:marker>
            <c:symbol val="none"/>
          </c:marker>
          <c:dPt>
            <c:idx val="258"/>
            <c:marker>
              <c:symbol val="none"/>
            </c:marker>
            <c:bubble3D val="0"/>
            <c:extLst xmlns:c16r2="http://schemas.microsoft.com/office/drawing/2015/06/chart">
              <c:ext xmlns:c16="http://schemas.microsoft.com/office/drawing/2014/chart" uri="{C3380CC4-5D6E-409C-BE32-E72D297353CC}">
                <c16:uniqueId val="{00000000-49D3-4AA5-B4BA-3EB3649A4811}"/>
              </c:ext>
            </c:extLst>
          </c:dPt>
          <c:dLbls>
            <c:dLbl>
              <c:idx val="279"/>
              <c:layout>
                <c:manualLayout>
                  <c:x val="0"/>
                  <c:y val="-4.31499460625675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9D3-4AA5-B4BA-3EB3649A481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Index_Chart!$A$2:$A$281</c:f>
              <c:numCache>
                <c:formatCode>d\-mmm\-yy</c:formatCode>
                <c:ptCount val="280"/>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44291</c:v>
                </c:pt>
                <c:pt idx="26">
                  <c:v>44292</c:v>
                </c:pt>
                <c:pt idx="27">
                  <c:v>44293</c:v>
                </c:pt>
                <c:pt idx="28">
                  <c:v>44294</c:v>
                </c:pt>
                <c:pt idx="29">
                  <c:v>44295</c:v>
                </c:pt>
                <c:pt idx="30">
                  <c:v>44298</c:v>
                </c:pt>
                <c:pt idx="31">
                  <c:v>44299</c:v>
                </c:pt>
                <c:pt idx="32">
                  <c:v>44300</c:v>
                </c:pt>
                <c:pt idx="33">
                  <c:v>44301</c:v>
                </c:pt>
                <c:pt idx="34">
                  <c:v>44302</c:v>
                </c:pt>
                <c:pt idx="35">
                  <c:v>44305</c:v>
                </c:pt>
                <c:pt idx="36">
                  <c:v>44306</c:v>
                </c:pt>
                <c:pt idx="37">
                  <c:v>44307</c:v>
                </c:pt>
                <c:pt idx="38">
                  <c:v>44308</c:v>
                </c:pt>
                <c:pt idx="39">
                  <c:v>44309</c:v>
                </c:pt>
                <c:pt idx="40">
                  <c:v>44312</c:v>
                </c:pt>
                <c:pt idx="41">
                  <c:v>44313</c:v>
                </c:pt>
                <c:pt idx="42">
                  <c:v>44314</c:v>
                </c:pt>
                <c:pt idx="43">
                  <c:v>44315</c:v>
                </c:pt>
                <c:pt idx="44">
                  <c:v>44316</c:v>
                </c:pt>
                <c:pt idx="45">
                  <c:v>44319</c:v>
                </c:pt>
                <c:pt idx="46">
                  <c:v>44320</c:v>
                </c:pt>
                <c:pt idx="47">
                  <c:v>44321</c:v>
                </c:pt>
                <c:pt idx="48">
                  <c:v>44322</c:v>
                </c:pt>
                <c:pt idx="49">
                  <c:v>44323</c:v>
                </c:pt>
                <c:pt idx="50">
                  <c:v>44326</c:v>
                </c:pt>
                <c:pt idx="51">
                  <c:v>44327</c:v>
                </c:pt>
                <c:pt idx="52">
                  <c:v>44328</c:v>
                </c:pt>
                <c:pt idx="53">
                  <c:v>44329</c:v>
                </c:pt>
                <c:pt idx="54">
                  <c:v>44330</c:v>
                </c:pt>
                <c:pt idx="55">
                  <c:v>44333</c:v>
                </c:pt>
                <c:pt idx="56">
                  <c:v>44334</c:v>
                </c:pt>
                <c:pt idx="57">
                  <c:v>44335</c:v>
                </c:pt>
                <c:pt idx="58">
                  <c:v>44336</c:v>
                </c:pt>
                <c:pt idx="59">
                  <c:v>44337</c:v>
                </c:pt>
                <c:pt idx="60">
                  <c:v>44340</c:v>
                </c:pt>
                <c:pt idx="61">
                  <c:v>44341</c:v>
                </c:pt>
                <c:pt idx="62">
                  <c:v>44342</c:v>
                </c:pt>
                <c:pt idx="63">
                  <c:v>44343</c:v>
                </c:pt>
                <c:pt idx="64">
                  <c:v>44344</c:v>
                </c:pt>
                <c:pt idx="65">
                  <c:v>44347</c:v>
                </c:pt>
                <c:pt idx="66">
                  <c:v>44348</c:v>
                </c:pt>
                <c:pt idx="67">
                  <c:v>44349</c:v>
                </c:pt>
                <c:pt idx="68">
                  <c:v>44350</c:v>
                </c:pt>
                <c:pt idx="69">
                  <c:v>44351</c:v>
                </c:pt>
                <c:pt idx="70">
                  <c:v>44354</c:v>
                </c:pt>
                <c:pt idx="71">
                  <c:v>44355</c:v>
                </c:pt>
                <c:pt idx="72">
                  <c:v>44356</c:v>
                </c:pt>
                <c:pt idx="73">
                  <c:v>44357</c:v>
                </c:pt>
                <c:pt idx="74">
                  <c:v>44358</c:v>
                </c:pt>
                <c:pt idx="75">
                  <c:v>44361</c:v>
                </c:pt>
                <c:pt idx="76">
                  <c:v>44362</c:v>
                </c:pt>
                <c:pt idx="77">
                  <c:v>44363</c:v>
                </c:pt>
                <c:pt idx="78">
                  <c:v>44364</c:v>
                </c:pt>
                <c:pt idx="79">
                  <c:v>44365</c:v>
                </c:pt>
                <c:pt idx="80">
                  <c:v>44368</c:v>
                </c:pt>
                <c:pt idx="81">
                  <c:v>44369</c:v>
                </c:pt>
                <c:pt idx="82">
                  <c:v>44370</c:v>
                </c:pt>
                <c:pt idx="83">
                  <c:v>44371</c:v>
                </c:pt>
                <c:pt idx="84">
                  <c:v>44372</c:v>
                </c:pt>
                <c:pt idx="85">
                  <c:v>44375</c:v>
                </c:pt>
                <c:pt idx="86">
                  <c:v>44376</c:v>
                </c:pt>
                <c:pt idx="87">
                  <c:v>44377</c:v>
                </c:pt>
                <c:pt idx="88">
                  <c:v>44378</c:v>
                </c:pt>
                <c:pt idx="89">
                  <c:v>44379</c:v>
                </c:pt>
                <c:pt idx="90">
                  <c:v>44382</c:v>
                </c:pt>
                <c:pt idx="91">
                  <c:v>44383</c:v>
                </c:pt>
                <c:pt idx="92">
                  <c:v>44384</c:v>
                </c:pt>
                <c:pt idx="93">
                  <c:v>44385</c:v>
                </c:pt>
                <c:pt idx="94">
                  <c:v>44386</c:v>
                </c:pt>
                <c:pt idx="95">
                  <c:v>44389</c:v>
                </c:pt>
                <c:pt idx="96">
                  <c:v>44390</c:v>
                </c:pt>
                <c:pt idx="97">
                  <c:v>44391</c:v>
                </c:pt>
                <c:pt idx="98">
                  <c:v>44392</c:v>
                </c:pt>
                <c:pt idx="99">
                  <c:v>44393</c:v>
                </c:pt>
                <c:pt idx="100">
                  <c:v>44396</c:v>
                </c:pt>
                <c:pt idx="101">
                  <c:v>44397</c:v>
                </c:pt>
                <c:pt idx="102">
                  <c:v>44398</c:v>
                </c:pt>
                <c:pt idx="103">
                  <c:v>44399</c:v>
                </c:pt>
                <c:pt idx="104">
                  <c:v>44400</c:v>
                </c:pt>
                <c:pt idx="105">
                  <c:v>44403</c:v>
                </c:pt>
                <c:pt idx="106">
                  <c:v>44404</c:v>
                </c:pt>
                <c:pt idx="107">
                  <c:v>44405</c:v>
                </c:pt>
                <c:pt idx="108">
                  <c:v>44406</c:v>
                </c:pt>
                <c:pt idx="109">
                  <c:v>44407</c:v>
                </c:pt>
                <c:pt idx="110">
                  <c:v>44410</c:v>
                </c:pt>
                <c:pt idx="111">
                  <c:v>44411</c:v>
                </c:pt>
                <c:pt idx="112">
                  <c:v>44412</c:v>
                </c:pt>
                <c:pt idx="113">
                  <c:v>44413</c:v>
                </c:pt>
                <c:pt idx="114">
                  <c:v>44414</c:v>
                </c:pt>
                <c:pt idx="115">
                  <c:v>44417</c:v>
                </c:pt>
                <c:pt idx="116">
                  <c:v>44418</c:v>
                </c:pt>
                <c:pt idx="117">
                  <c:v>44419</c:v>
                </c:pt>
                <c:pt idx="118">
                  <c:v>44420</c:v>
                </c:pt>
                <c:pt idx="119">
                  <c:v>44421</c:v>
                </c:pt>
                <c:pt idx="120">
                  <c:v>44424</c:v>
                </c:pt>
                <c:pt idx="121">
                  <c:v>44425</c:v>
                </c:pt>
                <c:pt idx="122">
                  <c:v>44426</c:v>
                </c:pt>
                <c:pt idx="123">
                  <c:v>44427</c:v>
                </c:pt>
                <c:pt idx="124">
                  <c:v>44428</c:v>
                </c:pt>
                <c:pt idx="125">
                  <c:v>44431</c:v>
                </c:pt>
                <c:pt idx="126">
                  <c:v>44432</c:v>
                </c:pt>
                <c:pt idx="127">
                  <c:v>44433</c:v>
                </c:pt>
                <c:pt idx="128">
                  <c:v>44434</c:v>
                </c:pt>
                <c:pt idx="129">
                  <c:v>44435</c:v>
                </c:pt>
                <c:pt idx="130">
                  <c:v>44438</c:v>
                </c:pt>
                <c:pt idx="131">
                  <c:v>44439</c:v>
                </c:pt>
                <c:pt idx="132">
                  <c:v>44440</c:v>
                </c:pt>
                <c:pt idx="133">
                  <c:v>44441</c:v>
                </c:pt>
                <c:pt idx="134">
                  <c:v>44442</c:v>
                </c:pt>
                <c:pt idx="135">
                  <c:v>44445</c:v>
                </c:pt>
                <c:pt idx="136">
                  <c:v>44446</c:v>
                </c:pt>
                <c:pt idx="137">
                  <c:v>44447</c:v>
                </c:pt>
                <c:pt idx="138">
                  <c:v>44448</c:v>
                </c:pt>
                <c:pt idx="139">
                  <c:v>44449</c:v>
                </c:pt>
                <c:pt idx="140">
                  <c:v>44452</c:v>
                </c:pt>
                <c:pt idx="141">
                  <c:v>44453</c:v>
                </c:pt>
                <c:pt idx="142">
                  <c:v>44454</c:v>
                </c:pt>
                <c:pt idx="143">
                  <c:v>44455</c:v>
                </c:pt>
                <c:pt idx="144">
                  <c:v>44456</c:v>
                </c:pt>
                <c:pt idx="145">
                  <c:v>44459</c:v>
                </c:pt>
                <c:pt idx="146">
                  <c:v>44460</c:v>
                </c:pt>
                <c:pt idx="147">
                  <c:v>44461</c:v>
                </c:pt>
                <c:pt idx="148">
                  <c:v>44462</c:v>
                </c:pt>
                <c:pt idx="149">
                  <c:v>44463</c:v>
                </c:pt>
                <c:pt idx="150">
                  <c:v>44466</c:v>
                </c:pt>
                <c:pt idx="151">
                  <c:v>44467</c:v>
                </c:pt>
                <c:pt idx="152">
                  <c:v>44468</c:v>
                </c:pt>
                <c:pt idx="153">
                  <c:v>44469</c:v>
                </c:pt>
                <c:pt idx="154">
                  <c:v>44470</c:v>
                </c:pt>
                <c:pt idx="155">
                  <c:v>44473</c:v>
                </c:pt>
                <c:pt idx="156">
                  <c:v>44474</c:v>
                </c:pt>
                <c:pt idx="157">
                  <c:v>44475</c:v>
                </c:pt>
                <c:pt idx="158">
                  <c:v>44476</c:v>
                </c:pt>
                <c:pt idx="159">
                  <c:v>44477</c:v>
                </c:pt>
                <c:pt idx="160">
                  <c:v>44480</c:v>
                </c:pt>
                <c:pt idx="161">
                  <c:v>44481</c:v>
                </c:pt>
                <c:pt idx="162">
                  <c:v>44482</c:v>
                </c:pt>
                <c:pt idx="163">
                  <c:v>44483</c:v>
                </c:pt>
                <c:pt idx="164">
                  <c:v>44484</c:v>
                </c:pt>
                <c:pt idx="165">
                  <c:v>44487</c:v>
                </c:pt>
                <c:pt idx="166">
                  <c:v>44488</c:v>
                </c:pt>
                <c:pt idx="167">
                  <c:v>44489</c:v>
                </c:pt>
                <c:pt idx="168">
                  <c:v>44490</c:v>
                </c:pt>
                <c:pt idx="169">
                  <c:v>44491</c:v>
                </c:pt>
                <c:pt idx="170">
                  <c:v>44494</c:v>
                </c:pt>
                <c:pt idx="171">
                  <c:v>44495</c:v>
                </c:pt>
                <c:pt idx="172">
                  <c:v>44496</c:v>
                </c:pt>
                <c:pt idx="173">
                  <c:v>44497</c:v>
                </c:pt>
                <c:pt idx="174">
                  <c:v>44498</c:v>
                </c:pt>
                <c:pt idx="175">
                  <c:v>44501</c:v>
                </c:pt>
                <c:pt idx="176">
                  <c:v>44502</c:v>
                </c:pt>
                <c:pt idx="177">
                  <c:v>44503</c:v>
                </c:pt>
                <c:pt idx="178">
                  <c:v>44504</c:v>
                </c:pt>
                <c:pt idx="179">
                  <c:v>44505</c:v>
                </c:pt>
                <c:pt idx="180">
                  <c:v>44508</c:v>
                </c:pt>
                <c:pt idx="181">
                  <c:v>44509</c:v>
                </c:pt>
                <c:pt idx="182">
                  <c:v>44510</c:v>
                </c:pt>
                <c:pt idx="183">
                  <c:v>44511</c:v>
                </c:pt>
                <c:pt idx="184">
                  <c:v>44512</c:v>
                </c:pt>
                <c:pt idx="185">
                  <c:v>44515</c:v>
                </c:pt>
                <c:pt idx="186">
                  <c:v>44516</c:v>
                </c:pt>
                <c:pt idx="187">
                  <c:v>44517</c:v>
                </c:pt>
                <c:pt idx="188">
                  <c:v>44518</c:v>
                </c:pt>
                <c:pt idx="189">
                  <c:v>44519</c:v>
                </c:pt>
                <c:pt idx="190">
                  <c:v>44522</c:v>
                </c:pt>
                <c:pt idx="191">
                  <c:v>44523</c:v>
                </c:pt>
                <c:pt idx="192">
                  <c:v>44524</c:v>
                </c:pt>
                <c:pt idx="193">
                  <c:v>44525</c:v>
                </c:pt>
                <c:pt idx="194">
                  <c:v>44526</c:v>
                </c:pt>
                <c:pt idx="195">
                  <c:v>44529</c:v>
                </c:pt>
                <c:pt idx="196">
                  <c:v>44530</c:v>
                </c:pt>
                <c:pt idx="197">
                  <c:v>44531</c:v>
                </c:pt>
                <c:pt idx="198">
                  <c:v>44532</c:v>
                </c:pt>
                <c:pt idx="199">
                  <c:v>44533</c:v>
                </c:pt>
                <c:pt idx="200">
                  <c:v>44536</c:v>
                </c:pt>
                <c:pt idx="201">
                  <c:v>44537</c:v>
                </c:pt>
                <c:pt idx="202">
                  <c:v>44538</c:v>
                </c:pt>
                <c:pt idx="203">
                  <c:v>44539</c:v>
                </c:pt>
                <c:pt idx="204">
                  <c:v>44540</c:v>
                </c:pt>
                <c:pt idx="205">
                  <c:v>44543</c:v>
                </c:pt>
                <c:pt idx="206">
                  <c:v>44544</c:v>
                </c:pt>
                <c:pt idx="207">
                  <c:v>44545</c:v>
                </c:pt>
                <c:pt idx="208">
                  <c:v>44546</c:v>
                </c:pt>
                <c:pt idx="209">
                  <c:v>44547</c:v>
                </c:pt>
                <c:pt idx="210">
                  <c:v>44550</c:v>
                </c:pt>
                <c:pt idx="211">
                  <c:v>44551</c:v>
                </c:pt>
                <c:pt idx="212">
                  <c:v>44552</c:v>
                </c:pt>
                <c:pt idx="213">
                  <c:v>44553</c:v>
                </c:pt>
                <c:pt idx="214">
                  <c:v>44554</c:v>
                </c:pt>
                <c:pt idx="215">
                  <c:v>44557</c:v>
                </c:pt>
                <c:pt idx="216">
                  <c:v>44558</c:v>
                </c:pt>
                <c:pt idx="217">
                  <c:v>44559</c:v>
                </c:pt>
                <c:pt idx="218">
                  <c:v>44560</c:v>
                </c:pt>
                <c:pt idx="219">
                  <c:v>44561</c:v>
                </c:pt>
                <c:pt idx="220">
                  <c:v>44564</c:v>
                </c:pt>
                <c:pt idx="221">
                  <c:v>44565</c:v>
                </c:pt>
                <c:pt idx="222">
                  <c:v>44566</c:v>
                </c:pt>
                <c:pt idx="223">
                  <c:v>44567</c:v>
                </c:pt>
                <c:pt idx="224">
                  <c:v>44568</c:v>
                </c:pt>
                <c:pt idx="225">
                  <c:v>44571</c:v>
                </c:pt>
                <c:pt idx="226">
                  <c:v>44572</c:v>
                </c:pt>
                <c:pt idx="227">
                  <c:v>44573</c:v>
                </c:pt>
                <c:pt idx="228">
                  <c:v>44574</c:v>
                </c:pt>
                <c:pt idx="229">
                  <c:v>44575</c:v>
                </c:pt>
                <c:pt idx="230">
                  <c:v>44578</c:v>
                </c:pt>
                <c:pt idx="231">
                  <c:v>44579</c:v>
                </c:pt>
                <c:pt idx="232">
                  <c:v>44580</c:v>
                </c:pt>
                <c:pt idx="233">
                  <c:v>44581</c:v>
                </c:pt>
                <c:pt idx="234">
                  <c:v>44582</c:v>
                </c:pt>
                <c:pt idx="235">
                  <c:v>44585</c:v>
                </c:pt>
                <c:pt idx="236">
                  <c:v>44586</c:v>
                </c:pt>
                <c:pt idx="237">
                  <c:v>44588</c:v>
                </c:pt>
                <c:pt idx="238">
                  <c:v>44589</c:v>
                </c:pt>
                <c:pt idx="239">
                  <c:v>44592</c:v>
                </c:pt>
                <c:pt idx="240">
                  <c:v>44564</c:v>
                </c:pt>
                <c:pt idx="241">
                  <c:v>44565</c:v>
                </c:pt>
                <c:pt idx="242">
                  <c:v>44566</c:v>
                </c:pt>
                <c:pt idx="243">
                  <c:v>44567</c:v>
                </c:pt>
                <c:pt idx="244">
                  <c:v>44568</c:v>
                </c:pt>
                <c:pt idx="245">
                  <c:v>44571</c:v>
                </c:pt>
                <c:pt idx="246">
                  <c:v>44572</c:v>
                </c:pt>
                <c:pt idx="247">
                  <c:v>44573</c:v>
                </c:pt>
                <c:pt idx="248">
                  <c:v>44574</c:v>
                </c:pt>
                <c:pt idx="249">
                  <c:v>44575</c:v>
                </c:pt>
                <c:pt idx="250">
                  <c:v>44578</c:v>
                </c:pt>
                <c:pt idx="251">
                  <c:v>44579</c:v>
                </c:pt>
                <c:pt idx="252">
                  <c:v>44580</c:v>
                </c:pt>
                <c:pt idx="253">
                  <c:v>44581</c:v>
                </c:pt>
                <c:pt idx="254">
                  <c:v>44582</c:v>
                </c:pt>
                <c:pt idx="255">
                  <c:v>44585</c:v>
                </c:pt>
                <c:pt idx="256">
                  <c:v>44586</c:v>
                </c:pt>
                <c:pt idx="257">
                  <c:v>44588</c:v>
                </c:pt>
                <c:pt idx="258">
                  <c:v>44589</c:v>
                </c:pt>
                <c:pt idx="259">
                  <c:v>44592</c:v>
                </c:pt>
                <c:pt idx="260">
                  <c:v>44593</c:v>
                </c:pt>
                <c:pt idx="261">
                  <c:v>44594</c:v>
                </c:pt>
                <c:pt idx="262">
                  <c:v>44595</c:v>
                </c:pt>
                <c:pt idx="263">
                  <c:v>44596</c:v>
                </c:pt>
                <c:pt idx="264">
                  <c:v>44599</c:v>
                </c:pt>
                <c:pt idx="265">
                  <c:v>44600</c:v>
                </c:pt>
                <c:pt idx="266">
                  <c:v>44601</c:v>
                </c:pt>
                <c:pt idx="267">
                  <c:v>44602</c:v>
                </c:pt>
                <c:pt idx="268">
                  <c:v>44603</c:v>
                </c:pt>
                <c:pt idx="269">
                  <c:v>44606</c:v>
                </c:pt>
                <c:pt idx="270">
                  <c:v>44607</c:v>
                </c:pt>
                <c:pt idx="271">
                  <c:v>44608</c:v>
                </c:pt>
                <c:pt idx="272">
                  <c:v>44609</c:v>
                </c:pt>
                <c:pt idx="273">
                  <c:v>44610</c:v>
                </c:pt>
                <c:pt idx="274">
                  <c:v>44613</c:v>
                </c:pt>
                <c:pt idx="275">
                  <c:v>44614</c:v>
                </c:pt>
                <c:pt idx="276">
                  <c:v>44615</c:v>
                </c:pt>
                <c:pt idx="277">
                  <c:v>44616</c:v>
                </c:pt>
                <c:pt idx="278">
                  <c:v>44617</c:v>
                </c:pt>
                <c:pt idx="279">
                  <c:v>44620</c:v>
                </c:pt>
              </c:numCache>
            </c:numRef>
          </c:cat>
          <c:val>
            <c:numRef>
              <c:f>Index_Chart!$D$2:$D$281</c:f>
              <c:numCache>
                <c:formatCode>_(* #,##0.00_);_(* \(#,##0.00\);_(* "-"??_);_(@_)</c:formatCode>
                <c:ptCount val="280"/>
                <c:pt idx="0">
                  <c:v>100</c:v>
                </c:pt>
                <c:pt idx="1">
                  <c:v>99.007506430878479</c:v>
                </c:pt>
                <c:pt idx="2">
                  <c:v>99.818680820551705</c:v>
                </c:pt>
                <c:pt idx="3">
                  <c:v>98.127558958495314</c:v>
                </c:pt>
                <c:pt idx="4">
                  <c:v>96.775265866115021</c:v>
                </c:pt>
                <c:pt idx="5">
                  <c:v>97.882686490896958</c:v>
                </c:pt>
                <c:pt idx="6">
                  <c:v>97.576092242011669</c:v>
                </c:pt>
                <c:pt idx="7">
                  <c:v>97.690286694926826</c:v>
                </c:pt>
                <c:pt idx="8">
                  <c:v>97.274534636999931</c:v>
                </c:pt>
                <c:pt idx="9">
                  <c:v>98.382779439870276</c:v>
                </c:pt>
                <c:pt idx="10">
                  <c:v>97.733143955523687</c:v>
                </c:pt>
                <c:pt idx="11">
                  <c:v>98.046881081175144</c:v>
                </c:pt>
                <c:pt idx="12">
                  <c:v>97.467117583656361</c:v>
                </c:pt>
                <c:pt idx="13">
                  <c:v>97.47490148782461</c:v>
                </c:pt>
                <c:pt idx="14">
                  <c:v>96.671602577662767</c:v>
                </c:pt>
                <c:pt idx="15">
                  <c:v>96.891200250550142</c:v>
                </c:pt>
                <c:pt idx="16">
                  <c:v>96.856401620150976</c:v>
                </c:pt>
                <c:pt idx="17">
                  <c:v>95.087807017784854</c:v>
                </c:pt>
                <c:pt idx="18">
                  <c:v>95.996783873948374</c:v>
                </c:pt>
                <c:pt idx="19">
                  <c:v>95.006121811689965</c:v>
                </c:pt>
                <c:pt idx="20">
                  <c:v>95.998065928752553</c:v>
                </c:pt>
                <c:pt idx="21">
                  <c:v>95.580299213276234</c:v>
                </c:pt>
                <c:pt idx="22">
                  <c:v>94.803465577286389</c:v>
                </c:pt>
                <c:pt idx="23">
                  <c:v>95.376269348725316</c:v>
                </c:pt>
                <c:pt idx="24">
                  <c:v>96.637811276038306</c:v>
                </c:pt>
                <c:pt idx="25">
                  <c:v>96.312077780433469</c:v>
                </c:pt>
                <c:pt idx="26">
                  <c:v>97.672704229040932</c:v>
                </c:pt>
                <c:pt idx="27">
                  <c:v>98.557047317895567</c:v>
                </c:pt>
                <c:pt idx="28">
                  <c:v>99.423807940864307</c:v>
                </c:pt>
                <c:pt idx="29">
                  <c:v>98.834062730941568</c:v>
                </c:pt>
                <c:pt idx="30">
                  <c:v>98.142302588743391</c:v>
                </c:pt>
                <c:pt idx="31">
                  <c:v>99.375822461050717</c:v>
                </c:pt>
                <c:pt idx="32">
                  <c:v>100.28663082407736</c:v>
                </c:pt>
                <c:pt idx="33">
                  <c:v>101.13214596743398</c:v>
                </c:pt>
                <c:pt idx="34">
                  <c:v>101.08544254242457</c:v>
                </c:pt>
                <c:pt idx="35">
                  <c:v>101.38388658576902</c:v>
                </c:pt>
                <c:pt idx="36">
                  <c:v>101.7831550819279</c:v>
                </c:pt>
                <c:pt idx="37">
                  <c:v>102.43782721014803</c:v>
                </c:pt>
                <c:pt idx="38">
                  <c:v>101.72289850613143</c:v>
                </c:pt>
                <c:pt idx="39">
                  <c:v>101.72784357466185</c:v>
                </c:pt>
                <c:pt idx="40">
                  <c:v>102.23672775657808</c:v>
                </c:pt>
                <c:pt idx="41">
                  <c:v>102.65605125288806</c:v>
                </c:pt>
                <c:pt idx="42">
                  <c:v>102.75138118511316</c:v>
                </c:pt>
                <c:pt idx="43">
                  <c:v>102.14304618052981</c:v>
                </c:pt>
                <c:pt idx="44">
                  <c:v>101.89451069920523</c:v>
                </c:pt>
                <c:pt idx="45">
                  <c:v>103.39414851872304</c:v>
                </c:pt>
                <c:pt idx="46">
                  <c:v>103.11383639332344</c:v>
                </c:pt>
                <c:pt idx="47">
                  <c:v>103.18892817471112</c:v>
                </c:pt>
                <c:pt idx="48">
                  <c:v>104.18929722334403</c:v>
                </c:pt>
                <c:pt idx="49">
                  <c:v>104.62821784308933</c:v>
                </c:pt>
                <c:pt idx="50">
                  <c:v>104.68645976133635</c:v>
                </c:pt>
                <c:pt idx="51">
                  <c:v>104.94039818790711</c:v>
                </c:pt>
                <c:pt idx="52">
                  <c:v>104.74131339188662</c:v>
                </c:pt>
                <c:pt idx="53">
                  <c:v>103.38938660087895</c:v>
                </c:pt>
                <c:pt idx="54">
                  <c:v>104.08810646915695</c:v>
                </c:pt>
                <c:pt idx="55">
                  <c:v>106.05166497710159</c:v>
                </c:pt>
                <c:pt idx="56">
                  <c:v>105.38746901319327</c:v>
                </c:pt>
                <c:pt idx="57">
                  <c:v>104.14277694902094</c:v>
                </c:pt>
                <c:pt idx="58">
                  <c:v>103.36438653219744</c:v>
                </c:pt>
                <c:pt idx="59">
                  <c:v>102.85559392562433</c:v>
                </c:pt>
                <c:pt idx="60">
                  <c:v>103.791127631303</c:v>
                </c:pt>
                <c:pt idx="61">
                  <c:v>104.05257523601257</c:v>
                </c:pt>
                <c:pt idx="62">
                  <c:v>103.86219009759184</c:v>
                </c:pt>
                <c:pt idx="63">
                  <c:v>104.69232058329831</c:v>
                </c:pt>
                <c:pt idx="64">
                  <c:v>104.5414044177777</c:v>
                </c:pt>
                <c:pt idx="65">
                  <c:v>104.91713805074556</c:v>
                </c:pt>
                <c:pt idx="66">
                  <c:v>105.4391175067331</c:v>
                </c:pt>
                <c:pt idx="67">
                  <c:v>105.89140812657911</c:v>
                </c:pt>
                <c:pt idx="68">
                  <c:v>103.98334427658686</c:v>
                </c:pt>
                <c:pt idx="69">
                  <c:v>104.83838325563167</c:v>
                </c:pt>
                <c:pt idx="70">
                  <c:v>104.96622243467704</c:v>
                </c:pt>
                <c:pt idx="71">
                  <c:v>105.04708346268352</c:v>
                </c:pt>
                <c:pt idx="72">
                  <c:v>105.04195524346677</c:v>
                </c:pt>
                <c:pt idx="73">
                  <c:v>105.12547195642479</c:v>
                </c:pt>
                <c:pt idx="74">
                  <c:v>105.23646127232951</c:v>
                </c:pt>
                <c:pt idx="75">
                  <c:v>104.84589243377043</c:v>
                </c:pt>
                <c:pt idx="76">
                  <c:v>103.91502907059269</c:v>
                </c:pt>
                <c:pt idx="77">
                  <c:v>104.12263037352668</c:v>
                </c:pt>
                <c:pt idx="78">
                  <c:v>101.34395973615314</c:v>
                </c:pt>
                <c:pt idx="79">
                  <c:v>101.23278726956211</c:v>
                </c:pt>
                <c:pt idx="80">
                  <c:v>102.19945659191372</c:v>
                </c:pt>
                <c:pt idx="81">
                  <c:v>102.527204745068</c:v>
                </c:pt>
                <c:pt idx="82">
                  <c:v>103.11988036597171</c:v>
                </c:pt>
                <c:pt idx="83">
                  <c:v>103.16695009235373</c:v>
                </c:pt>
                <c:pt idx="84">
                  <c:v>103.45513769726476</c:v>
                </c:pt>
                <c:pt idx="85">
                  <c:v>103.38966132690841</c:v>
                </c:pt>
                <c:pt idx="86">
                  <c:v>103.06960550257922</c:v>
                </c:pt>
                <c:pt idx="87">
                  <c:v>103.59625530106769</c:v>
                </c:pt>
                <c:pt idx="88">
                  <c:v>104.10678783916075</c:v>
                </c:pt>
                <c:pt idx="89">
                  <c:v>104.86713791338254</c:v>
                </c:pt>
                <c:pt idx="90">
                  <c:v>105.32849449220099</c:v>
                </c:pt>
                <c:pt idx="91">
                  <c:v>104.3776677042153</c:v>
                </c:pt>
                <c:pt idx="92">
                  <c:v>104.53307106155054</c:v>
                </c:pt>
                <c:pt idx="93">
                  <c:v>104.29177003233525</c:v>
                </c:pt>
                <c:pt idx="94">
                  <c:v>105.4128353832474</c:v>
                </c:pt>
                <c:pt idx="95">
                  <c:v>105.20129634055773</c:v>
                </c:pt>
                <c:pt idx="96">
                  <c:v>105.60257949426601</c:v>
                </c:pt>
                <c:pt idx="97">
                  <c:v>105.42373284908292</c:v>
                </c:pt>
                <c:pt idx="98">
                  <c:v>105.64882504255964</c:v>
                </c:pt>
                <c:pt idx="99">
                  <c:v>105.43508819163424</c:v>
                </c:pt>
                <c:pt idx="100">
                  <c:v>103.52418550600413</c:v>
                </c:pt>
                <c:pt idx="101">
                  <c:v>103.74671358987251</c:v>
                </c:pt>
                <c:pt idx="102">
                  <c:v>104.3125576352316</c:v>
                </c:pt>
                <c:pt idx="103">
                  <c:v>105.0163141473832</c:v>
                </c:pt>
                <c:pt idx="104">
                  <c:v>105.65477743986476</c:v>
                </c:pt>
                <c:pt idx="105">
                  <c:v>106.15258100525918</c:v>
                </c:pt>
                <c:pt idx="106">
                  <c:v>105.60834874088482</c:v>
                </c:pt>
                <c:pt idx="107">
                  <c:v>105.94791011330618</c:v>
                </c:pt>
                <c:pt idx="108">
                  <c:v>107.49443450851972</c:v>
                </c:pt>
                <c:pt idx="109">
                  <c:v>106.93912162762351</c:v>
                </c:pt>
                <c:pt idx="110">
                  <c:v>106.07968703210724</c:v>
                </c:pt>
                <c:pt idx="111">
                  <c:v>105.5379273019981</c:v>
                </c:pt>
                <c:pt idx="112">
                  <c:v>105.05028859969397</c:v>
                </c:pt>
                <c:pt idx="113">
                  <c:v>105.02464750361035</c:v>
                </c:pt>
                <c:pt idx="114">
                  <c:v>103.71896626089632</c:v>
                </c:pt>
                <c:pt idx="115">
                  <c:v>101.61447329983508</c:v>
                </c:pt>
                <c:pt idx="116">
                  <c:v>102.61676543067426</c:v>
                </c:pt>
                <c:pt idx="117">
                  <c:v>103.47574214947477</c:v>
                </c:pt>
                <c:pt idx="118">
                  <c:v>103.07793885880639</c:v>
                </c:pt>
                <c:pt idx="119">
                  <c:v>103.86228167293501</c:v>
                </c:pt>
                <c:pt idx="120">
                  <c:v>103.82812406993793</c:v>
                </c:pt>
                <c:pt idx="121">
                  <c:v>103.18032009245448</c:v>
                </c:pt>
                <c:pt idx="122">
                  <c:v>102.21694748245646</c:v>
                </c:pt>
                <c:pt idx="123">
                  <c:v>101.1509189127809</c:v>
                </c:pt>
                <c:pt idx="124">
                  <c:v>101.02591856937337</c:v>
                </c:pt>
                <c:pt idx="125">
                  <c:v>102.8108135828212</c:v>
                </c:pt>
                <c:pt idx="126">
                  <c:v>103.60816009567793</c:v>
                </c:pt>
                <c:pt idx="127">
                  <c:v>103.42272002578763</c:v>
                </c:pt>
                <c:pt idx="128">
                  <c:v>103.18608933907328</c:v>
                </c:pt>
                <c:pt idx="129">
                  <c:v>103.80431448071744</c:v>
                </c:pt>
                <c:pt idx="130">
                  <c:v>103.6654862604934</c:v>
                </c:pt>
                <c:pt idx="131">
                  <c:v>103.38013749122021</c:v>
                </c:pt>
                <c:pt idx="132">
                  <c:v>103.23727995589731</c:v>
                </c:pt>
                <c:pt idx="133">
                  <c:v>103.77555982296656</c:v>
                </c:pt>
                <c:pt idx="134">
                  <c:v>104.73783352884669</c:v>
                </c:pt>
                <c:pt idx="135">
                  <c:v>104.55156928086799</c:v>
                </c:pt>
                <c:pt idx="136">
                  <c:v>104.00156776987484</c:v>
                </c:pt>
                <c:pt idx="137">
                  <c:v>104.58902359621869</c:v>
                </c:pt>
                <c:pt idx="138">
                  <c:v>104.7274855150701</c:v>
                </c:pt>
                <c:pt idx="139">
                  <c:v>105.27171777944444</c:v>
                </c:pt>
                <c:pt idx="140">
                  <c:v>105.03984901057422</c:v>
                </c:pt>
                <c:pt idx="141">
                  <c:v>105.14680901138007</c:v>
                </c:pt>
                <c:pt idx="142">
                  <c:v>105.81265333146519</c:v>
                </c:pt>
                <c:pt idx="143">
                  <c:v>104.38865674539399</c:v>
                </c:pt>
                <c:pt idx="144">
                  <c:v>103.67381961672055</c:v>
                </c:pt>
                <c:pt idx="145">
                  <c:v>102.8773888572954</c:v>
                </c:pt>
                <c:pt idx="146">
                  <c:v>103.11337851660767</c:v>
                </c:pt>
                <c:pt idx="147">
                  <c:v>104.19644010011015</c:v>
                </c:pt>
                <c:pt idx="148">
                  <c:v>104.48700866394323</c:v>
                </c:pt>
                <c:pt idx="149">
                  <c:v>104.64671606240677</c:v>
                </c:pt>
                <c:pt idx="150">
                  <c:v>105.49754257566642</c:v>
                </c:pt>
                <c:pt idx="151">
                  <c:v>105.38105873917236</c:v>
                </c:pt>
                <c:pt idx="152">
                  <c:v>104.34250277244352</c:v>
                </c:pt>
                <c:pt idx="153">
                  <c:v>104.93398791388621</c:v>
                </c:pt>
                <c:pt idx="154">
                  <c:v>105.32318312229796</c:v>
                </c:pt>
                <c:pt idx="155">
                  <c:v>106.83921292824066</c:v>
                </c:pt>
                <c:pt idx="156">
                  <c:v>107.67264012630071</c:v>
                </c:pt>
                <c:pt idx="157">
                  <c:v>107.13948847844821</c:v>
                </c:pt>
                <c:pt idx="158">
                  <c:v>107.50111950857008</c:v>
                </c:pt>
                <c:pt idx="159">
                  <c:v>108.76128780573575</c:v>
                </c:pt>
                <c:pt idx="160">
                  <c:v>109.27328554931928</c:v>
                </c:pt>
                <c:pt idx="161">
                  <c:v>109.29672883716715</c:v>
                </c:pt>
                <c:pt idx="162">
                  <c:v>110.41825206479506</c:v>
                </c:pt>
                <c:pt idx="163">
                  <c:v>111.38757707209818</c:v>
                </c:pt>
                <c:pt idx="164">
                  <c:v>112.14234105038751</c:v>
                </c:pt>
                <c:pt idx="165">
                  <c:v>111.79545365051371</c:v>
                </c:pt>
                <c:pt idx="166">
                  <c:v>111.94975810373104</c:v>
                </c:pt>
                <c:pt idx="167">
                  <c:v>113.29234420973684</c:v>
                </c:pt>
                <c:pt idx="168">
                  <c:v>111.25094666010989</c:v>
                </c:pt>
                <c:pt idx="169">
                  <c:v>112.08061926910055</c:v>
                </c:pt>
                <c:pt idx="170">
                  <c:v>113.43538489574607</c:v>
                </c:pt>
                <c:pt idx="171">
                  <c:v>112.79270913747932</c:v>
                </c:pt>
                <c:pt idx="172">
                  <c:v>111.98712084373858</c:v>
                </c:pt>
                <c:pt idx="173">
                  <c:v>111.760929746144</c:v>
                </c:pt>
                <c:pt idx="174">
                  <c:v>111.51211953878995</c:v>
                </c:pt>
                <c:pt idx="175">
                  <c:v>111.73629597883512</c:v>
                </c:pt>
                <c:pt idx="176">
                  <c:v>110.9808909731437</c:v>
                </c:pt>
                <c:pt idx="177">
                  <c:v>109.41486102983799</c:v>
                </c:pt>
                <c:pt idx="178">
                  <c:v>110.71266679304065</c:v>
                </c:pt>
                <c:pt idx="179">
                  <c:v>110.14425863807318</c:v>
                </c:pt>
                <c:pt idx="180">
                  <c:v>110.61889364164921</c:v>
                </c:pt>
                <c:pt idx="181">
                  <c:v>110.56422316178525</c:v>
                </c:pt>
                <c:pt idx="182">
                  <c:v>110.95094583593179</c:v>
                </c:pt>
                <c:pt idx="183">
                  <c:v>111.72475748559749</c:v>
                </c:pt>
                <c:pt idx="184">
                  <c:v>111.80946467801651</c:v>
                </c:pt>
                <c:pt idx="185">
                  <c:v>111.22567186539889</c:v>
                </c:pt>
                <c:pt idx="186">
                  <c:v>111.46413405897637</c:v>
                </c:pt>
                <c:pt idx="187">
                  <c:v>110.52374686011042</c:v>
                </c:pt>
                <c:pt idx="188">
                  <c:v>110.64032227194764</c:v>
                </c:pt>
                <c:pt idx="189">
                  <c:v>110.49288596946695</c:v>
                </c:pt>
                <c:pt idx="190">
                  <c:v>110.01687733574359</c:v>
                </c:pt>
                <c:pt idx="191">
                  <c:v>109.81861671781149</c:v>
                </c:pt>
                <c:pt idx="192">
                  <c:v>110.29865466663371</c:v>
                </c:pt>
                <c:pt idx="193">
                  <c:v>110.14050404900379</c:v>
                </c:pt>
                <c:pt idx="194">
                  <c:v>107.33857327446871</c:v>
                </c:pt>
                <c:pt idx="195">
                  <c:v>107.69644971552121</c:v>
                </c:pt>
                <c:pt idx="196">
                  <c:v>105.51457558949338</c:v>
                </c:pt>
                <c:pt idx="197">
                  <c:v>105.32263367023904</c:v>
                </c:pt>
                <c:pt idx="198">
                  <c:v>104.65239373368243</c:v>
                </c:pt>
                <c:pt idx="199">
                  <c:v>105.6301436725559</c:v>
                </c:pt>
                <c:pt idx="200">
                  <c:v>105.85432011260106</c:v>
                </c:pt>
                <c:pt idx="201">
                  <c:v>107.31586258936609</c:v>
                </c:pt>
                <c:pt idx="202">
                  <c:v>107.55340902951198</c:v>
                </c:pt>
                <c:pt idx="203">
                  <c:v>106.83902977755434</c:v>
                </c:pt>
                <c:pt idx="204">
                  <c:v>107.0470889572041</c:v>
                </c:pt>
                <c:pt idx="205">
                  <c:v>107.38582615153705</c:v>
                </c:pt>
                <c:pt idx="206">
                  <c:v>106.43142792516831</c:v>
                </c:pt>
                <c:pt idx="207">
                  <c:v>106.21045662213358</c:v>
                </c:pt>
                <c:pt idx="208">
                  <c:v>108.1388501983064</c:v>
                </c:pt>
                <c:pt idx="209">
                  <c:v>107.45404978218806</c:v>
                </c:pt>
                <c:pt idx="210">
                  <c:v>105.96842299017307</c:v>
                </c:pt>
                <c:pt idx="211">
                  <c:v>107.25075252038239</c:v>
                </c:pt>
                <c:pt idx="212">
                  <c:v>107.96366656684955</c:v>
                </c:pt>
                <c:pt idx="213">
                  <c:v>107.9565236900834</c:v>
                </c:pt>
                <c:pt idx="214">
                  <c:v>108.04406971814025</c:v>
                </c:pt>
                <c:pt idx="215">
                  <c:v>108.78894355936875</c:v>
                </c:pt>
                <c:pt idx="216">
                  <c:v>108.81440150476604</c:v>
                </c:pt>
                <c:pt idx="217">
                  <c:v>108.58106753040531</c:v>
                </c:pt>
                <c:pt idx="218">
                  <c:v>108.55744109187113</c:v>
                </c:pt>
                <c:pt idx="219">
                  <c:v>108.64150725688808</c:v>
                </c:pt>
                <c:pt idx="220">
                  <c:v>108.36714752879357</c:v>
                </c:pt>
                <c:pt idx="221">
                  <c:v>109.40075842699201</c:v>
                </c:pt>
                <c:pt idx="222">
                  <c:v>109.43216876969441</c:v>
                </c:pt>
                <c:pt idx="223">
                  <c:v>108.7349141069069</c:v>
                </c:pt>
                <c:pt idx="224">
                  <c:v>108.84498766938005</c:v>
                </c:pt>
                <c:pt idx="225">
                  <c:v>108.69233157233948</c:v>
                </c:pt>
                <c:pt idx="226">
                  <c:v>109.93931302009072</c:v>
                </c:pt>
                <c:pt idx="227">
                  <c:v>111.29774166046245</c:v>
                </c:pt>
                <c:pt idx="228">
                  <c:v>111.01459069942501</c:v>
                </c:pt>
                <c:pt idx="229">
                  <c:v>111.16211857724885</c:v>
                </c:pt>
                <c:pt idx="230">
                  <c:v>111.65305399190657</c:v>
                </c:pt>
                <c:pt idx="231">
                  <c:v>112.13519817362136</c:v>
                </c:pt>
                <c:pt idx="232">
                  <c:v>113.68117311677597</c:v>
                </c:pt>
                <c:pt idx="233">
                  <c:v>114.58758586333113</c:v>
                </c:pt>
                <c:pt idx="234">
                  <c:v>114.30370229954845</c:v>
                </c:pt>
                <c:pt idx="235">
                  <c:v>113.2819046206171</c:v>
                </c:pt>
                <c:pt idx="236">
                  <c:v>114.07439764028655</c:v>
                </c:pt>
                <c:pt idx="237">
                  <c:v>114.37916038230875</c:v>
                </c:pt>
                <c:pt idx="238">
                  <c:v>114.3478416149495</c:v>
                </c:pt>
                <c:pt idx="239">
                  <c:v>114.33209065592673</c:v>
                </c:pt>
                <c:pt idx="240">
                  <c:v>108.36714752879357</c:v>
                </c:pt>
                <c:pt idx="241">
                  <c:v>109.40075842699201</c:v>
                </c:pt>
                <c:pt idx="242">
                  <c:v>109.43216876969441</c:v>
                </c:pt>
                <c:pt idx="243">
                  <c:v>108.7349141069069</c:v>
                </c:pt>
                <c:pt idx="244">
                  <c:v>108.84498766938005</c:v>
                </c:pt>
                <c:pt idx="245">
                  <c:v>108.69233157233948</c:v>
                </c:pt>
                <c:pt idx="246">
                  <c:v>109.93931302009072</c:v>
                </c:pt>
                <c:pt idx="247">
                  <c:v>111.29774166046245</c:v>
                </c:pt>
                <c:pt idx="248">
                  <c:v>111.01459069942501</c:v>
                </c:pt>
                <c:pt idx="249">
                  <c:v>111.16211857724885</c:v>
                </c:pt>
                <c:pt idx="250">
                  <c:v>111.65305399190657</c:v>
                </c:pt>
                <c:pt idx="251">
                  <c:v>112.13519817362136</c:v>
                </c:pt>
                <c:pt idx="252">
                  <c:v>113.68117311677597</c:v>
                </c:pt>
                <c:pt idx="253">
                  <c:v>114.58758586333113</c:v>
                </c:pt>
                <c:pt idx="254">
                  <c:v>114.30370229954845</c:v>
                </c:pt>
                <c:pt idx="255">
                  <c:v>113.2819046206171</c:v>
                </c:pt>
                <c:pt idx="256">
                  <c:v>114.07439764028655</c:v>
                </c:pt>
                <c:pt idx="257">
                  <c:v>114.37916038230875</c:v>
                </c:pt>
                <c:pt idx="258">
                  <c:v>114.3478416149495</c:v>
                </c:pt>
                <c:pt idx="259">
                  <c:v>114.33209065592673</c:v>
                </c:pt>
                <c:pt idx="260">
                  <c:v>115.01432696243671</c:v>
                </c:pt>
                <c:pt idx="261">
                  <c:v>116.47999032964378</c:v>
                </c:pt>
                <c:pt idx="262">
                  <c:v>115.52266169229404</c:v>
                </c:pt>
                <c:pt idx="263">
                  <c:v>116.03237005229869</c:v>
                </c:pt>
                <c:pt idx="264">
                  <c:v>115.80443902318413</c:v>
                </c:pt>
                <c:pt idx="265">
                  <c:v>115.72605052944284</c:v>
                </c:pt>
                <c:pt idx="266">
                  <c:v>116.31707779416978</c:v>
                </c:pt>
                <c:pt idx="267">
                  <c:v>117.44437026841649</c:v>
                </c:pt>
                <c:pt idx="268">
                  <c:v>116.94134690846221</c:v>
                </c:pt>
                <c:pt idx="269">
                  <c:v>118.58649794825445</c:v>
                </c:pt>
                <c:pt idx="270">
                  <c:v>117.48411396734606</c:v>
                </c:pt>
                <c:pt idx="271">
                  <c:v>118.48585664612634</c:v>
                </c:pt>
                <c:pt idx="272">
                  <c:v>118.69776199018862</c:v>
                </c:pt>
                <c:pt idx="273">
                  <c:v>118.51232192029832</c:v>
                </c:pt>
                <c:pt idx="274">
                  <c:v>118.96497884151698</c:v>
                </c:pt>
                <c:pt idx="275">
                  <c:v>119.56571309261841</c:v>
                </c:pt>
                <c:pt idx="276">
                  <c:v>119.38265398165014</c:v>
                </c:pt>
                <c:pt idx="277">
                  <c:v>122.39502489475704</c:v>
                </c:pt>
                <c:pt idx="278">
                  <c:v>119.37340487199141</c:v>
                </c:pt>
                <c:pt idx="279">
                  <c:v>121.29291563987815</c:v>
                </c:pt>
              </c:numCache>
            </c:numRef>
          </c:val>
          <c:smooth val="0"/>
          <c:extLst xmlns:c16r2="http://schemas.microsoft.com/office/drawing/2015/06/chart">
            <c:ext xmlns:c16="http://schemas.microsoft.com/office/drawing/2014/chart" uri="{C3380CC4-5D6E-409C-BE32-E72D297353CC}">
              <c16:uniqueId val="{00000002-49D3-4AA5-B4BA-3EB3649A4811}"/>
            </c:ext>
          </c:extLst>
        </c:ser>
        <c:ser>
          <c:idx val="1"/>
          <c:order val="1"/>
          <c:tx>
            <c:strRef>
              <c:f>Index_Chart!$E$1</c:f>
              <c:strCache>
                <c:ptCount val="1"/>
                <c:pt idx="0">
                  <c:v>NKRISHI</c:v>
                </c:pt>
              </c:strCache>
            </c:strRef>
          </c:tx>
          <c:spPr>
            <a:ln w="28575" cap="rnd">
              <a:solidFill>
                <a:schemeClr val="accent2"/>
              </a:solidFill>
              <a:round/>
            </a:ln>
            <a:effectLst/>
          </c:spPr>
          <c:marker>
            <c:symbol val="none"/>
          </c:marker>
          <c:dPt>
            <c:idx val="258"/>
            <c:marker>
              <c:symbol val="none"/>
            </c:marker>
            <c:bubble3D val="0"/>
            <c:extLst xmlns:c16r2="http://schemas.microsoft.com/office/drawing/2015/06/chart">
              <c:ext xmlns:c16="http://schemas.microsoft.com/office/drawing/2014/chart" uri="{C3380CC4-5D6E-409C-BE32-E72D297353CC}">
                <c16:uniqueId val="{00000003-49D3-4AA5-B4BA-3EB3649A4811}"/>
              </c:ext>
            </c:extLst>
          </c:dPt>
          <c:dPt>
            <c:idx val="261"/>
            <c:marker>
              <c:symbol val="none"/>
            </c:marker>
            <c:bubble3D val="0"/>
            <c:extLst xmlns:c16r2="http://schemas.microsoft.com/office/drawing/2015/06/chart">
              <c:ext xmlns:c16="http://schemas.microsoft.com/office/drawing/2014/chart" uri="{C3380CC4-5D6E-409C-BE32-E72D297353CC}">
                <c16:uniqueId val="{00000004-49D3-4AA5-B4BA-3EB3649A4811}"/>
              </c:ext>
            </c:extLst>
          </c:dPt>
          <c:dPt>
            <c:idx val="278"/>
            <c:marker>
              <c:symbol val="none"/>
            </c:marker>
            <c:bubble3D val="0"/>
            <c:spPr>
              <a:ln w="28575" cap="sq">
                <a:solidFill>
                  <a:schemeClr val="accent2"/>
                </a:solidFill>
                <a:miter lim="800000"/>
              </a:ln>
              <a:effectLst/>
            </c:spPr>
            <c:extLst xmlns:c16r2="http://schemas.microsoft.com/office/drawing/2015/06/chart">
              <c:ext xmlns:c16="http://schemas.microsoft.com/office/drawing/2014/chart" uri="{C3380CC4-5D6E-409C-BE32-E72D297353CC}">
                <c16:uniqueId val="{00000006-49D3-4AA5-B4BA-3EB3649A4811}"/>
              </c:ext>
            </c:extLst>
          </c:dPt>
          <c:dLbls>
            <c:dLbl>
              <c:idx val="279"/>
              <c:layout>
                <c:manualLayout>
                  <c:x val="0"/>
                  <c:y val="-4.31499460625674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49D3-4AA5-B4BA-3EB3649A481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Index_Chart!$A$2:$A$281</c:f>
              <c:numCache>
                <c:formatCode>d\-mmm\-yy</c:formatCode>
                <c:ptCount val="280"/>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44291</c:v>
                </c:pt>
                <c:pt idx="26">
                  <c:v>44292</c:v>
                </c:pt>
                <c:pt idx="27">
                  <c:v>44293</c:v>
                </c:pt>
                <c:pt idx="28">
                  <c:v>44294</c:v>
                </c:pt>
                <c:pt idx="29">
                  <c:v>44295</c:v>
                </c:pt>
                <c:pt idx="30">
                  <c:v>44298</c:v>
                </c:pt>
                <c:pt idx="31">
                  <c:v>44299</c:v>
                </c:pt>
                <c:pt idx="32">
                  <c:v>44300</c:v>
                </c:pt>
                <c:pt idx="33">
                  <c:v>44301</c:v>
                </c:pt>
                <c:pt idx="34">
                  <c:v>44302</c:v>
                </c:pt>
                <c:pt idx="35">
                  <c:v>44305</c:v>
                </c:pt>
                <c:pt idx="36">
                  <c:v>44306</c:v>
                </c:pt>
                <c:pt idx="37">
                  <c:v>44307</c:v>
                </c:pt>
                <c:pt idx="38">
                  <c:v>44308</c:v>
                </c:pt>
                <c:pt idx="39">
                  <c:v>44309</c:v>
                </c:pt>
                <c:pt idx="40">
                  <c:v>44312</c:v>
                </c:pt>
                <c:pt idx="41">
                  <c:v>44313</c:v>
                </c:pt>
                <c:pt idx="42">
                  <c:v>44314</c:v>
                </c:pt>
                <c:pt idx="43">
                  <c:v>44315</c:v>
                </c:pt>
                <c:pt idx="44">
                  <c:v>44316</c:v>
                </c:pt>
                <c:pt idx="45">
                  <c:v>44319</c:v>
                </c:pt>
                <c:pt idx="46">
                  <c:v>44320</c:v>
                </c:pt>
                <c:pt idx="47">
                  <c:v>44321</c:v>
                </c:pt>
                <c:pt idx="48">
                  <c:v>44322</c:v>
                </c:pt>
                <c:pt idx="49">
                  <c:v>44323</c:v>
                </c:pt>
                <c:pt idx="50">
                  <c:v>44326</c:v>
                </c:pt>
                <c:pt idx="51">
                  <c:v>44327</c:v>
                </c:pt>
                <c:pt idx="52">
                  <c:v>44328</c:v>
                </c:pt>
                <c:pt idx="53">
                  <c:v>44329</c:v>
                </c:pt>
                <c:pt idx="54">
                  <c:v>44330</c:v>
                </c:pt>
                <c:pt idx="55">
                  <c:v>44333</c:v>
                </c:pt>
                <c:pt idx="56">
                  <c:v>44334</c:v>
                </c:pt>
                <c:pt idx="57">
                  <c:v>44335</c:v>
                </c:pt>
                <c:pt idx="58">
                  <c:v>44336</c:v>
                </c:pt>
                <c:pt idx="59">
                  <c:v>44337</c:v>
                </c:pt>
                <c:pt idx="60">
                  <c:v>44340</c:v>
                </c:pt>
                <c:pt idx="61">
                  <c:v>44341</c:v>
                </c:pt>
                <c:pt idx="62">
                  <c:v>44342</c:v>
                </c:pt>
                <c:pt idx="63">
                  <c:v>44343</c:v>
                </c:pt>
                <c:pt idx="64">
                  <c:v>44344</c:v>
                </c:pt>
                <c:pt idx="65">
                  <c:v>44347</c:v>
                </c:pt>
                <c:pt idx="66">
                  <c:v>44348</c:v>
                </c:pt>
                <c:pt idx="67">
                  <c:v>44349</c:v>
                </c:pt>
                <c:pt idx="68">
                  <c:v>44350</c:v>
                </c:pt>
                <c:pt idx="69">
                  <c:v>44351</c:v>
                </c:pt>
                <c:pt idx="70">
                  <c:v>44354</c:v>
                </c:pt>
                <c:pt idx="71">
                  <c:v>44355</c:v>
                </c:pt>
                <c:pt idx="72">
                  <c:v>44356</c:v>
                </c:pt>
                <c:pt idx="73">
                  <c:v>44357</c:v>
                </c:pt>
                <c:pt idx="74">
                  <c:v>44358</c:v>
                </c:pt>
                <c:pt idx="75">
                  <c:v>44361</c:v>
                </c:pt>
                <c:pt idx="76">
                  <c:v>44362</c:v>
                </c:pt>
                <c:pt idx="77">
                  <c:v>44363</c:v>
                </c:pt>
                <c:pt idx="78">
                  <c:v>44364</c:v>
                </c:pt>
                <c:pt idx="79">
                  <c:v>44365</c:v>
                </c:pt>
                <c:pt idx="80">
                  <c:v>44368</c:v>
                </c:pt>
                <c:pt idx="81">
                  <c:v>44369</c:v>
                </c:pt>
                <c:pt idx="82">
                  <c:v>44370</c:v>
                </c:pt>
                <c:pt idx="83">
                  <c:v>44371</c:v>
                </c:pt>
                <c:pt idx="84">
                  <c:v>44372</c:v>
                </c:pt>
                <c:pt idx="85">
                  <c:v>44375</c:v>
                </c:pt>
                <c:pt idx="86">
                  <c:v>44376</c:v>
                </c:pt>
                <c:pt idx="87">
                  <c:v>44377</c:v>
                </c:pt>
                <c:pt idx="88">
                  <c:v>44378</c:v>
                </c:pt>
                <c:pt idx="89">
                  <c:v>44379</c:v>
                </c:pt>
                <c:pt idx="90">
                  <c:v>44382</c:v>
                </c:pt>
                <c:pt idx="91">
                  <c:v>44383</c:v>
                </c:pt>
                <c:pt idx="92">
                  <c:v>44384</c:v>
                </c:pt>
                <c:pt idx="93">
                  <c:v>44385</c:v>
                </c:pt>
                <c:pt idx="94">
                  <c:v>44386</c:v>
                </c:pt>
                <c:pt idx="95">
                  <c:v>44389</c:v>
                </c:pt>
                <c:pt idx="96">
                  <c:v>44390</c:v>
                </c:pt>
                <c:pt idx="97">
                  <c:v>44391</c:v>
                </c:pt>
                <c:pt idx="98">
                  <c:v>44392</c:v>
                </c:pt>
                <c:pt idx="99">
                  <c:v>44393</c:v>
                </c:pt>
                <c:pt idx="100">
                  <c:v>44396</c:v>
                </c:pt>
                <c:pt idx="101">
                  <c:v>44397</c:v>
                </c:pt>
                <c:pt idx="102">
                  <c:v>44398</c:v>
                </c:pt>
                <c:pt idx="103">
                  <c:v>44399</c:v>
                </c:pt>
                <c:pt idx="104">
                  <c:v>44400</c:v>
                </c:pt>
                <c:pt idx="105">
                  <c:v>44403</c:v>
                </c:pt>
                <c:pt idx="106">
                  <c:v>44404</c:v>
                </c:pt>
                <c:pt idx="107">
                  <c:v>44405</c:v>
                </c:pt>
                <c:pt idx="108">
                  <c:v>44406</c:v>
                </c:pt>
                <c:pt idx="109">
                  <c:v>44407</c:v>
                </c:pt>
                <c:pt idx="110">
                  <c:v>44410</c:v>
                </c:pt>
                <c:pt idx="111">
                  <c:v>44411</c:v>
                </c:pt>
                <c:pt idx="112">
                  <c:v>44412</c:v>
                </c:pt>
                <c:pt idx="113">
                  <c:v>44413</c:v>
                </c:pt>
                <c:pt idx="114">
                  <c:v>44414</c:v>
                </c:pt>
                <c:pt idx="115">
                  <c:v>44417</c:v>
                </c:pt>
                <c:pt idx="116">
                  <c:v>44418</c:v>
                </c:pt>
                <c:pt idx="117">
                  <c:v>44419</c:v>
                </c:pt>
                <c:pt idx="118">
                  <c:v>44420</c:v>
                </c:pt>
                <c:pt idx="119">
                  <c:v>44421</c:v>
                </c:pt>
                <c:pt idx="120">
                  <c:v>44424</c:v>
                </c:pt>
                <c:pt idx="121">
                  <c:v>44425</c:v>
                </c:pt>
                <c:pt idx="122">
                  <c:v>44426</c:v>
                </c:pt>
                <c:pt idx="123">
                  <c:v>44427</c:v>
                </c:pt>
                <c:pt idx="124">
                  <c:v>44428</c:v>
                </c:pt>
                <c:pt idx="125">
                  <c:v>44431</c:v>
                </c:pt>
                <c:pt idx="126">
                  <c:v>44432</c:v>
                </c:pt>
                <c:pt idx="127">
                  <c:v>44433</c:v>
                </c:pt>
                <c:pt idx="128">
                  <c:v>44434</c:v>
                </c:pt>
                <c:pt idx="129">
                  <c:v>44435</c:v>
                </c:pt>
                <c:pt idx="130">
                  <c:v>44438</c:v>
                </c:pt>
                <c:pt idx="131">
                  <c:v>44439</c:v>
                </c:pt>
                <c:pt idx="132">
                  <c:v>44440</c:v>
                </c:pt>
                <c:pt idx="133">
                  <c:v>44441</c:v>
                </c:pt>
                <c:pt idx="134">
                  <c:v>44442</c:v>
                </c:pt>
                <c:pt idx="135">
                  <c:v>44445</c:v>
                </c:pt>
                <c:pt idx="136">
                  <c:v>44446</c:v>
                </c:pt>
                <c:pt idx="137">
                  <c:v>44447</c:v>
                </c:pt>
                <c:pt idx="138">
                  <c:v>44448</c:v>
                </c:pt>
                <c:pt idx="139">
                  <c:v>44449</c:v>
                </c:pt>
                <c:pt idx="140">
                  <c:v>44452</c:v>
                </c:pt>
                <c:pt idx="141">
                  <c:v>44453</c:v>
                </c:pt>
                <c:pt idx="142">
                  <c:v>44454</c:v>
                </c:pt>
                <c:pt idx="143">
                  <c:v>44455</c:v>
                </c:pt>
                <c:pt idx="144">
                  <c:v>44456</c:v>
                </c:pt>
                <c:pt idx="145">
                  <c:v>44459</c:v>
                </c:pt>
                <c:pt idx="146">
                  <c:v>44460</c:v>
                </c:pt>
                <c:pt idx="147">
                  <c:v>44461</c:v>
                </c:pt>
                <c:pt idx="148">
                  <c:v>44462</c:v>
                </c:pt>
                <c:pt idx="149">
                  <c:v>44463</c:v>
                </c:pt>
                <c:pt idx="150">
                  <c:v>44466</c:v>
                </c:pt>
                <c:pt idx="151">
                  <c:v>44467</c:v>
                </c:pt>
                <c:pt idx="152">
                  <c:v>44468</c:v>
                </c:pt>
                <c:pt idx="153">
                  <c:v>44469</c:v>
                </c:pt>
                <c:pt idx="154">
                  <c:v>44470</c:v>
                </c:pt>
                <c:pt idx="155">
                  <c:v>44473</c:v>
                </c:pt>
                <c:pt idx="156">
                  <c:v>44474</c:v>
                </c:pt>
                <c:pt idx="157">
                  <c:v>44475</c:v>
                </c:pt>
                <c:pt idx="158">
                  <c:v>44476</c:v>
                </c:pt>
                <c:pt idx="159">
                  <c:v>44477</c:v>
                </c:pt>
                <c:pt idx="160">
                  <c:v>44480</c:v>
                </c:pt>
                <c:pt idx="161">
                  <c:v>44481</c:v>
                </c:pt>
                <c:pt idx="162">
                  <c:v>44482</c:v>
                </c:pt>
                <c:pt idx="163">
                  <c:v>44483</c:v>
                </c:pt>
                <c:pt idx="164">
                  <c:v>44484</c:v>
                </c:pt>
                <c:pt idx="165">
                  <c:v>44487</c:v>
                </c:pt>
                <c:pt idx="166">
                  <c:v>44488</c:v>
                </c:pt>
                <c:pt idx="167">
                  <c:v>44489</c:v>
                </c:pt>
                <c:pt idx="168">
                  <c:v>44490</c:v>
                </c:pt>
                <c:pt idx="169">
                  <c:v>44491</c:v>
                </c:pt>
                <c:pt idx="170">
                  <c:v>44494</c:v>
                </c:pt>
                <c:pt idx="171">
                  <c:v>44495</c:v>
                </c:pt>
                <c:pt idx="172">
                  <c:v>44496</c:v>
                </c:pt>
                <c:pt idx="173">
                  <c:v>44497</c:v>
                </c:pt>
                <c:pt idx="174">
                  <c:v>44498</c:v>
                </c:pt>
                <c:pt idx="175">
                  <c:v>44501</c:v>
                </c:pt>
                <c:pt idx="176">
                  <c:v>44502</c:v>
                </c:pt>
                <c:pt idx="177">
                  <c:v>44503</c:v>
                </c:pt>
                <c:pt idx="178">
                  <c:v>44504</c:v>
                </c:pt>
                <c:pt idx="179">
                  <c:v>44505</c:v>
                </c:pt>
                <c:pt idx="180">
                  <c:v>44508</c:v>
                </c:pt>
                <c:pt idx="181">
                  <c:v>44509</c:v>
                </c:pt>
                <c:pt idx="182">
                  <c:v>44510</c:v>
                </c:pt>
                <c:pt idx="183">
                  <c:v>44511</c:v>
                </c:pt>
                <c:pt idx="184">
                  <c:v>44512</c:v>
                </c:pt>
                <c:pt idx="185">
                  <c:v>44515</c:v>
                </c:pt>
                <c:pt idx="186">
                  <c:v>44516</c:v>
                </c:pt>
                <c:pt idx="187">
                  <c:v>44517</c:v>
                </c:pt>
                <c:pt idx="188">
                  <c:v>44518</c:v>
                </c:pt>
                <c:pt idx="189">
                  <c:v>44519</c:v>
                </c:pt>
                <c:pt idx="190">
                  <c:v>44522</c:v>
                </c:pt>
                <c:pt idx="191">
                  <c:v>44523</c:v>
                </c:pt>
                <c:pt idx="192">
                  <c:v>44524</c:v>
                </c:pt>
                <c:pt idx="193">
                  <c:v>44525</c:v>
                </c:pt>
                <c:pt idx="194">
                  <c:v>44526</c:v>
                </c:pt>
                <c:pt idx="195">
                  <c:v>44529</c:v>
                </c:pt>
                <c:pt idx="196">
                  <c:v>44530</c:v>
                </c:pt>
                <c:pt idx="197">
                  <c:v>44531</c:v>
                </c:pt>
                <c:pt idx="198">
                  <c:v>44532</c:v>
                </c:pt>
                <c:pt idx="199">
                  <c:v>44533</c:v>
                </c:pt>
                <c:pt idx="200">
                  <c:v>44536</c:v>
                </c:pt>
                <c:pt idx="201">
                  <c:v>44537</c:v>
                </c:pt>
                <c:pt idx="202">
                  <c:v>44538</c:v>
                </c:pt>
                <c:pt idx="203">
                  <c:v>44539</c:v>
                </c:pt>
                <c:pt idx="204">
                  <c:v>44540</c:v>
                </c:pt>
                <c:pt idx="205">
                  <c:v>44543</c:v>
                </c:pt>
                <c:pt idx="206">
                  <c:v>44544</c:v>
                </c:pt>
                <c:pt idx="207">
                  <c:v>44545</c:v>
                </c:pt>
                <c:pt idx="208">
                  <c:v>44546</c:v>
                </c:pt>
                <c:pt idx="209">
                  <c:v>44547</c:v>
                </c:pt>
                <c:pt idx="210">
                  <c:v>44550</c:v>
                </c:pt>
                <c:pt idx="211">
                  <c:v>44551</c:v>
                </c:pt>
                <c:pt idx="212">
                  <c:v>44552</c:v>
                </c:pt>
                <c:pt idx="213">
                  <c:v>44553</c:v>
                </c:pt>
                <c:pt idx="214">
                  <c:v>44554</c:v>
                </c:pt>
                <c:pt idx="215">
                  <c:v>44557</c:v>
                </c:pt>
                <c:pt idx="216">
                  <c:v>44558</c:v>
                </c:pt>
                <c:pt idx="217">
                  <c:v>44559</c:v>
                </c:pt>
                <c:pt idx="218">
                  <c:v>44560</c:v>
                </c:pt>
                <c:pt idx="219">
                  <c:v>44561</c:v>
                </c:pt>
                <c:pt idx="220">
                  <c:v>44564</c:v>
                </c:pt>
                <c:pt idx="221">
                  <c:v>44565</c:v>
                </c:pt>
                <c:pt idx="222">
                  <c:v>44566</c:v>
                </c:pt>
                <c:pt idx="223">
                  <c:v>44567</c:v>
                </c:pt>
                <c:pt idx="224">
                  <c:v>44568</c:v>
                </c:pt>
                <c:pt idx="225">
                  <c:v>44571</c:v>
                </c:pt>
                <c:pt idx="226">
                  <c:v>44572</c:v>
                </c:pt>
                <c:pt idx="227">
                  <c:v>44573</c:v>
                </c:pt>
                <c:pt idx="228">
                  <c:v>44574</c:v>
                </c:pt>
                <c:pt idx="229">
                  <c:v>44575</c:v>
                </c:pt>
                <c:pt idx="230">
                  <c:v>44578</c:v>
                </c:pt>
                <c:pt idx="231">
                  <c:v>44579</c:v>
                </c:pt>
                <c:pt idx="232">
                  <c:v>44580</c:v>
                </c:pt>
                <c:pt idx="233">
                  <c:v>44581</c:v>
                </c:pt>
                <c:pt idx="234">
                  <c:v>44582</c:v>
                </c:pt>
                <c:pt idx="235">
                  <c:v>44585</c:v>
                </c:pt>
                <c:pt idx="236">
                  <c:v>44586</c:v>
                </c:pt>
                <c:pt idx="237">
                  <c:v>44588</c:v>
                </c:pt>
                <c:pt idx="238">
                  <c:v>44589</c:v>
                </c:pt>
                <c:pt idx="239">
                  <c:v>44592</c:v>
                </c:pt>
                <c:pt idx="240">
                  <c:v>44564</c:v>
                </c:pt>
                <c:pt idx="241">
                  <c:v>44565</c:v>
                </c:pt>
                <c:pt idx="242">
                  <c:v>44566</c:v>
                </c:pt>
                <c:pt idx="243">
                  <c:v>44567</c:v>
                </c:pt>
                <c:pt idx="244">
                  <c:v>44568</c:v>
                </c:pt>
                <c:pt idx="245">
                  <c:v>44571</c:v>
                </c:pt>
                <c:pt idx="246">
                  <c:v>44572</c:v>
                </c:pt>
                <c:pt idx="247">
                  <c:v>44573</c:v>
                </c:pt>
                <c:pt idx="248">
                  <c:v>44574</c:v>
                </c:pt>
                <c:pt idx="249">
                  <c:v>44575</c:v>
                </c:pt>
                <c:pt idx="250">
                  <c:v>44578</c:v>
                </c:pt>
                <c:pt idx="251">
                  <c:v>44579</c:v>
                </c:pt>
                <c:pt idx="252">
                  <c:v>44580</c:v>
                </c:pt>
                <c:pt idx="253">
                  <c:v>44581</c:v>
                </c:pt>
                <c:pt idx="254">
                  <c:v>44582</c:v>
                </c:pt>
                <c:pt idx="255">
                  <c:v>44585</c:v>
                </c:pt>
                <c:pt idx="256">
                  <c:v>44586</c:v>
                </c:pt>
                <c:pt idx="257">
                  <c:v>44588</c:v>
                </c:pt>
                <c:pt idx="258">
                  <c:v>44589</c:v>
                </c:pt>
                <c:pt idx="259">
                  <c:v>44592</c:v>
                </c:pt>
                <c:pt idx="260">
                  <c:v>44593</c:v>
                </c:pt>
                <c:pt idx="261">
                  <c:v>44594</c:v>
                </c:pt>
                <c:pt idx="262">
                  <c:v>44595</c:v>
                </c:pt>
                <c:pt idx="263">
                  <c:v>44596</c:v>
                </c:pt>
                <c:pt idx="264">
                  <c:v>44599</c:v>
                </c:pt>
                <c:pt idx="265">
                  <c:v>44600</c:v>
                </c:pt>
                <c:pt idx="266">
                  <c:v>44601</c:v>
                </c:pt>
                <c:pt idx="267">
                  <c:v>44602</c:v>
                </c:pt>
                <c:pt idx="268">
                  <c:v>44603</c:v>
                </c:pt>
                <c:pt idx="269">
                  <c:v>44606</c:v>
                </c:pt>
                <c:pt idx="270">
                  <c:v>44607</c:v>
                </c:pt>
                <c:pt idx="271">
                  <c:v>44608</c:v>
                </c:pt>
                <c:pt idx="272">
                  <c:v>44609</c:v>
                </c:pt>
                <c:pt idx="273">
                  <c:v>44610</c:v>
                </c:pt>
                <c:pt idx="274">
                  <c:v>44613</c:v>
                </c:pt>
                <c:pt idx="275">
                  <c:v>44614</c:v>
                </c:pt>
                <c:pt idx="276">
                  <c:v>44615</c:v>
                </c:pt>
                <c:pt idx="277">
                  <c:v>44616</c:v>
                </c:pt>
                <c:pt idx="278">
                  <c:v>44617</c:v>
                </c:pt>
                <c:pt idx="279">
                  <c:v>44620</c:v>
                </c:pt>
              </c:numCache>
            </c:numRef>
          </c:cat>
          <c:val>
            <c:numRef>
              <c:f>Index_Chart!$E$2:$E$281</c:f>
              <c:numCache>
                <c:formatCode>_(* #,##0.00_);_(* \(#,##0.00\);_(* "-"??_);_(@_)</c:formatCode>
                <c:ptCount val="280"/>
                <c:pt idx="0">
                  <c:v>100</c:v>
                </c:pt>
                <c:pt idx="1">
                  <c:v>101.6640901597947</c:v>
                </c:pt>
                <c:pt idx="2">
                  <c:v>101.63255679210795</c:v>
                </c:pt>
                <c:pt idx="3">
                  <c:v>102.24681653989227</c:v>
                </c:pt>
                <c:pt idx="4">
                  <c:v>100.81063828150836</c:v>
                </c:pt>
                <c:pt idx="5">
                  <c:v>101.87251802913889</c:v>
                </c:pt>
                <c:pt idx="6">
                  <c:v>102.46293547452589</c:v>
                </c:pt>
                <c:pt idx="7">
                  <c:v>103.41714030810407</c:v>
                </c:pt>
                <c:pt idx="8">
                  <c:v>104.08600661944354</c:v>
                </c:pt>
                <c:pt idx="9">
                  <c:v>104.08600661944354</c:v>
                </c:pt>
                <c:pt idx="10">
                  <c:v>104.94535498111843</c:v>
                </c:pt>
                <c:pt idx="11">
                  <c:v>106.75454990604084</c:v>
                </c:pt>
                <c:pt idx="12">
                  <c:v>106.48818267818277</c:v>
                </c:pt>
                <c:pt idx="13">
                  <c:v>105.51526291906693</c:v>
                </c:pt>
                <c:pt idx="14">
                  <c:v>104.26674665374567</c:v>
                </c:pt>
                <c:pt idx="15">
                  <c:v>103.78426049125397</c:v>
                </c:pt>
                <c:pt idx="16">
                  <c:v>106.25257971148253</c:v>
                </c:pt>
                <c:pt idx="17">
                  <c:v>106.25334881801145</c:v>
                </c:pt>
                <c:pt idx="18">
                  <c:v>105.81572720304155</c:v>
                </c:pt>
                <c:pt idx="19">
                  <c:v>106.65712974570776</c:v>
                </c:pt>
                <c:pt idx="20">
                  <c:v>107.15653625183623</c:v>
                </c:pt>
                <c:pt idx="21">
                  <c:v>107.15653625183623</c:v>
                </c:pt>
                <c:pt idx="22">
                  <c:v>108.21251951607817</c:v>
                </c:pt>
                <c:pt idx="23">
                  <c:v>108.2784063087245</c:v>
                </c:pt>
                <c:pt idx="24">
                  <c:v>109.75021983628285</c:v>
                </c:pt>
                <c:pt idx="25">
                  <c:v>113.67215039621806</c:v>
                </c:pt>
                <c:pt idx="26">
                  <c:v>114.46356101450279</c:v>
                </c:pt>
                <c:pt idx="27">
                  <c:v>113.71163119803724</c:v>
                </c:pt>
                <c:pt idx="28">
                  <c:v>114.87682758938939</c:v>
                </c:pt>
                <c:pt idx="29">
                  <c:v>116.37504710777489</c:v>
                </c:pt>
                <c:pt idx="30">
                  <c:v>120.08983164258082</c:v>
                </c:pt>
                <c:pt idx="31">
                  <c:v>118.81362754221752</c:v>
                </c:pt>
                <c:pt idx="32">
                  <c:v>118.81362754221752</c:v>
                </c:pt>
                <c:pt idx="33">
                  <c:v>123.44005968266663</c:v>
                </c:pt>
                <c:pt idx="34">
                  <c:v>124.52655083922339</c:v>
                </c:pt>
                <c:pt idx="35">
                  <c:v>126.19884480199353</c:v>
                </c:pt>
                <c:pt idx="36">
                  <c:v>126.63697915464938</c:v>
                </c:pt>
                <c:pt idx="37">
                  <c:v>126.63697915464938</c:v>
                </c:pt>
                <c:pt idx="38">
                  <c:v>128.19980362146629</c:v>
                </c:pt>
                <c:pt idx="39">
                  <c:v>124.77779230534554</c:v>
                </c:pt>
                <c:pt idx="40">
                  <c:v>119.19869354437616</c:v>
                </c:pt>
                <c:pt idx="41">
                  <c:v>122.72479061074748</c:v>
                </c:pt>
                <c:pt idx="42">
                  <c:v>120.68742741557132</c:v>
                </c:pt>
                <c:pt idx="43">
                  <c:v>121.68957322278709</c:v>
                </c:pt>
                <c:pt idx="44">
                  <c:v>120.78330936284651</c:v>
                </c:pt>
                <c:pt idx="45">
                  <c:v>120.0080499816696</c:v>
                </c:pt>
                <c:pt idx="46">
                  <c:v>121.83698530750161</c:v>
                </c:pt>
                <c:pt idx="47">
                  <c:v>123.11677857166663</c:v>
                </c:pt>
                <c:pt idx="48">
                  <c:v>124.59859048410129</c:v>
                </c:pt>
                <c:pt idx="49">
                  <c:v>125.05159422965009</c:v>
                </c:pt>
                <c:pt idx="50">
                  <c:v>126.87309485903559</c:v>
                </c:pt>
                <c:pt idx="51">
                  <c:v>127.00256112474138</c:v>
                </c:pt>
                <c:pt idx="52">
                  <c:v>126.76798363341307</c:v>
                </c:pt>
                <c:pt idx="53">
                  <c:v>126.76798363341307</c:v>
                </c:pt>
                <c:pt idx="54">
                  <c:v>125.16567836477697</c:v>
                </c:pt>
                <c:pt idx="55">
                  <c:v>125.02082996849227</c:v>
                </c:pt>
                <c:pt idx="56">
                  <c:v>124.35427097673966</c:v>
                </c:pt>
                <c:pt idx="57">
                  <c:v>123.84153329077611</c:v>
                </c:pt>
                <c:pt idx="58">
                  <c:v>121.66111628121612</c:v>
                </c:pt>
                <c:pt idx="59">
                  <c:v>120.94969274194169</c:v>
                </c:pt>
                <c:pt idx="60">
                  <c:v>121.64317046220738</c:v>
                </c:pt>
                <c:pt idx="61">
                  <c:v>122.60327177917414</c:v>
                </c:pt>
                <c:pt idx="62">
                  <c:v>122.08668856056583</c:v>
                </c:pt>
                <c:pt idx="63">
                  <c:v>121.77776410477283</c:v>
                </c:pt>
                <c:pt idx="64">
                  <c:v>121.9354309432066</c:v>
                </c:pt>
                <c:pt idx="65">
                  <c:v>121.54318661344448</c:v>
                </c:pt>
                <c:pt idx="66">
                  <c:v>121.72905402460627</c:v>
                </c:pt>
                <c:pt idx="67">
                  <c:v>123.06345385232642</c:v>
                </c:pt>
                <c:pt idx="68">
                  <c:v>122.87502275273481</c:v>
                </c:pt>
                <c:pt idx="69">
                  <c:v>121.54318661344448</c:v>
                </c:pt>
                <c:pt idx="70">
                  <c:v>124.08380184739389</c:v>
                </c:pt>
                <c:pt idx="71">
                  <c:v>123.44928896101399</c:v>
                </c:pt>
                <c:pt idx="72">
                  <c:v>122.33664818247307</c:v>
                </c:pt>
                <c:pt idx="73">
                  <c:v>120.59077636176721</c:v>
                </c:pt>
                <c:pt idx="74">
                  <c:v>118.7718394208115</c:v>
                </c:pt>
                <c:pt idx="75">
                  <c:v>117.37462922656083</c:v>
                </c:pt>
                <c:pt idx="76">
                  <c:v>118.76158466709224</c:v>
                </c:pt>
                <c:pt idx="77">
                  <c:v>118.74748438072822</c:v>
                </c:pt>
                <c:pt idx="78">
                  <c:v>117.87070293773057</c:v>
                </c:pt>
                <c:pt idx="79">
                  <c:v>117.07980505713181</c:v>
                </c:pt>
                <c:pt idx="80">
                  <c:v>120.55616656796467</c:v>
                </c:pt>
                <c:pt idx="81">
                  <c:v>122.04951507833349</c:v>
                </c:pt>
                <c:pt idx="82">
                  <c:v>121.35347366963798</c:v>
                </c:pt>
                <c:pt idx="83">
                  <c:v>120.73818844648171</c:v>
                </c:pt>
                <c:pt idx="84">
                  <c:v>120.93559245557768</c:v>
                </c:pt>
                <c:pt idx="85">
                  <c:v>120.36517177994324</c:v>
                </c:pt>
                <c:pt idx="86">
                  <c:v>121.64060677377758</c:v>
                </c:pt>
                <c:pt idx="87">
                  <c:v>121.33552785062926</c:v>
                </c:pt>
                <c:pt idx="88">
                  <c:v>122.61480837710832</c:v>
                </c:pt>
                <c:pt idx="89">
                  <c:v>124.32222487136696</c:v>
                </c:pt>
                <c:pt idx="90">
                  <c:v>123.12626421885695</c:v>
                </c:pt>
                <c:pt idx="91">
                  <c:v>122.40458592586324</c:v>
                </c:pt>
                <c:pt idx="92">
                  <c:v>122.32895711718363</c:v>
                </c:pt>
                <c:pt idx="93">
                  <c:v>121.04198552541511</c:v>
                </c:pt>
                <c:pt idx="94">
                  <c:v>122.06617905312731</c:v>
                </c:pt>
                <c:pt idx="95">
                  <c:v>122.61737206553813</c:v>
                </c:pt>
                <c:pt idx="96">
                  <c:v>123.72616731143431</c:v>
                </c:pt>
                <c:pt idx="97">
                  <c:v>123.92869869738992</c:v>
                </c:pt>
                <c:pt idx="98">
                  <c:v>124.76958850237013</c:v>
                </c:pt>
                <c:pt idx="99">
                  <c:v>125.88479296934085</c:v>
                </c:pt>
                <c:pt idx="100">
                  <c:v>126.21294508835751</c:v>
                </c:pt>
                <c:pt idx="101">
                  <c:v>127.91651604997141</c:v>
                </c:pt>
                <c:pt idx="102">
                  <c:v>127.54734491607765</c:v>
                </c:pt>
                <c:pt idx="103">
                  <c:v>127.74090339252888</c:v>
                </c:pt>
                <c:pt idx="104">
                  <c:v>128.89456318594688</c:v>
                </c:pt>
                <c:pt idx="105">
                  <c:v>129.61239594629586</c:v>
                </c:pt>
                <c:pt idx="106">
                  <c:v>128.64332171982474</c:v>
                </c:pt>
                <c:pt idx="107">
                  <c:v>128.90225425123634</c:v>
                </c:pt>
                <c:pt idx="108">
                  <c:v>131.05575253228326</c:v>
                </c:pt>
                <c:pt idx="109">
                  <c:v>130.93654102029672</c:v>
                </c:pt>
                <c:pt idx="110">
                  <c:v>130.10975150168051</c:v>
                </c:pt>
                <c:pt idx="111">
                  <c:v>130.26613649589939</c:v>
                </c:pt>
                <c:pt idx="112">
                  <c:v>131.13266318517779</c:v>
                </c:pt>
                <c:pt idx="113">
                  <c:v>131.06985281864723</c:v>
                </c:pt>
                <c:pt idx="114">
                  <c:v>129.76108987522528</c:v>
                </c:pt>
                <c:pt idx="115">
                  <c:v>128.97531937148614</c:v>
                </c:pt>
                <c:pt idx="116">
                  <c:v>128.4343811127946</c:v>
                </c:pt>
                <c:pt idx="117">
                  <c:v>130.1802529335005</c:v>
                </c:pt>
                <c:pt idx="118">
                  <c:v>130.09052383845687</c:v>
                </c:pt>
                <c:pt idx="119">
                  <c:v>132.88750791538803</c:v>
                </c:pt>
                <c:pt idx="120">
                  <c:v>134.57185121377827</c:v>
                </c:pt>
                <c:pt idx="121">
                  <c:v>132.41963477694628</c:v>
                </c:pt>
                <c:pt idx="122">
                  <c:v>133.7078882129297</c:v>
                </c:pt>
                <c:pt idx="123">
                  <c:v>133.64251415796934</c:v>
                </c:pt>
                <c:pt idx="124">
                  <c:v>135.32044823528508</c:v>
                </c:pt>
                <c:pt idx="125">
                  <c:v>136.73944978118919</c:v>
                </c:pt>
                <c:pt idx="126">
                  <c:v>138.03154874981735</c:v>
                </c:pt>
                <c:pt idx="127">
                  <c:v>139.386458084976</c:v>
                </c:pt>
                <c:pt idx="128">
                  <c:v>136.75355006755319</c:v>
                </c:pt>
                <c:pt idx="129">
                  <c:v>135.7690937105032</c:v>
                </c:pt>
                <c:pt idx="130">
                  <c:v>135.52041593281083</c:v>
                </c:pt>
                <c:pt idx="131">
                  <c:v>134.49365871666885</c:v>
                </c:pt>
                <c:pt idx="132">
                  <c:v>133.44511014887337</c:v>
                </c:pt>
                <c:pt idx="133">
                  <c:v>134.96794107618513</c:v>
                </c:pt>
                <c:pt idx="134">
                  <c:v>134.52570482204158</c:v>
                </c:pt>
                <c:pt idx="135">
                  <c:v>135.00767824684729</c:v>
                </c:pt>
                <c:pt idx="136">
                  <c:v>136.14851959811617</c:v>
                </c:pt>
                <c:pt idx="137">
                  <c:v>136.75995928862775</c:v>
                </c:pt>
                <c:pt idx="138">
                  <c:v>137.28295172831054</c:v>
                </c:pt>
                <c:pt idx="139">
                  <c:v>136.90865321755717</c:v>
                </c:pt>
                <c:pt idx="140">
                  <c:v>135.53707990760466</c:v>
                </c:pt>
                <c:pt idx="141">
                  <c:v>134.46930367658555</c:v>
                </c:pt>
                <c:pt idx="142">
                  <c:v>134.20139823566961</c:v>
                </c:pt>
                <c:pt idx="143">
                  <c:v>134.52442297782665</c:v>
                </c:pt>
                <c:pt idx="144">
                  <c:v>133.04261106539198</c:v>
                </c:pt>
                <c:pt idx="145">
                  <c:v>131.90176971412311</c:v>
                </c:pt>
                <c:pt idx="146">
                  <c:v>132.89135344803276</c:v>
                </c:pt>
                <c:pt idx="147">
                  <c:v>132.56961055009063</c:v>
                </c:pt>
                <c:pt idx="148">
                  <c:v>133.48228363110573</c:v>
                </c:pt>
                <c:pt idx="149">
                  <c:v>132.97851885464655</c:v>
                </c:pt>
                <c:pt idx="150">
                  <c:v>132.9003263575371</c:v>
                </c:pt>
                <c:pt idx="151">
                  <c:v>132.6119114091826</c:v>
                </c:pt>
                <c:pt idx="152">
                  <c:v>134.01809451293764</c:v>
                </c:pt>
                <c:pt idx="153">
                  <c:v>133.65917813276317</c:v>
                </c:pt>
                <c:pt idx="154">
                  <c:v>132.24530396371867</c:v>
                </c:pt>
                <c:pt idx="155">
                  <c:v>131.88382389511438</c:v>
                </c:pt>
                <c:pt idx="156">
                  <c:v>133.478438098461</c:v>
                </c:pt>
                <c:pt idx="157">
                  <c:v>135.16021770842147</c:v>
                </c:pt>
                <c:pt idx="158">
                  <c:v>133.69506977078061</c:v>
                </c:pt>
                <c:pt idx="159">
                  <c:v>133.59764961044755</c:v>
                </c:pt>
                <c:pt idx="160">
                  <c:v>132.9003263575371</c:v>
                </c:pt>
                <c:pt idx="161">
                  <c:v>133.02338340216838</c:v>
                </c:pt>
                <c:pt idx="162">
                  <c:v>131.0775438839367</c:v>
                </c:pt>
                <c:pt idx="163">
                  <c:v>130.96089606037998</c:v>
                </c:pt>
                <c:pt idx="164">
                  <c:v>130.96089606037998</c:v>
                </c:pt>
                <c:pt idx="165">
                  <c:v>134.27446335591944</c:v>
                </c:pt>
                <c:pt idx="166">
                  <c:v>133.03748368853238</c:v>
                </c:pt>
                <c:pt idx="167">
                  <c:v>133.59252223358791</c:v>
                </c:pt>
                <c:pt idx="168">
                  <c:v>134.05526799517</c:v>
                </c:pt>
                <c:pt idx="169">
                  <c:v>134.71157223320336</c:v>
                </c:pt>
                <c:pt idx="170">
                  <c:v>134.71157223320336</c:v>
                </c:pt>
                <c:pt idx="171">
                  <c:v>134.89231226750547</c:v>
                </c:pt>
                <c:pt idx="172">
                  <c:v>137.38678110971816</c:v>
                </c:pt>
                <c:pt idx="173">
                  <c:v>136.72534949482517</c:v>
                </c:pt>
                <c:pt idx="174">
                  <c:v>137.05606530227169</c:v>
                </c:pt>
                <c:pt idx="175">
                  <c:v>137.38293557707345</c:v>
                </c:pt>
                <c:pt idx="176">
                  <c:v>136.39078815473397</c:v>
                </c:pt>
                <c:pt idx="177">
                  <c:v>135.46529663156977</c:v>
                </c:pt>
                <c:pt idx="178">
                  <c:v>135.72038363033664</c:v>
                </c:pt>
                <c:pt idx="179">
                  <c:v>135.85497727290206</c:v>
                </c:pt>
                <c:pt idx="180">
                  <c:v>135.65372773116138</c:v>
                </c:pt>
                <c:pt idx="181">
                  <c:v>134.08987778897256</c:v>
                </c:pt>
                <c:pt idx="182">
                  <c:v>133.64764153482901</c:v>
                </c:pt>
                <c:pt idx="183">
                  <c:v>134.47058552080046</c:v>
                </c:pt>
                <c:pt idx="184">
                  <c:v>136.11519164852857</c:v>
                </c:pt>
                <c:pt idx="185">
                  <c:v>138.18024267874677</c:v>
                </c:pt>
                <c:pt idx="186">
                  <c:v>137.84055396179591</c:v>
                </c:pt>
                <c:pt idx="187">
                  <c:v>139.37876701968653</c:v>
                </c:pt>
                <c:pt idx="188">
                  <c:v>139.83766724862394</c:v>
                </c:pt>
                <c:pt idx="189">
                  <c:v>139.83766724862394</c:v>
                </c:pt>
                <c:pt idx="190">
                  <c:v>142.68336140572166</c:v>
                </c:pt>
                <c:pt idx="191">
                  <c:v>142.92819365076923</c:v>
                </c:pt>
                <c:pt idx="192">
                  <c:v>141.45791833626876</c:v>
                </c:pt>
                <c:pt idx="193">
                  <c:v>143.30377400573752</c:v>
                </c:pt>
                <c:pt idx="194">
                  <c:v>141.69121398338217</c:v>
                </c:pt>
                <c:pt idx="195">
                  <c:v>138.21100693990459</c:v>
                </c:pt>
                <c:pt idx="196">
                  <c:v>136.83686994152225</c:v>
                </c:pt>
                <c:pt idx="197">
                  <c:v>139.27109210563421</c:v>
                </c:pt>
                <c:pt idx="198">
                  <c:v>137.51111999856434</c:v>
                </c:pt>
                <c:pt idx="199">
                  <c:v>139.15828981472225</c:v>
                </c:pt>
                <c:pt idx="200">
                  <c:v>139.92739634366757</c:v>
                </c:pt>
                <c:pt idx="201">
                  <c:v>141.21052240279136</c:v>
                </c:pt>
                <c:pt idx="202">
                  <c:v>141.62327623999201</c:v>
                </c:pt>
                <c:pt idx="203">
                  <c:v>140.51960837095544</c:v>
                </c:pt>
                <c:pt idx="204">
                  <c:v>141.21180424700623</c:v>
                </c:pt>
                <c:pt idx="205">
                  <c:v>140.77854090236707</c:v>
                </c:pt>
                <c:pt idx="206">
                  <c:v>141.35280711064621</c:v>
                </c:pt>
                <c:pt idx="207">
                  <c:v>141.02721868005938</c:v>
                </c:pt>
                <c:pt idx="208">
                  <c:v>143.09611524292228</c:v>
                </c:pt>
                <c:pt idx="209">
                  <c:v>141.72966930982943</c:v>
                </c:pt>
                <c:pt idx="210">
                  <c:v>139.3851762407611</c:v>
                </c:pt>
                <c:pt idx="211">
                  <c:v>137.8687545345239</c:v>
                </c:pt>
                <c:pt idx="212">
                  <c:v>138.68144376677614</c:v>
                </c:pt>
                <c:pt idx="213">
                  <c:v>140.95799909245429</c:v>
                </c:pt>
                <c:pt idx="214">
                  <c:v>141.51431948172475</c:v>
                </c:pt>
                <c:pt idx="215">
                  <c:v>141.07849244865571</c:v>
                </c:pt>
                <c:pt idx="216">
                  <c:v>141.95911942429814</c:v>
                </c:pt>
                <c:pt idx="217">
                  <c:v>140.76956799286268</c:v>
                </c:pt>
                <c:pt idx="218">
                  <c:v>140.29784932177623</c:v>
                </c:pt>
                <c:pt idx="219">
                  <c:v>142.28342601067004</c:v>
                </c:pt>
                <c:pt idx="220">
                  <c:v>143.90495894252979</c:v>
                </c:pt>
                <c:pt idx="221">
                  <c:v>146.29047102647522</c:v>
                </c:pt>
                <c:pt idx="222">
                  <c:v>146.50710269879482</c:v>
                </c:pt>
                <c:pt idx="223">
                  <c:v>147.54924204551574</c:v>
                </c:pt>
                <c:pt idx="224">
                  <c:v>147.82099301907641</c:v>
                </c:pt>
                <c:pt idx="225">
                  <c:v>148.7734032707537</c:v>
                </c:pt>
                <c:pt idx="226">
                  <c:v>150.01294662657057</c:v>
                </c:pt>
                <c:pt idx="227">
                  <c:v>152.0831250336484</c:v>
                </c:pt>
                <c:pt idx="228">
                  <c:v>151.56269628239539</c:v>
                </c:pt>
                <c:pt idx="229">
                  <c:v>150.84101798940171</c:v>
                </c:pt>
                <c:pt idx="230">
                  <c:v>153.26242171136457</c:v>
                </c:pt>
                <c:pt idx="231">
                  <c:v>154.5122198209007</c:v>
                </c:pt>
                <c:pt idx="232">
                  <c:v>153.44059805723688</c:v>
                </c:pt>
                <c:pt idx="233">
                  <c:v>152.30744777125747</c:v>
                </c:pt>
                <c:pt idx="234">
                  <c:v>150.9294652402304</c:v>
                </c:pt>
                <c:pt idx="235">
                  <c:v>151.15378797783947</c:v>
                </c:pt>
                <c:pt idx="236">
                  <c:v>153.90975303989353</c:v>
                </c:pt>
                <c:pt idx="237">
                  <c:v>154.63655870974688</c:v>
                </c:pt>
                <c:pt idx="238">
                  <c:v>153.82643316592447</c:v>
                </c:pt>
                <c:pt idx="239">
                  <c:v>153.35471449483802</c:v>
                </c:pt>
                <c:pt idx="240">
                  <c:v>143.90495894252979</c:v>
                </c:pt>
                <c:pt idx="241">
                  <c:v>146.29047102647522</c:v>
                </c:pt>
                <c:pt idx="242">
                  <c:v>146.50710269879482</c:v>
                </c:pt>
                <c:pt idx="243">
                  <c:v>147.54924204551574</c:v>
                </c:pt>
                <c:pt idx="244">
                  <c:v>147.82099301907641</c:v>
                </c:pt>
                <c:pt idx="245">
                  <c:v>148.7734032707537</c:v>
                </c:pt>
                <c:pt idx="246">
                  <c:v>150.01294662657057</c:v>
                </c:pt>
                <c:pt idx="247">
                  <c:v>152.0831250336484</c:v>
                </c:pt>
                <c:pt idx="248">
                  <c:v>151.56269628239539</c:v>
                </c:pt>
                <c:pt idx="249">
                  <c:v>150.84101798940171</c:v>
                </c:pt>
                <c:pt idx="250">
                  <c:v>153.26242171136457</c:v>
                </c:pt>
                <c:pt idx="251">
                  <c:v>154.5122198209007</c:v>
                </c:pt>
                <c:pt idx="252">
                  <c:v>153.44059805723688</c:v>
                </c:pt>
                <c:pt idx="253">
                  <c:v>152.30744777125747</c:v>
                </c:pt>
                <c:pt idx="254">
                  <c:v>150.9294652402304</c:v>
                </c:pt>
                <c:pt idx="255">
                  <c:v>151.15378797783947</c:v>
                </c:pt>
                <c:pt idx="256">
                  <c:v>153.90975303989353</c:v>
                </c:pt>
                <c:pt idx="257">
                  <c:v>154.63655870974688</c:v>
                </c:pt>
                <c:pt idx="258">
                  <c:v>153.82643316592447</c:v>
                </c:pt>
                <c:pt idx="259">
                  <c:v>153.35471449483802</c:v>
                </c:pt>
                <c:pt idx="260">
                  <c:v>153.03553528532572</c:v>
                </c:pt>
                <c:pt idx="261">
                  <c:v>151.78701902000444</c:v>
                </c:pt>
                <c:pt idx="262">
                  <c:v>152.77147537705446</c:v>
                </c:pt>
                <c:pt idx="263">
                  <c:v>153.85463373865247</c:v>
                </c:pt>
                <c:pt idx="264">
                  <c:v>151.55628706132086</c:v>
                </c:pt>
                <c:pt idx="265">
                  <c:v>152.35743969563887</c:v>
                </c:pt>
                <c:pt idx="266">
                  <c:v>152.28437457538911</c:v>
                </c:pt>
                <c:pt idx="267">
                  <c:v>153.64825682005215</c:v>
                </c:pt>
                <c:pt idx="268">
                  <c:v>153.8302786985692</c:v>
                </c:pt>
                <c:pt idx="269">
                  <c:v>155.21979782753041</c:v>
                </c:pt>
                <c:pt idx="270">
                  <c:v>155.47360298208238</c:v>
                </c:pt>
                <c:pt idx="271">
                  <c:v>154.68270510148361</c:v>
                </c:pt>
                <c:pt idx="272">
                  <c:v>155.54282256968744</c:v>
                </c:pt>
                <c:pt idx="273">
                  <c:v>158.18726718504448</c:v>
                </c:pt>
                <c:pt idx="274">
                  <c:v>156.23886397838299</c:v>
                </c:pt>
                <c:pt idx="275">
                  <c:v>155.74150842299832</c:v>
                </c:pt>
                <c:pt idx="276">
                  <c:v>152.60099009647158</c:v>
                </c:pt>
                <c:pt idx="277">
                  <c:v>149.51815475961575</c:v>
                </c:pt>
                <c:pt idx="278">
                  <c:v>152.33821203241527</c:v>
                </c:pt>
                <c:pt idx="279">
                  <c:v>151.31273666048816</c:v>
                </c:pt>
              </c:numCache>
            </c:numRef>
          </c:val>
          <c:smooth val="0"/>
          <c:extLst xmlns:c16r2="http://schemas.microsoft.com/office/drawing/2015/06/chart">
            <c:ext xmlns:c16="http://schemas.microsoft.com/office/drawing/2014/chart" uri="{C3380CC4-5D6E-409C-BE32-E72D297353CC}">
              <c16:uniqueId val="{00000008-49D3-4AA5-B4BA-3EB3649A4811}"/>
            </c:ext>
          </c:extLst>
        </c:ser>
        <c:dLbls>
          <c:showLegendKey val="0"/>
          <c:showVal val="0"/>
          <c:showCatName val="0"/>
          <c:showSerName val="0"/>
          <c:showPercent val="0"/>
          <c:showBubbleSize val="0"/>
        </c:dLbls>
        <c:smooth val="0"/>
        <c:axId val="593032440"/>
        <c:axId val="593034008"/>
      </c:lineChart>
      <c:dateAx>
        <c:axId val="593032440"/>
        <c:scaling>
          <c:orientation val="minMax"/>
          <c:min val="44256"/>
        </c:scaling>
        <c:delete val="0"/>
        <c:axPos val="b"/>
        <c:numFmt formatCode="[$-409]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593034008"/>
        <c:crosses val="autoZero"/>
        <c:auto val="0"/>
        <c:lblOffset val="100"/>
        <c:baseTimeUnit val="days"/>
        <c:majorUnit val="1"/>
        <c:majorTimeUnit val="months"/>
      </c:dateAx>
      <c:valAx>
        <c:axId val="593034008"/>
        <c:scaling>
          <c:orientation val="minMax"/>
          <c:max val="165"/>
          <c:min val="95"/>
        </c:scaling>
        <c:delete val="0"/>
        <c:axPos val="l"/>
        <c:majorGridlines>
          <c:spPr>
            <a:ln w="9525" cap="flat" cmpd="sng" algn="ctr">
              <a:solidFill>
                <a:schemeClr val="tx2">
                  <a:lumMod val="20000"/>
                  <a:lumOff val="80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593032440"/>
        <c:crosses val="autoZero"/>
        <c:crossBetween val="between"/>
        <c:majorUnit val="10"/>
      </c:valAx>
      <c:spPr>
        <a:noFill/>
        <a:ln>
          <a:noFill/>
        </a:ln>
        <a:effectLst/>
      </c:spPr>
    </c:plotArea>
    <c:legend>
      <c:legendPos val="b"/>
      <c:layout>
        <c:manualLayout>
          <c:xMode val="edge"/>
          <c:yMode val="edge"/>
          <c:x val="4.9999945516735624E-2"/>
          <c:y val="0.91340808018773056"/>
          <c:w val="0.89999989103347122"/>
          <c:h val="6.312252042869537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lumMod val="50000"/>
          <a:lumOff val="50000"/>
        </a:sysClr>
      </a:solidFill>
      <a:round/>
    </a:ln>
    <a:effectLst/>
  </c:spPr>
  <c:txPr>
    <a:bodyPr/>
    <a:lstStyle/>
    <a:p>
      <a:pPr>
        <a:defRPr b="1">
          <a:solidFill>
            <a:sysClr val="windowText" lastClr="000000"/>
          </a:solidFill>
          <a:latin typeface="Garamond" panose="02020404030301010803" pitchFamily="18"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24456400427952"/>
          <c:y val="2.3414388003439247E-2"/>
          <c:w val="0.76474134281601913"/>
          <c:h val="0.71480391704760649"/>
        </c:manualLayout>
      </c:layout>
      <c:barChart>
        <c:barDir val="col"/>
        <c:grouping val="clustered"/>
        <c:varyColors val="0"/>
        <c:ser>
          <c:idx val="0"/>
          <c:order val="0"/>
          <c:tx>
            <c:strRef>
              <c:f>Exchange_Wise!$B$2</c:f>
              <c:strCache>
                <c:ptCount val="1"/>
                <c:pt idx="0">
                  <c:v>MCX (LHS)</c:v>
                </c:pt>
              </c:strCache>
            </c:strRef>
          </c:tx>
          <c:spPr>
            <a:solidFill>
              <a:srgbClr val="0070C0"/>
            </a:solidFill>
            <a:ln>
              <a:solidFill>
                <a:sysClr val="windowText" lastClr="000000"/>
              </a:solidFill>
            </a:ln>
            <a:effectLst/>
          </c:spPr>
          <c:invertIfNegative val="0"/>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Exchange_Wise!$B$14:$B$25</c:f>
              <c:numCache>
                <c:formatCode>#,##0</c:formatCode>
                <c:ptCount val="12"/>
                <c:pt idx="0">
                  <c:v>13909.001715000002</c:v>
                </c:pt>
                <c:pt idx="1">
                  <c:v>12916.562410199997</c:v>
                </c:pt>
                <c:pt idx="2">
                  <c:v>11052.727486600001</c:v>
                </c:pt>
                <c:pt idx="3">
                  <c:v>14355.171816799999</c:v>
                </c:pt>
                <c:pt idx="4">
                  <c:v>11349.876245600002</c:v>
                </c:pt>
                <c:pt idx="5">
                  <c:v>8532.1421754000003</c:v>
                </c:pt>
                <c:pt idx="6">
                  <c:v>7052.3174545999973</c:v>
                </c:pt>
                <c:pt idx="7">
                  <c:v>11519.986260800002</c:v>
                </c:pt>
                <c:pt idx="8">
                  <c:v>9454.1541869999965</c:v>
                </c:pt>
                <c:pt idx="9">
                  <c:v>7650.6343900000038</c:v>
                </c:pt>
                <c:pt idx="10">
                  <c:v>7340.2442382000027</c:v>
                </c:pt>
                <c:pt idx="11">
                  <c:v>5232.6948033999988</c:v>
                </c:pt>
              </c:numCache>
            </c:numRef>
          </c:val>
          <c:extLst xmlns:c16r2="http://schemas.microsoft.com/office/drawing/2015/06/chart">
            <c:ext xmlns:c16="http://schemas.microsoft.com/office/drawing/2014/chart" uri="{C3380CC4-5D6E-409C-BE32-E72D297353CC}">
              <c16:uniqueId val="{00000000-617B-4117-9B6E-8C0A3E17EA06}"/>
            </c:ext>
          </c:extLst>
        </c:ser>
        <c:ser>
          <c:idx val="1"/>
          <c:order val="1"/>
          <c:tx>
            <c:strRef>
              <c:f>Exchange_Wise!$C$2</c:f>
              <c:strCache>
                <c:ptCount val="1"/>
                <c:pt idx="0">
                  <c:v>NCDEX (LHS)</c:v>
                </c:pt>
              </c:strCache>
            </c:strRef>
          </c:tx>
          <c:spPr>
            <a:solidFill>
              <a:srgbClr val="00B050"/>
            </a:solidFill>
            <a:ln>
              <a:solidFill>
                <a:schemeClr val="accent3">
                  <a:lumMod val="75000"/>
                </a:schemeClr>
              </a:solidFill>
            </a:ln>
            <a:effectLst/>
          </c:spPr>
          <c:invertIfNegative val="0"/>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Exchange_Wise!$C$14:$C$25</c:f>
              <c:numCache>
                <c:formatCode>#,##0</c:formatCode>
                <c:ptCount val="12"/>
                <c:pt idx="0">
                  <c:v>43894.883412500007</c:v>
                </c:pt>
                <c:pt idx="1">
                  <c:v>55219.791669999999</c:v>
                </c:pt>
                <c:pt idx="2">
                  <c:v>42907.123429999992</c:v>
                </c:pt>
                <c:pt idx="3">
                  <c:v>42768.39502000004</c:v>
                </c:pt>
                <c:pt idx="4">
                  <c:v>45161.663549999997</c:v>
                </c:pt>
                <c:pt idx="5">
                  <c:v>51318.252049999966</c:v>
                </c:pt>
                <c:pt idx="6">
                  <c:v>39392.912937499997</c:v>
                </c:pt>
                <c:pt idx="7">
                  <c:v>39724.659449999999</c:v>
                </c:pt>
                <c:pt idx="8">
                  <c:v>37223.774999999994</c:v>
                </c:pt>
                <c:pt idx="9">
                  <c:v>30236.840000000004</c:v>
                </c:pt>
                <c:pt idx="10">
                  <c:v>26473.58</c:v>
                </c:pt>
                <c:pt idx="11">
                  <c:v>24979.625380000001</c:v>
                </c:pt>
              </c:numCache>
            </c:numRef>
          </c:val>
          <c:extLst xmlns:c16r2="http://schemas.microsoft.com/office/drawing/2015/06/chart">
            <c:ext xmlns:c16="http://schemas.microsoft.com/office/drawing/2014/chart" uri="{C3380CC4-5D6E-409C-BE32-E72D297353CC}">
              <c16:uniqueId val="{00000001-617B-4117-9B6E-8C0A3E17EA06}"/>
            </c:ext>
          </c:extLst>
        </c:ser>
        <c:dLbls>
          <c:showLegendKey val="0"/>
          <c:showVal val="0"/>
          <c:showCatName val="0"/>
          <c:showSerName val="0"/>
          <c:showPercent val="0"/>
          <c:showBubbleSize val="0"/>
        </c:dLbls>
        <c:gapWidth val="219"/>
        <c:axId val="593034792"/>
        <c:axId val="593031656"/>
      </c:barChart>
      <c:lineChart>
        <c:grouping val="standard"/>
        <c:varyColors val="0"/>
        <c:ser>
          <c:idx val="2"/>
          <c:order val="2"/>
          <c:tx>
            <c:strRef>
              <c:f>Exchange_Wise!$D$2</c:f>
              <c:strCache>
                <c:ptCount val="1"/>
                <c:pt idx="0">
                  <c:v>ICEX (RHS)</c:v>
                </c:pt>
              </c:strCache>
            </c:strRef>
          </c:tx>
          <c:spPr>
            <a:ln w="28575" cap="rnd">
              <a:solidFill>
                <a:schemeClr val="accent6"/>
              </a:solidFill>
              <a:round/>
            </a:ln>
            <a:effectLst/>
          </c:spPr>
          <c:marker>
            <c:symbol val="x"/>
            <c:size val="6"/>
            <c:spPr>
              <a:noFill/>
              <a:ln w="9525">
                <a:solidFill>
                  <a:srgbClr val="C00000"/>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Exchange_Wise!$D$14:$D$25</c:f>
              <c:numCache>
                <c:formatCode>#,##0</c:formatCode>
                <c:ptCount val="12"/>
                <c:pt idx="0">
                  <c:v>3.4738000000000002</c:v>
                </c:pt>
                <c:pt idx="1">
                  <c:v>2.9133100000000001</c:v>
                </c:pt>
                <c:pt idx="2">
                  <c:v>3.66</c:v>
                </c:pt>
                <c:pt idx="3">
                  <c:v>3.86</c:v>
                </c:pt>
                <c:pt idx="4">
                  <c:v>3.59</c:v>
                </c:pt>
                <c:pt idx="5">
                  <c:v>2.6280000000000001</c:v>
                </c:pt>
                <c:pt idx="6">
                  <c:v>2.08724</c:v>
                </c:pt>
                <c:pt idx="7">
                  <c:v>1.8464299999999998</c:v>
                </c:pt>
                <c:pt idx="8">
                  <c:v>1.2250000000000001</c:v>
                </c:pt>
                <c:pt idx="9">
                  <c:v>0.97</c:v>
                </c:pt>
                <c:pt idx="10">
                  <c:v>0</c:v>
                </c:pt>
                <c:pt idx="11">
                  <c:v>0</c:v>
                </c:pt>
              </c:numCache>
            </c:numRef>
          </c:val>
          <c:smooth val="0"/>
          <c:extLst xmlns:c16r2="http://schemas.microsoft.com/office/drawing/2015/06/chart">
            <c:ext xmlns:c16="http://schemas.microsoft.com/office/drawing/2014/chart" uri="{C3380CC4-5D6E-409C-BE32-E72D297353CC}">
              <c16:uniqueId val="{00000002-617B-4117-9B6E-8C0A3E17EA06}"/>
            </c:ext>
          </c:extLst>
        </c:ser>
        <c:ser>
          <c:idx val="3"/>
          <c:order val="3"/>
          <c:tx>
            <c:strRef>
              <c:f>Exchange_Wise!$E$2</c:f>
              <c:strCache>
                <c:ptCount val="1"/>
                <c:pt idx="0">
                  <c:v>BSE (RHS)</c:v>
                </c:pt>
              </c:strCache>
            </c:strRef>
          </c:tx>
          <c:spPr>
            <a:ln w="22225" cap="rnd">
              <a:solidFill>
                <a:sysClr val="windowText" lastClr="000000"/>
              </a:solidFill>
              <a:round/>
            </a:ln>
            <a:effectLst/>
          </c:spPr>
          <c:marker>
            <c:symbol val="triangle"/>
            <c:size val="6"/>
            <c:spPr>
              <a:solidFill>
                <a:schemeClr val="accent4"/>
              </a:solidFill>
              <a:ln w="9525">
                <a:solidFill>
                  <a:schemeClr val="tx1"/>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Exchange_Wise!$E$14:$E$25</c:f>
              <c:numCache>
                <c:formatCode>#,##0</c:formatCode>
                <c:ptCount val="12"/>
                <c:pt idx="0">
                  <c:v>115.46</c:v>
                </c:pt>
                <c:pt idx="1">
                  <c:v>174.66</c:v>
                </c:pt>
                <c:pt idx="2">
                  <c:v>184.73</c:v>
                </c:pt>
                <c:pt idx="3">
                  <c:v>227.91</c:v>
                </c:pt>
                <c:pt idx="4">
                  <c:v>238.75</c:v>
                </c:pt>
                <c:pt idx="5">
                  <c:v>245.83</c:v>
                </c:pt>
                <c:pt idx="6">
                  <c:v>246.65</c:v>
                </c:pt>
                <c:pt idx="7">
                  <c:v>305.59800000000001</c:v>
                </c:pt>
                <c:pt idx="8">
                  <c:v>381.72</c:v>
                </c:pt>
                <c:pt idx="9">
                  <c:v>418.43</c:v>
                </c:pt>
                <c:pt idx="10">
                  <c:v>353.58</c:v>
                </c:pt>
                <c:pt idx="11">
                  <c:v>240.05</c:v>
                </c:pt>
              </c:numCache>
            </c:numRef>
          </c:val>
          <c:smooth val="0"/>
          <c:extLst xmlns:c16r2="http://schemas.microsoft.com/office/drawing/2015/06/chart">
            <c:ext xmlns:c16="http://schemas.microsoft.com/office/drawing/2014/chart" uri="{C3380CC4-5D6E-409C-BE32-E72D297353CC}">
              <c16:uniqueId val="{00000003-617B-4117-9B6E-8C0A3E17EA06}"/>
            </c:ext>
          </c:extLst>
        </c:ser>
        <c:ser>
          <c:idx val="4"/>
          <c:order val="4"/>
          <c:tx>
            <c:strRef>
              <c:f>Exchange_Wise!$F$2</c:f>
              <c:strCache>
                <c:ptCount val="1"/>
                <c:pt idx="0">
                  <c:v>NSE (RHS)</c:v>
                </c:pt>
              </c:strCache>
            </c:strRef>
          </c:tx>
          <c:spPr>
            <a:ln w="15875" cap="rnd">
              <a:solidFill>
                <a:srgbClr val="C00000"/>
              </a:solidFill>
              <a:round/>
            </a:ln>
            <a:effectLst/>
          </c:spPr>
          <c:marker>
            <c:symbol val="diamond"/>
            <c:size val="4"/>
            <c:spPr>
              <a:solidFill>
                <a:srgbClr val="C00000"/>
              </a:solidFill>
              <a:ln w="3175">
                <a:solidFill>
                  <a:srgbClr val="C00000"/>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Exchange_Wise!$F$14:$F$25</c:f>
              <c:numCache>
                <c:formatCode>#,##0</c:formatCode>
                <c:ptCount val="12"/>
                <c:pt idx="0">
                  <c:v>1672.8383199999998</c:v>
                </c:pt>
                <c:pt idx="1">
                  <c:v>592.6947399999998</c:v>
                </c:pt>
                <c:pt idx="2">
                  <c:v>307.17788999999988</c:v>
                </c:pt>
                <c:pt idx="3">
                  <c:v>415</c:v>
                </c:pt>
                <c:pt idx="4">
                  <c:v>671.72671000000003</c:v>
                </c:pt>
                <c:pt idx="5">
                  <c:v>252.94460000000001</c:v>
                </c:pt>
                <c:pt idx="6">
                  <c:v>0</c:v>
                </c:pt>
                <c:pt idx="7">
                  <c:v>0</c:v>
                </c:pt>
                <c:pt idx="8">
                  <c:v>0</c:v>
                </c:pt>
                <c:pt idx="9">
                  <c:v>0</c:v>
                </c:pt>
                <c:pt idx="10">
                  <c:v>0</c:v>
                </c:pt>
                <c:pt idx="11">
                  <c:v>0</c:v>
                </c:pt>
              </c:numCache>
            </c:numRef>
          </c:val>
          <c:smooth val="0"/>
          <c:extLst xmlns:c16r2="http://schemas.microsoft.com/office/drawing/2015/06/chart">
            <c:ext xmlns:c16="http://schemas.microsoft.com/office/drawing/2014/chart" uri="{C3380CC4-5D6E-409C-BE32-E72D297353CC}">
              <c16:uniqueId val="{00000004-617B-4117-9B6E-8C0A3E17EA06}"/>
            </c:ext>
          </c:extLst>
        </c:ser>
        <c:dLbls>
          <c:showLegendKey val="0"/>
          <c:showVal val="0"/>
          <c:showCatName val="0"/>
          <c:showSerName val="0"/>
          <c:showPercent val="0"/>
          <c:showBubbleSize val="0"/>
        </c:dLbls>
        <c:marker val="1"/>
        <c:smooth val="0"/>
        <c:axId val="489244264"/>
        <c:axId val="593032048"/>
      </c:lineChart>
      <c:dateAx>
        <c:axId val="593034792"/>
        <c:scaling>
          <c:orientation val="minMax"/>
        </c:scaling>
        <c:delete val="0"/>
        <c:axPos val="b"/>
        <c:numFmt formatCode="[$-409]mmm\-yy;@" sourceLinked="1"/>
        <c:majorTickMark val="none"/>
        <c:minorTickMark val="none"/>
        <c:tickLblPos val="nextTo"/>
        <c:spPr>
          <a:noFill/>
          <a:ln w="9525" cap="flat" cmpd="sng" algn="ctr">
            <a:solidFill>
              <a:schemeClr val="tx1">
                <a:lumMod val="15000"/>
                <a:lumOff val="85000"/>
              </a:schemeClr>
            </a:solidFill>
            <a:round/>
          </a:ln>
          <a:effectLst/>
        </c:spPr>
        <c:txPr>
          <a:bodyPr rot="-168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593031656"/>
        <c:crosses val="autoZero"/>
        <c:auto val="1"/>
        <c:lblOffset val="100"/>
        <c:baseTimeUnit val="months"/>
        <c:majorUnit val="1"/>
        <c:majorTimeUnit val="months"/>
      </c:dateAx>
      <c:valAx>
        <c:axId val="593031656"/>
        <c:scaling>
          <c:orientation val="minMax"/>
          <c:max val="6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r>
                  <a:rPr lang="en-US"/>
                  <a:t>₹</a:t>
                </a:r>
                <a:r>
                  <a:rPr lang="en-IN"/>
                  <a:t> Thousands</a:t>
                </a:r>
              </a:p>
              <a:p>
                <a:pPr>
                  <a:defRPr/>
                </a:pPr>
                <a:r>
                  <a:rPr lang="en-IN" sz="900" b="0" i="0" u="none" strike="noStrike" kern="1200" baseline="0">
                    <a:solidFill>
                      <a:sysClr val="windowText" lastClr="000000"/>
                    </a:solidFill>
                    <a:latin typeface="Palatino Linotype" panose="02040502050505030304" pitchFamily="18" charset="0"/>
                    <a:ea typeface="+mn-ea"/>
                    <a:cs typeface="+mn-cs"/>
                  </a:rPr>
                  <a:t>crore</a:t>
                </a:r>
                <a:endParaRPr lang="en-IN"/>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593034792"/>
        <c:crosses val="autoZero"/>
        <c:crossBetween val="between"/>
        <c:dispUnits>
          <c:builtInUnit val="thousands"/>
        </c:dispUnits>
      </c:valAx>
      <c:valAx>
        <c:axId val="593032048"/>
        <c:scaling>
          <c:orientation val="minMax"/>
          <c:max val="2000"/>
          <c:min val="0"/>
        </c:scaling>
        <c:delete val="0"/>
        <c:axPos val="r"/>
        <c:title>
          <c:tx>
            <c:rich>
              <a:bodyPr rot="540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r>
                  <a:rPr lang="en-US"/>
                  <a:t>₹Thousands</a:t>
                </a:r>
              </a:p>
              <a:p>
                <a:pPr>
                  <a:defRPr/>
                </a:pPr>
                <a:r>
                  <a:rPr lang="en-IN"/>
                  <a:t> </a:t>
                </a:r>
                <a:r>
                  <a:rPr lang="en-IN" sz="900" b="0" i="0" u="none" strike="noStrike" kern="1200" baseline="0">
                    <a:solidFill>
                      <a:sysClr val="windowText" lastClr="000000"/>
                    </a:solidFill>
                    <a:latin typeface="Palatino Linotype" panose="02040502050505030304" pitchFamily="18" charset="0"/>
                    <a:ea typeface="+mn-ea"/>
                    <a:cs typeface="+mn-cs"/>
                  </a:rPr>
                  <a:t>crore</a:t>
                </a:r>
                <a:endParaRPr lang="en-IN"/>
              </a:p>
            </c:rich>
          </c:tx>
          <c:layout>
            <c:manualLayout>
              <c:xMode val="edge"/>
              <c:yMode val="edge"/>
              <c:x val="0.96063667480161474"/>
              <c:y val="0.33961738433921917"/>
            </c:manualLayout>
          </c:layout>
          <c:overlay val="0"/>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89244264"/>
        <c:crosses val="max"/>
        <c:crossBetween val="between"/>
        <c:majorUnit val="500"/>
        <c:dispUnits>
          <c:builtInUnit val="thousands"/>
        </c:dispUnits>
      </c:valAx>
      <c:dateAx>
        <c:axId val="489244264"/>
        <c:scaling>
          <c:orientation val="minMax"/>
        </c:scaling>
        <c:delete val="1"/>
        <c:axPos val="b"/>
        <c:numFmt formatCode="[$-409]mmm\-yy;@" sourceLinked="1"/>
        <c:majorTickMark val="out"/>
        <c:minorTickMark val="none"/>
        <c:tickLblPos val="nextTo"/>
        <c:crossAx val="593032048"/>
        <c:crosses val="autoZero"/>
        <c:auto val="0"/>
        <c:lblOffset val="100"/>
        <c:baseTimeUnit val="months"/>
      </c:dateAx>
      <c:spPr>
        <a:noFill/>
        <a:ln>
          <a:noFill/>
        </a:ln>
        <a:effectLst/>
      </c:spPr>
    </c:plotArea>
    <c:legend>
      <c:legendPos val="b"/>
      <c:layout>
        <c:manualLayout>
          <c:xMode val="edge"/>
          <c:yMode val="edge"/>
          <c:x val="0.10164675814571447"/>
          <c:y val="0.87648641104576042"/>
          <c:w val="0.82665128174197633"/>
          <c:h val="0.1235135889542394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bg1">
          <a:lumMod val="65000"/>
        </a:schemeClr>
      </a:solidFill>
      <a:round/>
    </a:ln>
    <a:effectLst/>
  </c:spPr>
  <c:txPr>
    <a:bodyPr/>
    <a:lstStyle/>
    <a:p>
      <a:pPr>
        <a:defRPr sz="900">
          <a:solidFill>
            <a:sysClr val="windowText" lastClr="000000"/>
          </a:solidFill>
          <a:latin typeface="Palatino Linotype" panose="02040502050505030304" pitchFamily="18"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69903308718533"/>
          <c:y val="2.8574616789475059E-2"/>
          <c:w val="0.74444906821880419"/>
          <c:h val="0.65518523939154449"/>
        </c:manualLayout>
      </c:layout>
      <c:barChart>
        <c:barDir val="col"/>
        <c:grouping val="stacked"/>
        <c:varyColors val="0"/>
        <c:ser>
          <c:idx val="0"/>
          <c:order val="0"/>
          <c:tx>
            <c:strRef>
              <c:f>Exchange_Wise!$G$2</c:f>
              <c:strCache>
                <c:ptCount val="1"/>
                <c:pt idx="0">
                  <c:v>MCX (LHS)</c:v>
                </c:pt>
              </c:strCache>
            </c:strRef>
          </c:tx>
          <c:spPr>
            <a:solidFill>
              <a:srgbClr val="92D050"/>
            </a:solidFill>
            <a:ln>
              <a:solidFill>
                <a:sysClr val="windowText" lastClr="000000"/>
              </a:solidFill>
            </a:ln>
            <a:effectLst/>
          </c:spPr>
          <c:invertIfNegative val="0"/>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Exchange_Wise!$G$14:$G$25</c:f>
              <c:numCache>
                <c:formatCode>#,##0</c:formatCode>
                <c:ptCount val="12"/>
                <c:pt idx="0">
                  <c:v>602584.41504829982</c:v>
                </c:pt>
                <c:pt idx="1">
                  <c:v>525273.25289939984</c:v>
                </c:pt>
                <c:pt idx="2">
                  <c:v>657112.9212915001</c:v>
                </c:pt>
                <c:pt idx="3">
                  <c:v>573244.30666690005</c:v>
                </c:pt>
                <c:pt idx="4">
                  <c:v>578366.63177189988</c:v>
                </c:pt>
                <c:pt idx="5">
                  <c:v>535066.9253165999</c:v>
                </c:pt>
                <c:pt idx="6">
                  <c:v>562207.22881080012</c:v>
                </c:pt>
                <c:pt idx="7">
                  <c:v>598897.15908910008</c:v>
                </c:pt>
                <c:pt idx="8">
                  <c:v>522314.69155069976</c:v>
                </c:pt>
                <c:pt idx="9">
                  <c:v>446299.64222270012</c:v>
                </c:pt>
                <c:pt idx="10">
                  <c:v>448251.96155909984</c:v>
                </c:pt>
                <c:pt idx="11">
                  <c:v>508856.59283569996</c:v>
                </c:pt>
              </c:numCache>
            </c:numRef>
          </c:val>
          <c:extLst xmlns:c15="http://schemas.microsoft.com/office/drawing/2012/chart" xmlns:c16r2="http://schemas.microsoft.com/office/drawing/2015/06/chart">
            <c:ext xmlns:c16="http://schemas.microsoft.com/office/drawing/2014/chart" uri="{C3380CC4-5D6E-409C-BE32-E72D297353CC}">
              <c16:uniqueId val="{00000000-422B-4EE3-AEB2-8D4551014343}"/>
            </c:ext>
          </c:extLst>
        </c:ser>
        <c:dLbls>
          <c:showLegendKey val="0"/>
          <c:showVal val="0"/>
          <c:showCatName val="0"/>
          <c:showSerName val="0"/>
          <c:showPercent val="0"/>
          <c:showBubbleSize val="0"/>
        </c:dLbls>
        <c:gapWidth val="219"/>
        <c:overlap val="100"/>
        <c:axId val="489245048"/>
        <c:axId val="489244656"/>
        <c:extLst xmlns:c16r2="http://schemas.microsoft.com/office/drawing/2015/06/chart"/>
      </c:barChart>
      <c:lineChart>
        <c:grouping val="stacked"/>
        <c:varyColors val="0"/>
        <c:ser>
          <c:idx val="1"/>
          <c:order val="1"/>
          <c:tx>
            <c:strRef>
              <c:f>Exchange_Wise!$H$2</c:f>
              <c:strCache>
                <c:ptCount val="1"/>
                <c:pt idx="0">
                  <c:v>NCDEX (RHS)</c:v>
                </c:pt>
              </c:strCache>
            </c:strRef>
          </c:tx>
          <c:spPr>
            <a:ln w="19050" cap="rnd">
              <a:solidFill>
                <a:sysClr val="windowText" lastClr="000000">
                  <a:lumMod val="75000"/>
                  <a:lumOff val="25000"/>
                </a:sysClr>
              </a:solidFill>
              <a:round/>
            </a:ln>
            <a:effectLst/>
          </c:spPr>
          <c:marker>
            <c:symbol val="circle"/>
            <c:size val="5"/>
            <c:spPr>
              <a:solidFill>
                <a:sysClr val="windowText" lastClr="000000"/>
              </a:solidFill>
              <a:ln w="9525">
                <a:solidFill>
                  <a:schemeClr val="accent2"/>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Exchange_Wise!$H$14:$H$25</c:f>
              <c:numCache>
                <c:formatCode>#,##0</c:formatCode>
                <c:ptCount val="12"/>
                <c:pt idx="0">
                  <c:v>25.14254</c:v>
                </c:pt>
                <c:pt idx="1">
                  <c:v>11.57</c:v>
                </c:pt>
                <c:pt idx="2">
                  <c:v>15.86</c:v>
                </c:pt>
                <c:pt idx="3">
                  <c:v>17.549300000000002</c:v>
                </c:pt>
                <c:pt idx="4">
                  <c:v>17.309999999999999</c:v>
                </c:pt>
                <c:pt idx="5">
                  <c:v>13.696019999999997</c:v>
                </c:pt>
                <c:pt idx="6">
                  <c:v>10.95</c:v>
                </c:pt>
                <c:pt idx="7">
                  <c:v>9.6300000000000008</c:v>
                </c:pt>
                <c:pt idx="8">
                  <c:v>9.0530000000000008</c:v>
                </c:pt>
                <c:pt idx="9">
                  <c:v>6.51</c:v>
                </c:pt>
                <c:pt idx="10">
                  <c:v>3.03</c:v>
                </c:pt>
                <c:pt idx="11">
                  <c:v>2.13151</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1-422B-4EE3-AEB2-8D4551014343}"/>
            </c:ext>
          </c:extLst>
        </c:ser>
        <c:ser>
          <c:idx val="2"/>
          <c:order val="2"/>
          <c:tx>
            <c:strRef>
              <c:f>Exchange_Wise!$I$2</c:f>
              <c:strCache>
                <c:ptCount val="1"/>
                <c:pt idx="0">
                  <c:v>ICEX (RHS)</c:v>
                </c:pt>
              </c:strCache>
            </c:strRef>
          </c:tx>
          <c:spPr>
            <a:ln w="19050" cap="rnd">
              <a:solidFill>
                <a:srgbClr val="FF0000"/>
              </a:solidFill>
              <a:prstDash val="dash"/>
              <a:round/>
            </a:ln>
            <a:effectLst/>
          </c:spPr>
          <c:marker>
            <c:symbol val="circle"/>
            <c:size val="4"/>
            <c:spPr>
              <a:solidFill>
                <a:srgbClr val="C00000"/>
              </a:solidFill>
              <a:ln w="19050">
                <a:solidFill>
                  <a:srgbClr val="FF0000"/>
                </a:solidFill>
                <a:prstDash val="dash"/>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Exchange_Wise!$I$14:$I$25</c:f>
              <c:numCache>
                <c:formatCode>#,##0</c:formatCode>
                <c:ptCount val="12"/>
                <c:pt idx="0">
                  <c:v>19.011840000000003</c:v>
                </c:pt>
                <c:pt idx="1">
                  <c:v>16.042120000000001</c:v>
                </c:pt>
                <c:pt idx="2">
                  <c:v>18.87</c:v>
                </c:pt>
                <c:pt idx="3">
                  <c:v>22.58</c:v>
                </c:pt>
                <c:pt idx="4">
                  <c:v>18.54</c:v>
                </c:pt>
                <c:pt idx="5">
                  <c:v>17.7044</c:v>
                </c:pt>
                <c:pt idx="6">
                  <c:v>11.303419999999999</c:v>
                </c:pt>
                <c:pt idx="7">
                  <c:v>6.1666200000000009</c:v>
                </c:pt>
                <c:pt idx="8">
                  <c:v>2.74</c:v>
                </c:pt>
                <c:pt idx="9">
                  <c:v>1.92</c:v>
                </c:pt>
                <c:pt idx="10">
                  <c:v>0</c:v>
                </c:pt>
                <c:pt idx="11">
                  <c:v>0</c:v>
                </c:pt>
              </c:numCache>
            </c:numRef>
          </c:val>
          <c:smooth val="0"/>
          <c:extLst xmlns:c16r2="http://schemas.microsoft.com/office/drawing/2015/06/chart">
            <c:ext xmlns:c16="http://schemas.microsoft.com/office/drawing/2014/chart" uri="{C3380CC4-5D6E-409C-BE32-E72D297353CC}">
              <c16:uniqueId val="{00000002-422B-4EE3-AEB2-8D4551014343}"/>
            </c:ext>
          </c:extLst>
        </c:ser>
        <c:ser>
          <c:idx val="4"/>
          <c:order val="3"/>
          <c:tx>
            <c:strRef>
              <c:f>Exchange_Wise!$K$2</c:f>
              <c:strCache>
                <c:ptCount val="1"/>
                <c:pt idx="0">
                  <c:v>NSE (RHS)</c:v>
                </c:pt>
              </c:strCache>
            </c:strRef>
          </c:tx>
          <c:spPr>
            <a:ln w="25400" cap="rnd">
              <a:solidFill>
                <a:srgbClr val="00B0F0"/>
              </a:solidFill>
              <a:prstDash val="sysDash"/>
              <a:round/>
            </a:ln>
            <a:effectLst/>
          </c:spPr>
          <c:marker>
            <c:symbol val="square"/>
            <c:size val="6"/>
            <c:spPr>
              <a:solidFill>
                <a:sysClr val="windowText" lastClr="000000"/>
              </a:solidFill>
              <a:ln w="9525">
                <a:solidFill>
                  <a:schemeClr val="accent5"/>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Exchange_Wise!$K$14:$K$25</c:f>
              <c:numCache>
                <c:formatCode>#,##0</c:formatCode>
                <c:ptCount val="12"/>
                <c:pt idx="0">
                  <c:v>11.136143500000001</c:v>
                </c:pt>
                <c:pt idx="1">
                  <c:v>6.284978999999999</c:v>
                </c:pt>
                <c:pt idx="2">
                  <c:v>6.4907739999999965</c:v>
                </c:pt>
                <c:pt idx="3">
                  <c:v>7.7</c:v>
                </c:pt>
                <c:pt idx="4">
                  <c:v>4.1648215999999998</c:v>
                </c:pt>
                <c:pt idx="5">
                  <c:v>1.2277750999999995</c:v>
                </c:pt>
                <c:pt idx="6">
                  <c:v>1.0724889999999996</c:v>
                </c:pt>
                <c:pt idx="7">
                  <c:v>0.99556400000000023</c:v>
                </c:pt>
                <c:pt idx="8">
                  <c:v>1.0610160000000002</c:v>
                </c:pt>
                <c:pt idx="9">
                  <c:v>1.0545200000000001</c:v>
                </c:pt>
                <c:pt idx="10">
                  <c:v>0.95858199999999982</c:v>
                </c:pt>
                <c:pt idx="11">
                  <c:v>0.9863369999999998</c:v>
                </c:pt>
              </c:numCache>
            </c:numRef>
          </c:val>
          <c:smooth val="0"/>
          <c:extLst xmlns:c16r2="http://schemas.microsoft.com/office/drawing/2015/06/chart">
            <c:ext xmlns:c16="http://schemas.microsoft.com/office/drawing/2014/chart" uri="{C3380CC4-5D6E-409C-BE32-E72D297353CC}">
              <c16:uniqueId val="{00000003-422B-4EE3-AEB2-8D4551014343}"/>
            </c:ext>
          </c:extLst>
        </c:ser>
        <c:ser>
          <c:idx val="3"/>
          <c:order val="4"/>
          <c:tx>
            <c:strRef>
              <c:f>Exchange_Wise!$J$2</c:f>
              <c:strCache>
                <c:ptCount val="1"/>
                <c:pt idx="0">
                  <c:v>BSE (RHS)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Exchange_Wise!$J$14:$J$25</c:f>
              <c:numCache>
                <c:formatCode>#,##0</c:formatCode>
                <c:ptCount val="12"/>
                <c:pt idx="0">
                  <c:v>11.647484</c:v>
                </c:pt>
                <c:pt idx="1">
                  <c:v>10.74</c:v>
                </c:pt>
                <c:pt idx="2">
                  <c:v>10.59</c:v>
                </c:pt>
                <c:pt idx="3">
                  <c:v>11</c:v>
                </c:pt>
                <c:pt idx="4">
                  <c:v>27.182001</c:v>
                </c:pt>
                <c:pt idx="5">
                  <c:v>64.38</c:v>
                </c:pt>
                <c:pt idx="6">
                  <c:v>69.201874000000004</c:v>
                </c:pt>
                <c:pt idx="7">
                  <c:v>90.755050999999995</c:v>
                </c:pt>
                <c:pt idx="8">
                  <c:v>117.18187400000001</c:v>
                </c:pt>
                <c:pt idx="9">
                  <c:v>91.389163999999994</c:v>
                </c:pt>
                <c:pt idx="10">
                  <c:v>58.021428999999998</c:v>
                </c:pt>
                <c:pt idx="11">
                  <c:v>51.183413000000002</c:v>
                </c:pt>
              </c:numCache>
            </c:numRef>
          </c:val>
          <c:smooth val="0"/>
          <c:extLst xmlns:c16r2="http://schemas.microsoft.com/office/drawing/2015/06/chart">
            <c:ext xmlns:c16="http://schemas.microsoft.com/office/drawing/2014/chart" uri="{C3380CC4-5D6E-409C-BE32-E72D297353CC}">
              <c16:uniqueId val="{00000004-422B-4EE3-AEB2-8D4551014343}"/>
            </c:ext>
          </c:extLst>
        </c:ser>
        <c:dLbls>
          <c:showLegendKey val="0"/>
          <c:showVal val="0"/>
          <c:showCatName val="0"/>
          <c:showSerName val="0"/>
          <c:showPercent val="0"/>
          <c:showBubbleSize val="0"/>
        </c:dLbls>
        <c:marker val="1"/>
        <c:smooth val="0"/>
        <c:axId val="489245440"/>
        <c:axId val="489243480"/>
      </c:lineChart>
      <c:dateAx>
        <c:axId val="489245048"/>
        <c:scaling>
          <c:orientation val="minMax"/>
        </c:scaling>
        <c:delete val="0"/>
        <c:axPos val="b"/>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89244656"/>
        <c:crosses val="autoZero"/>
        <c:auto val="0"/>
        <c:lblOffset val="100"/>
        <c:baseTimeUnit val="months"/>
      </c:dateAx>
      <c:valAx>
        <c:axId val="489244656"/>
        <c:scaling>
          <c:orientation val="minMax"/>
          <c:max val="1000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900" b="0" i="0" u="none" strike="noStrike" kern="1200" baseline="0">
                    <a:solidFill>
                      <a:sysClr val="windowText" lastClr="000000"/>
                    </a:solidFill>
                    <a:latin typeface="Palatino Linotype" panose="02040502050505030304" pitchFamily="18" charset="0"/>
                    <a:ea typeface="+mn-ea"/>
                    <a:cs typeface="+mn-cs"/>
                  </a:defRPr>
                </a:pPr>
                <a:r>
                  <a:rPr lang="en-US"/>
                  <a:t>₹</a:t>
                </a:r>
                <a:r>
                  <a:rPr lang="en-IN"/>
                  <a:t> Thousands</a:t>
                </a:r>
              </a:p>
              <a:p>
                <a:pPr algn="ctr" rtl="0">
                  <a:defRPr/>
                </a:pPr>
                <a:r>
                  <a:rPr lang="en-IN" sz="900" b="0" i="0" u="none" strike="noStrike" kern="1200" baseline="0">
                    <a:solidFill>
                      <a:sysClr val="windowText" lastClr="000000"/>
                    </a:solidFill>
                    <a:latin typeface="Palatino Linotype" panose="02040502050505030304" pitchFamily="18" charset="0"/>
                    <a:ea typeface="+mn-ea"/>
                    <a:cs typeface="+mn-cs"/>
                  </a:rPr>
                  <a:t>crore</a:t>
                </a:r>
                <a:endParaRPr lang="en-IN"/>
              </a:p>
            </c:rich>
          </c:tx>
          <c:overlay val="0"/>
          <c:spPr>
            <a:noFill/>
            <a:ln>
              <a:noFill/>
            </a:ln>
            <a:effectLst/>
          </c:spPr>
          <c:txPr>
            <a:bodyPr rot="-5400000" spcFirstLastPara="1" vertOverflow="ellipsis" vert="horz" wrap="square" anchor="ctr" anchorCtr="1"/>
            <a:lstStyle/>
            <a:p>
              <a:pPr algn="ctr" rtl="0">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89245048"/>
        <c:crosses val="autoZero"/>
        <c:crossBetween val="between"/>
        <c:majorUnit val="100000"/>
        <c:dispUnits>
          <c:builtInUnit val="thousands"/>
        </c:dispUnits>
      </c:valAx>
      <c:valAx>
        <c:axId val="489243480"/>
        <c:scaling>
          <c:orientation val="minMax"/>
          <c:max val="200"/>
        </c:scaling>
        <c:delete val="0"/>
        <c:axPos val="r"/>
        <c:title>
          <c:tx>
            <c:rich>
              <a:bodyPr rot="540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r>
                  <a:rPr lang="en-US" sz="900" b="0" i="0" baseline="0">
                    <a:effectLst/>
                  </a:rPr>
                  <a:t>₹</a:t>
                </a:r>
                <a:r>
                  <a:rPr lang="en-IN" sz="900" b="0" i="0" baseline="0">
                    <a:effectLst/>
                  </a:rPr>
                  <a:t> Thousands</a:t>
                </a:r>
              </a:p>
              <a:p>
                <a:pPr>
                  <a:defRPr/>
                </a:pPr>
                <a:r>
                  <a:rPr lang="en-IN" sz="900" b="0" i="0" baseline="0">
                    <a:effectLst/>
                  </a:rPr>
                  <a:t> </a:t>
                </a:r>
                <a:r>
                  <a:rPr lang="en-IN" sz="900" b="0" i="0" u="none" strike="noStrike" kern="1200" baseline="0">
                    <a:solidFill>
                      <a:sysClr val="windowText" lastClr="000000"/>
                    </a:solidFill>
                    <a:effectLst/>
                    <a:latin typeface="Palatino Linotype" panose="02040502050505030304" pitchFamily="18" charset="0"/>
                    <a:ea typeface="+mn-ea"/>
                    <a:cs typeface="+mn-cs"/>
                  </a:rPr>
                  <a:t>crore</a:t>
                </a:r>
                <a:endParaRPr lang="en-IN" sz="900">
                  <a:effectLst/>
                </a:endParaRPr>
              </a:p>
            </c:rich>
          </c:tx>
          <c:overlay val="0"/>
          <c:spPr>
            <a:noFill/>
            <a:ln>
              <a:noFill/>
            </a:ln>
            <a:effectLst/>
          </c:spPr>
          <c:txPr>
            <a:bodyPr rot="540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89245440"/>
        <c:crosses val="max"/>
        <c:crossBetween val="between"/>
      </c:valAx>
      <c:dateAx>
        <c:axId val="489245440"/>
        <c:scaling>
          <c:orientation val="minMax"/>
        </c:scaling>
        <c:delete val="1"/>
        <c:axPos val="b"/>
        <c:numFmt formatCode="[$-409]mmm\-yy;@" sourceLinked="1"/>
        <c:majorTickMark val="out"/>
        <c:minorTickMark val="none"/>
        <c:tickLblPos val="nextTo"/>
        <c:crossAx val="489243480"/>
        <c:crosses val="autoZero"/>
        <c:auto val="1"/>
        <c:lblOffset val="100"/>
        <c:baseTimeUnit val="months"/>
        <c:majorUnit val="1"/>
        <c:minorUnit val="1"/>
      </c:dateAx>
      <c:spPr>
        <a:noFill/>
        <a:ln>
          <a:noFill/>
        </a:ln>
        <a:effectLst/>
      </c:spPr>
    </c:plotArea>
    <c:legend>
      <c:legendPos val="b"/>
      <c:layout>
        <c:manualLayout>
          <c:xMode val="edge"/>
          <c:yMode val="edge"/>
          <c:x val="0.10228638086905803"/>
          <c:y val="0.88298072419128193"/>
          <c:w val="0.89771364188023373"/>
          <c:h val="6.03500756821344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65000"/>
        </a:sysClr>
      </a:solidFill>
      <a:round/>
    </a:ln>
    <a:effectLst/>
  </c:spPr>
  <c:txPr>
    <a:bodyPr/>
    <a:lstStyle/>
    <a:p>
      <a:pPr>
        <a:defRPr sz="900">
          <a:solidFill>
            <a:sysClr val="windowText" lastClr="000000"/>
          </a:solidFill>
          <a:latin typeface="Palatino Linotype" panose="02040502050505030304" pitchFamily="18"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41236006424859"/>
          <c:y val="2.5425336553711E-2"/>
          <c:w val="0.79291891655604152"/>
          <c:h val="0.74402255555637775"/>
        </c:manualLayout>
      </c:layout>
      <c:lineChart>
        <c:grouping val="standard"/>
        <c:varyColors val="0"/>
        <c:ser>
          <c:idx val="3"/>
          <c:order val="0"/>
          <c:tx>
            <c:strRef>
              <c:f>Exchange_Wise!$L$2</c:f>
              <c:strCache>
                <c:ptCount val="1"/>
                <c:pt idx="0">
                  <c:v>MCX (LHS)</c:v>
                </c:pt>
              </c:strCache>
            </c:strRef>
          </c:tx>
          <c:spPr>
            <a:ln w="22225" cap="rnd">
              <a:solidFill>
                <a:srgbClr val="0070C0"/>
              </a:solidFill>
              <a:round/>
            </a:ln>
            <a:effectLst/>
          </c:spPr>
          <c:marker>
            <c:symbol val="circle"/>
            <c:size val="5"/>
            <c:spPr>
              <a:solidFill>
                <a:srgbClr val="0070C0"/>
              </a:solidFill>
              <a:ln w="9525">
                <a:solidFill>
                  <a:srgbClr val="0070C0"/>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Exchange_Wise!$L$14:$L$25</c:f>
              <c:numCache>
                <c:formatCode>#,##0</c:formatCode>
                <c:ptCount val="12"/>
                <c:pt idx="0">
                  <c:v>28949.873640999998</c:v>
                </c:pt>
                <c:pt idx="1">
                  <c:v>29746.30315299999</c:v>
                </c:pt>
                <c:pt idx="2">
                  <c:v>41737.770531000002</c:v>
                </c:pt>
                <c:pt idx="3">
                  <c:v>50098.683639000003</c:v>
                </c:pt>
                <c:pt idx="4">
                  <c:v>99269.799360999983</c:v>
                </c:pt>
                <c:pt idx="5">
                  <c:v>130106.263812</c:v>
                </c:pt>
                <c:pt idx="6">
                  <c:v>168111.93358800001</c:v>
                </c:pt>
                <c:pt idx="7">
                  <c:v>175348.76363799989</c:v>
                </c:pt>
                <c:pt idx="8">
                  <c:v>200327.052031</c:v>
                </c:pt>
                <c:pt idx="9">
                  <c:v>183957.54242700001</c:v>
                </c:pt>
                <c:pt idx="10">
                  <c:v>208851.39143600001</c:v>
                </c:pt>
                <c:pt idx="11">
                  <c:v>307905.91688100016</c:v>
                </c:pt>
              </c:numCache>
            </c:numRef>
          </c:val>
          <c:smooth val="0"/>
          <c:extLst xmlns:c16r2="http://schemas.microsoft.com/office/drawing/2015/06/chart">
            <c:ext xmlns:c16="http://schemas.microsoft.com/office/drawing/2014/chart" uri="{C3380CC4-5D6E-409C-BE32-E72D297353CC}">
              <c16:uniqueId val="{00000000-8F6D-436D-B4F3-96DC557B0058}"/>
            </c:ext>
          </c:extLst>
        </c:ser>
        <c:ser>
          <c:idx val="1"/>
          <c:order val="1"/>
          <c:tx>
            <c:strRef>
              <c:f>Exchange_Wise!$M$2</c:f>
              <c:strCache>
                <c:ptCount val="1"/>
                <c:pt idx="0">
                  <c:v>BSE (LHS)</c:v>
                </c:pt>
              </c:strCache>
            </c:strRef>
          </c:tx>
          <c:spPr>
            <a:ln w="22225" cap="rnd">
              <a:solidFill>
                <a:sysClr val="windowText" lastClr="000000">
                  <a:lumMod val="75000"/>
                  <a:lumOff val="25000"/>
                </a:sysClr>
              </a:solidFill>
              <a:round/>
            </a:ln>
            <a:effectLst/>
          </c:spPr>
          <c:marker>
            <c:symbol val="circle"/>
            <c:size val="5"/>
            <c:spPr>
              <a:solidFill>
                <a:schemeClr val="accent2"/>
              </a:solidFill>
              <a:ln w="9525">
                <a:solidFill>
                  <a:schemeClr val="accent2"/>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Exchange_Wise!$M$14:$M$25</c:f>
              <c:numCache>
                <c:formatCode>#,##0</c:formatCode>
                <c:ptCount val="12"/>
                <c:pt idx="0">
                  <c:v>71581.36</c:v>
                </c:pt>
                <c:pt idx="1">
                  <c:v>66089.42</c:v>
                </c:pt>
                <c:pt idx="2">
                  <c:v>67971.709999999992</c:v>
                </c:pt>
                <c:pt idx="3">
                  <c:v>71633.320000000007</c:v>
                </c:pt>
                <c:pt idx="4">
                  <c:v>69040.27</c:v>
                </c:pt>
                <c:pt idx="5">
                  <c:v>68611.69</c:v>
                </c:pt>
                <c:pt idx="6">
                  <c:v>74108.070000000007</c:v>
                </c:pt>
                <c:pt idx="7">
                  <c:v>93851.94</c:v>
                </c:pt>
                <c:pt idx="8">
                  <c:v>104633.86</c:v>
                </c:pt>
                <c:pt idx="9">
                  <c:v>124168.35</c:v>
                </c:pt>
                <c:pt idx="10">
                  <c:v>20644.12</c:v>
                </c:pt>
                <c:pt idx="11">
                  <c:v>1973.62</c:v>
                </c:pt>
              </c:numCache>
            </c:numRef>
          </c:val>
          <c:smooth val="0"/>
          <c:extLst xmlns:c16r2="http://schemas.microsoft.com/office/drawing/2015/06/chart">
            <c:ext xmlns:c16="http://schemas.microsoft.com/office/drawing/2014/chart" uri="{C3380CC4-5D6E-409C-BE32-E72D297353CC}">
              <c16:uniqueId val="{00000001-8F6D-436D-B4F3-96DC557B0058}"/>
            </c:ext>
          </c:extLst>
        </c:ser>
        <c:dLbls>
          <c:showLegendKey val="0"/>
          <c:showVal val="0"/>
          <c:showCatName val="0"/>
          <c:showSerName val="0"/>
          <c:showPercent val="0"/>
          <c:showBubbleSize val="0"/>
        </c:dLbls>
        <c:marker val="1"/>
        <c:smooth val="0"/>
        <c:axId val="489246224"/>
        <c:axId val="489242696"/>
      </c:lineChart>
      <c:lineChart>
        <c:grouping val="standard"/>
        <c:varyColors val="0"/>
        <c:ser>
          <c:idx val="5"/>
          <c:order val="2"/>
          <c:tx>
            <c:strRef>
              <c:f>Exchange_Wise!$N$2</c:f>
              <c:strCache>
                <c:ptCount val="1"/>
                <c:pt idx="0">
                  <c:v>NSE (RHS)</c:v>
                </c:pt>
              </c:strCache>
            </c:strRef>
          </c:tx>
          <c:spPr>
            <a:ln w="28575" cap="rnd">
              <a:solidFill>
                <a:schemeClr val="accent6"/>
              </a:solidFill>
              <a:round/>
            </a:ln>
            <a:effectLst/>
          </c:spPr>
          <c:marker>
            <c:symbol val="circle"/>
            <c:size val="5"/>
            <c:spPr>
              <a:solidFill>
                <a:srgbClr val="C00000"/>
              </a:solidFill>
              <a:ln w="9525">
                <a:solidFill>
                  <a:schemeClr val="accent6"/>
                </a:solidFill>
              </a:ln>
              <a:effectLst/>
            </c:spPr>
          </c:marker>
          <c:cat>
            <c:numRef>
              <c:f>Exchange_Wise!$A$14:$A$25</c:f>
              <c:numCache>
                <c:formatCode>[$-409]mmm\-yy;@</c:formatCode>
                <c:ptCount val="12"/>
                <c:pt idx="0">
                  <c:v>44257</c:v>
                </c:pt>
                <c:pt idx="1">
                  <c:v>44287</c:v>
                </c:pt>
                <c:pt idx="2">
                  <c:v>44317</c:v>
                </c:pt>
                <c:pt idx="3">
                  <c:v>44349</c:v>
                </c:pt>
                <c:pt idx="4">
                  <c:v>44408</c:v>
                </c:pt>
                <c:pt idx="5">
                  <c:v>44439</c:v>
                </c:pt>
                <c:pt idx="6">
                  <c:v>44469</c:v>
                </c:pt>
                <c:pt idx="7">
                  <c:v>44500</c:v>
                </c:pt>
                <c:pt idx="8">
                  <c:v>44530</c:v>
                </c:pt>
                <c:pt idx="9">
                  <c:v>44561</c:v>
                </c:pt>
                <c:pt idx="10">
                  <c:v>44592</c:v>
                </c:pt>
                <c:pt idx="11">
                  <c:v>44620</c:v>
                </c:pt>
              </c:numCache>
            </c:numRef>
          </c:cat>
          <c:val>
            <c:numRef>
              <c:f>Exchange_Wise!$N$14:$N$25</c:f>
              <c:numCache>
                <c:formatCode>#,##0</c:formatCode>
                <c:ptCount val="12"/>
                <c:pt idx="0">
                  <c:v>1206.0163299999995</c:v>
                </c:pt>
                <c:pt idx="1">
                  <c:v>950.66633899999977</c:v>
                </c:pt>
                <c:pt idx="2">
                  <c:v>846.21426750000001</c:v>
                </c:pt>
                <c:pt idx="3">
                  <c:v>699.27089999999998</c:v>
                </c:pt>
                <c:pt idx="4">
                  <c:v>894.56880599999931</c:v>
                </c:pt>
                <c:pt idx="5">
                  <c:v>1461.2396724999994</c:v>
                </c:pt>
                <c:pt idx="6">
                  <c:v>1689.5345539999994</c:v>
                </c:pt>
                <c:pt idx="7">
                  <c:v>1544.4293314999982</c:v>
                </c:pt>
                <c:pt idx="8">
                  <c:v>1690.9406470000004</c:v>
                </c:pt>
                <c:pt idx="9">
                  <c:v>1631.379094500001</c:v>
                </c:pt>
                <c:pt idx="10">
                  <c:v>1468.309361000001</c:v>
                </c:pt>
                <c:pt idx="11">
                  <c:v>1702.3189605000002</c:v>
                </c:pt>
              </c:numCache>
            </c:numRef>
          </c:val>
          <c:smooth val="0"/>
          <c:extLst xmlns:c16r2="http://schemas.microsoft.com/office/drawing/2015/06/chart">
            <c:ext xmlns:c16="http://schemas.microsoft.com/office/drawing/2014/chart" uri="{C3380CC4-5D6E-409C-BE32-E72D297353CC}">
              <c16:uniqueId val="{00000002-8F6D-436D-B4F3-96DC557B0058}"/>
            </c:ext>
          </c:extLst>
        </c:ser>
        <c:dLbls>
          <c:showLegendKey val="0"/>
          <c:showVal val="0"/>
          <c:showCatName val="0"/>
          <c:showSerName val="0"/>
          <c:showPercent val="0"/>
          <c:showBubbleSize val="0"/>
        </c:dLbls>
        <c:marker val="1"/>
        <c:smooth val="0"/>
        <c:axId val="491215224"/>
        <c:axId val="489243872"/>
      </c:lineChart>
      <c:dateAx>
        <c:axId val="489246224"/>
        <c:scaling>
          <c:orientation val="minMax"/>
        </c:scaling>
        <c:delete val="0"/>
        <c:axPos val="b"/>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89242696"/>
        <c:crosses val="autoZero"/>
        <c:auto val="1"/>
        <c:lblOffset val="100"/>
        <c:baseTimeUnit val="months"/>
      </c:dateAx>
      <c:valAx>
        <c:axId val="489242696"/>
        <c:scaling>
          <c:orientation val="minMax"/>
          <c:max val="4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900" b="0" i="0" u="none" strike="noStrike" kern="1200" baseline="0">
                    <a:solidFill>
                      <a:sysClr val="windowText" lastClr="000000"/>
                    </a:solidFill>
                    <a:latin typeface="Palatino Linotype" panose="02040502050505030304" pitchFamily="18" charset="0"/>
                    <a:ea typeface="+mn-ea"/>
                    <a:cs typeface="+mn-cs"/>
                  </a:defRPr>
                </a:pPr>
                <a:r>
                  <a:rPr lang="en-US"/>
                  <a:t>₹</a:t>
                </a:r>
                <a:r>
                  <a:rPr lang="en-IN" baseline="0"/>
                  <a:t> </a:t>
                </a:r>
                <a:r>
                  <a:rPr lang="en-IN"/>
                  <a:t> Thousands</a:t>
                </a:r>
                <a:r>
                  <a:rPr lang="en-IN" baseline="0"/>
                  <a:t> </a:t>
                </a:r>
                <a:r>
                  <a:rPr lang="en-IN" sz="900" b="0" i="0" u="none" strike="noStrike" kern="1200" baseline="0">
                    <a:solidFill>
                      <a:sysClr val="windowText" lastClr="000000"/>
                    </a:solidFill>
                    <a:latin typeface="Palatino Linotype" panose="02040502050505030304" pitchFamily="18" charset="0"/>
                    <a:ea typeface="+mn-ea"/>
                    <a:cs typeface="+mn-cs"/>
                  </a:rPr>
                  <a:t>crore</a:t>
                </a:r>
                <a:endParaRPr lang="en-IN"/>
              </a:p>
            </c:rich>
          </c:tx>
          <c:overlay val="0"/>
          <c:spPr>
            <a:noFill/>
            <a:ln>
              <a:noFill/>
            </a:ln>
            <a:effectLst/>
          </c:spPr>
          <c:txPr>
            <a:bodyPr rot="-5400000" spcFirstLastPara="1" vertOverflow="ellipsis" vert="horz" wrap="square" anchor="ctr" anchorCtr="1"/>
            <a:lstStyle/>
            <a:p>
              <a:pPr algn="ctr" rtl="0">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89246224"/>
        <c:crosses val="autoZero"/>
        <c:crossBetween val="between"/>
        <c:majorUnit val="100000"/>
        <c:minorUnit val="5000"/>
        <c:dispUnits>
          <c:builtInUnit val="thousands"/>
        </c:dispUnits>
      </c:valAx>
      <c:valAx>
        <c:axId val="489243872"/>
        <c:scaling>
          <c:orientation val="minMax"/>
          <c:max val="5000"/>
        </c:scaling>
        <c:delete val="0"/>
        <c:axPos val="r"/>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50" b="0" i="0" u="none" strike="noStrike" kern="1200" baseline="0">
                    <a:solidFill>
                      <a:sysClr val="windowText" lastClr="000000"/>
                    </a:solidFill>
                    <a:latin typeface="Palatino Linotype" panose="02040502050505030304" pitchFamily="18" charset="0"/>
                    <a:ea typeface="+mn-ea"/>
                    <a:cs typeface="+mn-cs"/>
                  </a:defRPr>
                </a:pPr>
                <a:r>
                  <a:rPr lang="en-US" sz="1050" b="0" i="0" baseline="0">
                    <a:effectLst/>
                  </a:rPr>
                  <a:t>₹</a:t>
                </a:r>
                <a:r>
                  <a:rPr lang="en-IN" sz="1050" b="0" i="0" baseline="0">
                    <a:effectLst/>
                  </a:rPr>
                  <a:t> Thousands</a:t>
                </a:r>
              </a:p>
              <a:p>
                <a:pPr marL="0" marR="0" indent="0" algn="ctr" defTabSz="914400" rtl="0" eaLnBrk="1" fontAlgn="auto" latinLnBrk="0" hangingPunct="1">
                  <a:lnSpc>
                    <a:spcPct val="100000"/>
                  </a:lnSpc>
                  <a:spcBef>
                    <a:spcPts val="0"/>
                  </a:spcBef>
                  <a:spcAft>
                    <a:spcPts val="0"/>
                  </a:spcAft>
                  <a:buClrTx/>
                  <a:buSzTx/>
                  <a:buFontTx/>
                  <a:buNone/>
                  <a:tabLst/>
                  <a:defRPr sz="1050"/>
                </a:pPr>
                <a:r>
                  <a:rPr lang="en-IN" sz="1050" b="0" i="0" baseline="0">
                    <a:effectLst/>
                  </a:rPr>
                  <a:t> </a:t>
                </a:r>
                <a:r>
                  <a:rPr lang="en-IN" sz="1050" b="0" i="0" u="none" strike="noStrike" kern="1200" baseline="0">
                    <a:solidFill>
                      <a:sysClr val="windowText" lastClr="000000"/>
                    </a:solidFill>
                    <a:effectLst/>
                    <a:latin typeface="Palatino Linotype" panose="02040502050505030304" pitchFamily="18" charset="0"/>
                    <a:ea typeface="+mn-ea"/>
                    <a:cs typeface="+mn-cs"/>
                  </a:rPr>
                  <a:t>crore</a:t>
                </a:r>
                <a:endParaRPr lang="en-IN" sz="1050">
                  <a:effectLst/>
                </a:endParaRPr>
              </a:p>
            </c:rich>
          </c:tx>
          <c:overlay val="0"/>
          <c:spPr>
            <a:noFill/>
            <a:ln>
              <a:noFill/>
            </a:ln>
            <a:effectLst/>
          </c:spPr>
          <c:txPr>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50" b="0" i="0" u="none" strike="noStrike" kern="1200" baseline="0">
                  <a:solidFill>
                    <a:sysClr val="windowText" lastClr="000000"/>
                  </a:solidFill>
                  <a:latin typeface="Palatino Linotype" panose="02040502050505030304" pitchFamily="18" charset="0"/>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crossAx val="491215224"/>
        <c:crosses val="max"/>
        <c:crossBetween val="between"/>
        <c:majorUnit val="1000"/>
        <c:dispUnits>
          <c:builtInUnit val="thousands"/>
        </c:dispUnits>
      </c:valAx>
      <c:dateAx>
        <c:axId val="491215224"/>
        <c:scaling>
          <c:orientation val="minMax"/>
        </c:scaling>
        <c:delete val="1"/>
        <c:axPos val="b"/>
        <c:numFmt formatCode="[$-409]mmm\-yy;@" sourceLinked="1"/>
        <c:majorTickMark val="out"/>
        <c:minorTickMark val="none"/>
        <c:tickLblPos val="nextTo"/>
        <c:crossAx val="489243872"/>
        <c:crosses val="autoZero"/>
        <c:auto val="1"/>
        <c:lblOffset val="100"/>
        <c:baseTimeUnit val="months"/>
      </c:dateAx>
      <c:spPr>
        <a:noFill/>
        <a:ln>
          <a:noFill/>
        </a:ln>
        <a:effectLst/>
      </c:spPr>
    </c:plotArea>
    <c:legend>
      <c:legendPos val="b"/>
      <c:layout>
        <c:manualLayout>
          <c:xMode val="edge"/>
          <c:yMode val="edge"/>
          <c:x val="0.20116063823162392"/>
          <c:y val="0.92796071281948211"/>
          <c:w val="0.72804049734602716"/>
          <c:h val="6.755782383398278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Palatino Linotype" panose="02040502050505030304" pitchFamily="18" charset="0"/>
              <a:ea typeface="+mn-ea"/>
              <a:cs typeface="+mn-cs"/>
            </a:defRPr>
          </a:pPr>
          <a:endParaRPr lang="en-US"/>
        </a:p>
      </c:txPr>
    </c:legend>
    <c:plotVisOnly val="1"/>
    <c:dispBlanksAs val="gap"/>
    <c:showDLblsOverMax val="0"/>
  </c:chart>
  <c:spPr>
    <a:solidFill>
      <a:schemeClr val="bg1"/>
    </a:solidFill>
    <a:ln w="9525" cap="flat" cmpd="sng" algn="ctr">
      <a:solidFill>
        <a:sysClr val="window" lastClr="FFFFFF">
          <a:lumMod val="65000"/>
        </a:sysClr>
      </a:solidFill>
      <a:round/>
    </a:ln>
    <a:effectLst/>
  </c:spPr>
  <c:txPr>
    <a:bodyPr/>
    <a:lstStyle/>
    <a:p>
      <a:pPr>
        <a:defRPr sz="900">
          <a:solidFill>
            <a:sysClr val="windowText" lastClr="000000"/>
          </a:solidFill>
          <a:latin typeface="Palatino Linotype" panose="02040502050505030304" pitchFamily="18"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'MSCI Chart'!$H$7</c:f>
              <c:strCache>
                <c:ptCount val="1"/>
                <c:pt idx="0">
                  <c:v>MSCI World</c:v>
                </c:pt>
              </c:strCache>
            </c:strRef>
          </c:tx>
          <c:spPr>
            <a:ln w="28575" cap="rnd">
              <a:solidFill>
                <a:schemeClr val="accent6"/>
              </a:solidFill>
              <a:round/>
            </a:ln>
            <a:effectLst/>
          </c:spPr>
          <c:marker>
            <c:symbol val="none"/>
          </c:marker>
          <c:cat>
            <c:numRef>
              <c:f>'MSCI Chart'!$G$8:$G$291</c:f>
              <c:numCache>
                <c:formatCode>m/d/yyyy</c:formatCode>
                <c:ptCount val="284"/>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44312</c:v>
                </c:pt>
                <c:pt idx="42">
                  <c:v>44313</c:v>
                </c:pt>
                <c:pt idx="43">
                  <c:v>44314</c:v>
                </c:pt>
                <c:pt idx="44">
                  <c:v>44315</c:v>
                </c:pt>
                <c:pt idx="45">
                  <c:v>44316</c:v>
                </c:pt>
                <c:pt idx="46">
                  <c:v>44319</c:v>
                </c:pt>
                <c:pt idx="47">
                  <c:v>44320</c:v>
                </c:pt>
                <c:pt idx="48">
                  <c:v>44321</c:v>
                </c:pt>
                <c:pt idx="49">
                  <c:v>44322</c:v>
                </c:pt>
                <c:pt idx="50">
                  <c:v>44323</c:v>
                </c:pt>
                <c:pt idx="51">
                  <c:v>44326</c:v>
                </c:pt>
                <c:pt idx="52">
                  <c:v>44327</c:v>
                </c:pt>
                <c:pt idx="53">
                  <c:v>44328</c:v>
                </c:pt>
                <c:pt idx="54">
                  <c:v>44329</c:v>
                </c:pt>
                <c:pt idx="55">
                  <c:v>44330</c:v>
                </c:pt>
                <c:pt idx="56">
                  <c:v>44333</c:v>
                </c:pt>
                <c:pt idx="57">
                  <c:v>44334</c:v>
                </c:pt>
                <c:pt idx="58">
                  <c:v>44335</c:v>
                </c:pt>
                <c:pt idx="59">
                  <c:v>44336</c:v>
                </c:pt>
                <c:pt idx="60">
                  <c:v>44337</c:v>
                </c:pt>
                <c:pt idx="61">
                  <c:v>44340</c:v>
                </c:pt>
                <c:pt idx="62">
                  <c:v>44341</c:v>
                </c:pt>
                <c:pt idx="63">
                  <c:v>44342</c:v>
                </c:pt>
                <c:pt idx="64">
                  <c:v>44343</c:v>
                </c:pt>
                <c:pt idx="65">
                  <c:v>44344</c:v>
                </c:pt>
                <c:pt idx="66">
                  <c:v>44347</c:v>
                </c:pt>
                <c:pt idx="67">
                  <c:v>44348</c:v>
                </c:pt>
                <c:pt idx="68">
                  <c:v>44349</c:v>
                </c:pt>
                <c:pt idx="69">
                  <c:v>44350</c:v>
                </c:pt>
                <c:pt idx="70">
                  <c:v>44351</c:v>
                </c:pt>
                <c:pt idx="71">
                  <c:v>44354</c:v>
                </c:pt>
                <c:pt idx="72">
                  <c:v>44355</c:v>
                </c:pt>
                <c:pt idx="73">
                  <c:v>44356</c:v>
                </c:pt>
                <c:pt idx="74">
                  <c:v>44357</c:v>
                </c:pt>
                <c:pt idx="75">
                  <c:v>44358</c:v>
                </c:pt>
                <c:pt idx="76">
                  <c:v>44361</c:v>
                </c:pt>
                <c:pt idx="77">
                  <c:v>44362</c:v>
                </c:pt>
                <c:pt idx="78">
                  <c:v>44363</c:v>
                </c:pt>
                <c:pt idx="79">
                  <c:v>44364</c:v>
                </c:pt>
                <c:pt idx="80">
                  <c:v>44365</c:v>
                </c:pt>
                <c:pt idx="81">
                  <c:v>44368</c:v>
                </c:pt>
                <c:pt idx="82">
                  <c:v>44369</c:v>
                </c:pt>
                <c:pt idx="83">
                  <c:v>44370</c:v>
                </c:pt>
                <c:pt idx="84">
                  <c:v>44371</c:v>
                </c:pt>
                <c:pt idx="85">
                  <c:v>44372</c:v>
                </c:pt>
                <c:pt idx="86">
                  <c:v>44375</c:v>
                </c:pt>
                <c:pt idx="87">
                  <c:v>44376</c:v>
                </c:pt>
                <c:pt idx="88">
                  <c:v>44377</c:v>
                </c:pt>
                <c:pt idx="89">
                  <c:v>44378</c:v>
                </c:pt>
                <c:pt idx="90">
                  <c:v>44379</c:v>
                </c:pt>
                <c:pt idx="91">
                  <c:v>44382</c:v>
                </c:pt>
                <c:pt idx="92">
                  <c:v>44383</c:v>
                </c:pt>
                <c:pt idx="93">
                  <c:v>44384</c:v>
                </c:pt>
                <c:pt idx="94">
                  <c:v>44385</c:v>
                </c:pt>
                <c:pt idx="95">
                  <c:v>44386</c:v>
                </c:pt>
                <c:pt idx="96">
                  <c:v>44389</c:v>
                </c:pt>
                <c:pt idx="97">
                  <c:v>44390</c:v>
                </c:pt>
                <c:pt idx="98">
                  <c:v>44391</c:v>
                </c:pt>
                <c:pt idx="99">
                  <c:v>44392</c:v>
                </c:pt>
                <c:pt idx="100">
                  <c:v>44393</c:v>
                </c:pt>
                <c:pt idx="101">
                  <c:v>44396</c:v>
                </c:pt>
                <c:pt idx="102">
                  <c:v>44397</c:v>
                </c:pt>
                <c:pt idx="103">
                  <c:v>44398</c:v>
                </c:pt>
                <c:pt idx="104">
                  <c:v>44399</c:v>
                </c:pt>
                <c:pt idx="105">
                  <c:v>44400</c:v>
                </c:pt>
                <c:pt idx="106">
                  <c:v>44403</c:v>
                </c:pt>
                <c:pt idx="107">
                  <c:v>44404</c:v>
                </c:pt>
                <c:pt idx="108">
                  <c:v>44405</c:v>
                </c:pt>
                <c:pt idx="109">
                  <c:v>44406</c:v>
                </c:pt>
                <c:pt idx="110">
                  <c:v>44407</c:v>
                </c:pt>
                <c:pt idx="111">
                  <c:v>44410</c:v>
                </c:pt>
                <c:pt idx="112">
                  <c:v>44411</c:v>
                </c:pt>
                <c:pt idx="113">
                  <c:v>44412</c:v>
                </c:pt>
                <c:pt idx="114">
                  <c:v>44413</c:v>
                </c:pt>
                <c:pt idx="115">
                  <c:v>44414</c:v>
                </c:pt>
                <c:pt idx="116">
                  <c:v>44417</c:v>
                </c:pt>
                <c:pt idx="117">
                  <c:v>44418</c:v>
                </c:pt>
                <c:pt idx="118">
                  <c:v>44419</c:v>
                </c:pt>
                <c:pt idx="119">
                  <c:v>44420</c:v>
                </c:pt>
                <c:pt idx="120">
                  <c:v>44421</c:v>
                </c:pt>
                <c:pt idx="121">
                  <c:v>44424</c:v>
                </c:pt>
                <c:pt idx="122">
                  <c:v>44425</c:v>
                </c:pt>
                <c:pt idx="123">
                  <c:v>44426</c:v>
                </c:pt>
                <c:pt idx="124">
                  <c:v>44427</c:v>
                </c:pt>
                <c:pt idx="125">
                  <c:v>44428</c:v>
                </c:pt>
                <c:pt idx="126">
                  <c:v>44431</c:v>
                </c:pt>
                <c:pt idx="127">
                  <c:v>44432</c:v>
                </c:pt>
                <c:pt idx="128">
                  <c:v>44433</c:v>
                </c:pt>
                <c:pt idx="129">
                  <c:v>44434</c:v>
                </c:pt>
                <c:pt idx="130">
                  <c:v>44435</c:v>
                </c:pt>
                <c:pt idx="131">
                  <c:v>44438</c:v>
                </c:pt>
                <c:pt idx="132">
                  <c:v>44439</c:v>
                </c:pt>
                <c:pt idx="133">
                  <c:v>44440</c:v>
                </c:pt>
                <c:pt idx="134">
                  <c:v>44441</c:v>
                </c:pt>
                <c:pt idx="135">
                  <c:v>44442</c:v>
                </c:pt>
                <c:pt idx="136">
                  <c:v>44445</c:v>
                </c:pt>
                <c:pt idx="137">
                  <c:v>44446</c:v>
                </c:pt>
                <c:pt idx="138">
                  <c:v>44447</c:v>
                </c:pt>
                <c:pt idx="139">
                  <c:v>44448</c:v>
                </c:pt>
                <c:pt idx="140">
                  <c:v>44449</c:v>
                </c:pt>
                <c:pt idx="141">
                  <c:v>44452</c:v>
                </c:pt>
                <c:pt idx="142">
                  <c:v>44453</c:v>
                </c:pt>
                <c:pt idx="143">
                  <c:v>44454</c:v>
                </c:pt>
                <c:pt idx="144">
                  <c:v>44455</c:v>
                </c:pt>
                <c:pt idx="145">
                  <c:v>44456</c:v>
                </c:pt>
                <c:pt idx="146">
                  <c:v>44459</c:v>
                </c:pt>
                <c:pt idx="147">
                  <c:v>44460</c:v>
                </c:pt>
                <c:pt idx="148">
                  <c:v>44461</c:v>
                </c:pt>
                <c:pt idx="149">
                  <c:v>44462</c:v>
                </c:pt>
                <c:pt idx="150">
                  <c:v>44463</c:v>
                </c:pt>
                <c:pt idx="151">
                  <c:v>44466</c:v>
                </c:pt>
                <c:pt idx="152">
                  <c:v>44467</c:v>
                </c:pt>
                <c:pt idx="153">
                  <c:v>44468</c:v>
                </c:pt>
                <c:pt idx="154">
                  <c:v>44469</c:v>
                </c:pt>
                <c:pt idx="155">
                  <c:v>44470</c:v>
                </c:pt>
                <c:pt idx="156">
                  <c:v>44473</c:v>
                </c:pt>
                <c:pt idx="157">
                  <c:v>44474</c:v>
                </c:pt>
                <c:pt idx="158">
                  <c:v>44475</c:v>
                </c:pt>
                <c:pt idx="159">
                  <c:v>44476</c:v>
                </c:pt>
                <c:pt idx="160">
                  <c:v>44477</c:v>
                </c:pt>
                <c:pt idx="161">
                  <c:v>44480</c:v>
                </c:pt>
                <c:pt idx="162">
                  <c:v>44481</c:v>
                </c:pt>
                <c:pt idx="163">
                  <c:v>44482</c:v>
                </c:pt>
                <c:pt idx="164">
                  <c:v>44483</c:v>
                </c:pt>
                <c:pt idx="165">
                  <c:v>44484</c:v>
                </c:pt>
                <c:pt idx="166">
                  <c:v>44487</c:v>
                </c:pt>
                <c:pt idx="167">
                  <c:v>44488</c:v>
                </c:pt>
                <c:pt idx="168">
                  <c:v>44489</c:v>
                </c:pt>
                <c:pt idx="169">
                  <c:v>44490</c:v>
                </c:pt>
                <c:pt idx="170">
                  <c:v>44491</c:v>
                </c:pt>
                <c:pt idx="171">
                  <c:v>44494</c:v>
                </c:pt>
                <c:pt idx="172">
                  <c:v>44495</c:v>
                </c:pt>
                <c:pt idx="173">
                  <c:v>44496</c:v>
                </c:pt>
                <c:pt idx="174">
                  <c:v>44497</c:v>
                </c:pt>
                <c:pt idx="175">
                  <c:v>44498</c:v>
                </c:pt>
                <c:pt idx="176">
                  <c:v>44501</c:v>
                </c:pt>
                <c:pt idx="177">
                  <c:v>44502</c:v>
                </c:pt>
                <c:pt idx="178">
                  <c:v>44503</c:v>
                </c:pt>
                <c:pt idx="179">
                  <c:v>44504</c:v>
                </c:pt>
                <c:pt idx="180">
                  <c:v>44505</c:v>
                </c:pt>
                <c:pt idx="181">
                  <c:v>44508</c:v>
                </c:pt>
                <c:pt idx="182">
                  <c:v>44509</c:v>
                </c:pt>
                <c:pt idx="183">
                  <c:v>44510</c:v>
                </c:pt>
                <c:pt idx="184">
                  <c:v>44511</c:v>
                </c:pt>
                <c:pt idx="185">
                  <c:v>44512</c:v>
                </c:pt>
                <c:pt idx="186">
                  <c:v>44515</c:v>
                </c:pt>
                <c:pt idx="187">
                  <c:v>44516</c:v>
                </c:pt>
                <c:pt idx="188">
                  <c:v>44517</c:v>
                </c:pt>
                <c:pt idx="189">
                  <c:v>44518</c:v>
                </c:pt>
                <c:pt idx="190">
                  <c:v>44519</c:v>
                </c:pt>
                <c:pt idx="191">
                  <c:v>44522</c:v>
                </c:pt>
                <c:pt idx="192">
                  <c:v>44523</c:v>
                </c:pt>
                <c:pt idx="193">
                  <c:v>44524</c:v>
                </c:pt>
                <c:pt idx="194">
                  <c:v>44525</c:v>
                </c:pt>
                <c:pt idx="195">
                  <c:v>44526</c:v>
                </c:pt>
                <c:pt idx="196">
                  <c:v>44529</c:v>
                </c:pt>
                <c:pt idx="197">
                  <c:v>44530</c:v>
                </c:pt>
                <c:pt idx="198">
                  <c:v>44531</c:v>
                </c:pt>
                <c:pt idx="199">
                  <c:v>44532</c:v>
                </c:pt>
                <c:pt idx="200">
                  <c:v>44533</c:v>
                </c:pt>
                <c:pt idx="201">
                  <c:v>44536</c:v>
                </c:pt>
                <c:pt idx="202">
                  <c:v>44537</c:v>
                </c:pt>
                <c:pt idx="203">
                  <c:v>44538</c:v>
                </c:pt>
                <c:pt idx="204">
                  <c:v>44539</c:v>
                </c:pt>
                <c:pt idx="205">
                  <c:v>44540</c:v>
                </c:pt>
                <c:pt idx="206">
                  <c:v>44543</c:v>
                </c:pt>
                <c:pt idx="207">
                  <c:v>44544</c:v>
                </c:pt>
                <c:pt idx="208">
                  <c:v>44545</c:v>
                </c:pt>
                <c:pt idx="209">
                  <c:v>44546</c:v>
                </c:pt>
                <c:pt idx="210">
                  <c:v>44547</c:v>
                </c:pt>
                <c:pt idx="211">
                  <c:v>44550</c:v>
                </c:pt>
                <c:pt idx="212">
                  <c:v>44551</c:v>
                </c:pt>
                <c:pt idx="213">
                  <c:v>44552</c:v>
                </c:pt>
                <c:pt idx="214">
                  <c:v>44553</c:v>
                </c:pt>
                <c:pt idx="215">
                  <c:v>44554</c:v>
                </c:pt>
                <c:pt idx="216">
                  <c:v>44557</c:v>
                </c:pt>
                <c:pt idx="217">
                  <c:v>44558</c:v>
                </c:pt>
                <c:pt idx="218">
                  <c:v>44559</c:v>
                </c:pt>
                <c:pt idx="219">
                  <c:v>44560</c:v>
                </c:pt>
                <c:pt idx="220">
                  <c:v>44561</c:v>
                </c:pt>
                <c:pt idx="221">
                  <c:v>44564</c:v>
                </c:pt>
                <c:pt idx="222">
                  <c:v>44565</c:v>
                </c:pt>
                <c:pt idx="223">
                  <c:v>44566</c:v>
                </c:pt>
                <c:pt idx="224">
                  <c:v>44567</c:v>
                </c:pt>
                <c:pt idx="225">
                  <c:v>44568</c:v>
                </c:pt>
                <c:pt idx="226">
                  <c:v>44571</c:v>
                </c:pt>
                <c:pt idx="227">
                  <c:v>44572</c:v>
                </c:pt>
                <c:pt idx="228">
                  <c:v>44573</c:v>
                </c:pt>
                <c:pt idx="229">
                  <c:v>44574</c:v>
                </c:pt>
                <c:pt idx="230">
                  <c:v>44575</c:v>
                </c:pt>
                <c:pt idx="231">
                  <c:v>44578</c:v>
                </c:pt>
                <c:pt idx="232">
                  <c:v>44579</c:v>
                </c:pt>
                <c:pt idx="233">
                  <c:v>44580</c:v>
                </c:pt>
                <c:pt idx="234">
                  <c:v>44581</c:v>
                </c:pt>
                <c:pt idx="235">
                  <c:v>44582</c:v>
                </c:pt>
                <c:pt idx="236">
                  <c:v>44585</c:v>
                </c:pt>
                <c:pt idx="237">
                  <c:v>44586</c:v>
                </c:pt>
                <c:pt idx="238">
                  <c:v>44587</c:v>
                </c:pt>
                <c:pt idx="239">
                  <c:v>44588</c:v>
                </c:pt>
                <c:pt idx="240">
                  <c:v>44589</c:v>
                </c:pt>
                <c:pt idx="241">
                  <c:v>44592</c:v>
                </c:pt>
                <c:pt idx="242">
                  <c:v>44593</c:v>
                </c:pt>
                <c:pt idx="243">
                  <c:v>44594</c:v>
                </c:pt>
                <c:pt idx="244">
                  <c:v>44595</c:v>
                </c:pt>
                <c:pt idx="245">
                  <c:v>44596</c:v>
                </c:pt>
                <c:pt idx="246">
                  <c:v>44599</c:v>
                </c:pt>
                <c:pt idx="247">
                  <c:v>44600</c:v>
                </c:pt>
                <c:pt idx="248">
                  <c:v>44601</c:v>
                </c:pt>
                <c:pt idx="249">
                  <c:v>44602</c:v>
                </c:pt>
                <c:pt idx="250">
                  <c:v>44603</c:v>
                </c:pt>
                <c:pt idx="251">
                  <c:v>44606</c:v>
                </c:pt>
                <c:pt idx="252">
                  <c:v>44607</c:v>
                </c:pt>
                <c:pt idx="253">
                  <c:v>44608</c:v>
                </c:pt>
                <c:pt idx="254">
                  <c:v>44609</c:v>
                </c:pt>
                <c:pt idx="255">
                  <c:v>44610</c:v>
                </c:pt>
                <c:pt idx="256">
                  <c:v>44613</c:v>
                </c:pt>
                <c:pt idx="257">
                  <c:v>44614</c:v>
                </c:pt>
                <c:pt idx="258">
                  <c:v>44615</c:v>
                </c:pt>
                <c:pt idx="259">
                  <c:v>44616</c:v>
                </c:pt>
                <c:pt idx="260">
                  <c:v>44617</c:v>
                </c:pt>
                <c:pt idx="261">
                  <c:v>44620</c:v>
                </c:pt>
                <c:pt idx="262">
                  <c:v>44621</c:v>
                </c:pt>
              </c:numCache>
            </c:numRef>
          </c:cat>
          <c:val>
            <c:numRef>
              <c:f>'MSCI Chart'!$H$8:$H$291</c:f>
              <c:numCache>
                <c:formatCode>0</c:formatCode>
                <c:ptCount val="284"/>
                <c:pt idx="0" formatCode="0.0">
                  <c:v>100</c:v>
                </c:pt>
                <c:pt idx="1">
                  <c:v>102.08261365428268</c:v>
                </c:pt>
                <c:pt idx="2">
                  <c:v>101.51589161358459</c:v>
                </c:pt>
                <c:pt idx="3">
                  <c:v>100.5417853907903</c:v>
                </c:pt>
                <c:pt idx="4">
                  <c:v>99.250653670271461</c:v>
                </c:pt>
                <c:pt idx="5">
                  <c:v>100.06039803293834</c:v>
                </c:pt>
                <c:pt idx="6">
                  <c:v>99.843229149476855</c:v>
                </c:pt>
                <c:pt idx="7">
                  <c:v>101.28005691423621</c:v>
                </c:pt>
                <c:pt idx="8">
                  <c:v>101.77614956122494</c:v>
                </c:pt>
                <c:pt idx="9">
                  <c:v>102.90291942161637</c:v>
                </c:pt>
                <c:pt idx="10">
                  <c:v>102.94468831021189</c:v>
                </c:pt>
                <c:pt idx="11">
                  <c:v>103.48170640028455</c:v>
                </c:pt>
                <c:pt idx="12">
                  <c:v>103.54896201194755</c:v>
                </c:pt>
                <c:pt idx="13">
                  <c:v>103.66275381292375</c:v>
                </c:pt>
                <c:pt idx="14">
                  <c:v>102.7636042260287</c:v>
                </c:pt>
                <c:pt idx="15">
                  <c:v>102.53877098987495</c:v>
                </c:pt>
                <c:pt idx="16">
                  <c:v>103.034203549072</c:v>
                </c:pt>
                <c:pt idx="17">
                  <c:v>102.24063133730118</c:v>
                </c:pt>
                <c:pt idx="18">
                  <c:v>101.47962345658637</c:v>
                </c:pt>
                <c:pt idx="19">
                  <c:v>101.76555148501414</c:v>
                </c:pt>
                <c:pt idx="20">
                  <c:v>103.22515227858636</c:v>
                </c:pt>
                <c:pt idx="21">
                  <c:v>103.10325606639013</c:v>
                </c:pt>
                <c:pt idx="22">
                  <c:v>102.86749471012973</c:v>
                </c:pt>
                <c:pt idx="23">
                  <c:v>103.10934354269114</c:v>
                </c:pt>
                <c:pt idx="24">
                  <c:v>104.15404248765081</c:v>
                </c:pt>
                <c:pt idx="25">
                  <c:v>104.21642078396422</c:v>
                </c:pt>
                <c:pt idx="26">
                  <c:v>105.35609902783733</c:v>
                </c:pt>
                <c:pt idx="27">
                  <c:v>105.47572160430667</c:v>
                </c:pt>
                <c:pt idx="28">
                  <c:v>105.6561456006982</c:v>
                </c:pt>
                <c:pt idx="29">
                  <c:v>106.18659948439804</c:v>
                </c:pt>
                <c:pt idx="30">
                  <c:v>106.7176767843456</c:v>
                </c:pt>
                <c:pt idx="31">
                  <c:v>106.61345625634873</c:v>
                </c:pt>
                <c:pt idx="32">
                  <c:v>107.01460627596799</c:v>
                </c:pt>
                <c:pt idx="33">
                  <c:v>106.84375355255577</c:v>
                </c:pt>
                <c:pt idx="34">
                  <c:v>107.87840449446439</c:v>
                </c:pt>
                <c:pt idx="35">
                  <c:v>108.3037944046558</c:v>
                </c:pt>
                <c:pt idx="36">
                  <c:v>107.96289573179898</c:v>
                </c:pt>
                <c:pt idx="37">
                  <c:v>106.92615451188341</c:v>
                </c:pt>
                <c:pt idx="38">
                  <c:v>107.55675838219815</c:v>
                </c:pt>
                <c:pt idx="39">
                  <c:v>107.22436750754515</c:v>
                </c:pt>
                <c:pt idx="40">
                  <c:v>108.03851245548989</c:v>
                </c:pt>
                <c:pt idx="41">
                  <c:v>108.40596132618971</c:v>
                </c:pt>
                <c:pt idx="42">
                  <c:v>108.25461786417593</c:v>
                </c:pt>
                <c:pt idx="43">
                  <c:v>108.25003392117819</c:v>
                </c:pt>
                <c:pt idx="44">
                  <c:v>108.66922634043661</c:v>
                </c:pt>
                <c:pt idx="45">
                  <c:v>107.76901327876608</c:v>
                </c:pt>
                <c:pt idx="46">
                  <c:v>108.13242827962785</c:v>
                </c:pt>
                <c:pt idx="47">
                  <c:v>107.17247727281061</c:v>
                </c:pt>
                <c:pt idx="48">
                  <c:v>107.55195440993653</c:v>
                </c:pt>
                <c:pt idx="49">
                  <c:v>108.25531462351161</c:v>
                </c:pt>
                <c:pt idx="50">
                  <c:v>109.25945484082717</c:v>
                </c:pt>
                <c:pt idx="51">
                  <c:v>108.60549119699587</c:v>
                </c:pt>
                <c:pt idx="52">
                  <c:v>107.38645573194567</c:v>
                </c:pt>
                <c:pt idx="53">
                  <c:v>105.49636768356858</c:v>
                </c:pt>
                <c:pt idx="54">
                  <c:v>106.07174420864642</c:v>
                </c:pt>
                <c:pt idx="55">
                  <c:v>107.76391593415258</c:v>
                </c:pt>
                <c:pt idx="56">
                  <c:v>107.60087424960854</c:v>
                </c:pt>
                <c:pt idx="57">
                  <c:v>107.39929077233938</c:v>
                </c:pt>
                <c:pt idx="58">
                  <c:v>106.74866423901047</c:v>
                </c:pt>
                <c:pt idx="59">
                  <c:v>107.89553010550404</c:v>
                </c:pt>
                <c:pt idx="60">
                  <c:v>107.92908456824759</c:v>
                </c:pt>
                <c:pt idx="61">
                  <c:v>108.78375157229247</c:v>
                </c:pt>
                <c:pt idx="62">
                  <c:v>108.74983039410913</c:v>
                </c:pt>
                <c:pt idx="63">
                  <c:v>108.89651657003719</c:v>
                </c:pt>
                <c:pt idx="64">
                  <c:v>108.93806542936882</c:v>
                </c:pt>
                <c:pt idx="65">
                  <c:v>109.25542097098919</c:v>
                </c:pt>
                <c:pt idx="66">
                  <c:v>109.12355009882987</c:v>
                </c:pt>
                <c:pt idx="67">
                  <c:v>109.35546094297213</c:v>
                </c:pt>
                <c:pt idx="68">
                  <c:v>109.50024019861313</c:v>
                </c:pt>
                <c:pt idx="69">
                  <c:v>109.01969628627279</c:v>
                </c:pt>
                <c:pt idx="70">
                  <c:v>109.9177090553044</c:v>
                </c:pt>
                <c:pt idx="71">
                  <c:v>110.05027668679939</c:v>
                </c:pt>
                <c:pt idx="72">
                  <c:v>110.08188755771187</c:v>
                </c:pt>
                <c:pt idx="73">
                  <c:v>109.89141555826927</c:v>
                </c:pt>
                <c:pt idx="74">
                  <c:v>110.28827500724267</c:v>
                </c:pt>
                <c:pt idx="75">
                  <c:v>110.47933375138898</c:v>
                </c:pt>
                <c:pt idx="76">
                  <c:v>110.74369891195533</c:v>
                </c:pt>
                <c:pt idx="77">
                  <c:v>110.64787616753034</c:v>
                </c:pt>
                <c:pt idx="78">
                  <c:v>110.32553329592841</c:v>
                </c:pt>
                <c:pt idx="79">
                  <c:v>109.88668492909562</c:v>
                </c:pt>
                <c:pt idx="80">
                  <c:v>108.33459850160077</c:v>
                </c:pt>
                <c:pt idx="81">
                  <c:v>109.35846800957866</c:v>
                </c:pt>
                <c:pt idx="82">
                  <c:v>110.05629082001245</c:v>
                </c:pt>
                <c:pt idx="83">
                  <c:v>109.9413988727168</c:v>
                </c:pt>
                <c:pt idx="84">
                  <c:v>110.50456377364863</c:v>
                </c:pt>
                <c:pt idx="85">
                  <c:v>110.92911023832842</c:v>
                </c:pt>
                <c:pt idx="86">
                  <c:v>110.93908376147365</c:v>
                </c:pt>
                <c:pt idx="87">
                  <c:v>110.91054856962649</c:v>
                </c:pt>
                <c:pt idx="88">
                  <c:v>110.64620405513939</c:v>
                </c:pt>
                <c:pt idx="89">
                  <c:v>111.04858513849015</c:v>
                </c:pt>
                <c:pt idx="90">
                  <c:v>111.70473620324843</c:v>
                </c:pt>
                <c:pt idx="91">
                  <c:v>111.84205466993782</c:v>
                </c:pt>
                <c:pt idx="92">
                  <c:v>111.57778159161842</c:v>
                </c:pt>
                <c:pt idx="93">
                  <c:v>111.83555691240275</c:v>
                </c:pt>
                <c:pt idx="94">
                  <c:v>110.83002721028569</c:v>
                </c:pt>
                <c:pt idx="95">
                  <c:v>111.96246436442718</c:v>
                </c:pt>
                <c:pt idx="96">
                  <c:v>112.51779838718555</c:v>
                </c:pt>
                <c:pt idx="97">
                  <c:v>112.18812498395624</c:v>
                </c:pt>
                <c:pt idx="98">
                  <c:v>112.16296720463826</c:v>
                </c:pt>
                <c:pt idx="99">
                  <c:v>111.61041842231687</c:v>
                </c:pt>
                <c:pt idx="100">
                  <c:v>110.91852998448798</c:v>
                </c:pt>
                <c:pt idx="101">
                  <c:v>109.11788603217565</c:v>
                </c:pt>
                <c:pt idx="102">
                  <c:v>110.22940452746884</c:v>
                </c:pt>
                <c:pt idx="103">
                  <c:v>111.36117436952451</c:v>
                </c:pt>
                <c:pt idx="104">
                  <c:v>111.72345255252283</c:v>
                </c:pt>
                <c:pt idx="105">
                  <c:v>112.66884495637922</c:v>
                </c:pt>
                <c:pt idx="106">
                  <c:v>112.96320743992287</c:v>
                </c:pt>
                <c:pt idx="107">
                  <c:v>112.54009116545836</c:v>
                </c:pt>
                <c:pt idx="108">
                  <c:v>112.56301088044714</c:v>
                </c:pt>
                <c:pt idx="109">
                  <c:v>113.30839668342558</c:v>
                </c:pt>
                <c:pt idx="110">
                  <c:v>112.55409969525947</c:v>
                </c:pt>
                <c:pt idx="111">
                  <c:v>112.84237470250211</c:v>
                </c:pt>
                <c:pt idx="112">
                  <c:v>113.40718982291312</c:v>
                </c:pt>
                <c:pt idx="113">
                  <c:v>113.16218723756927</c:v>
                </c:pt>
                <c:pt idx="114">
                  <c:v>113.76345387269841</c:v>
                </c:pt>
                <c:pt idx="115">
                  <c:v>113.6107535635573</c:v>
                </c:pt>
                <c:pt idx="116">
                  <c:v>113.57400867648732</c:v>
                </c:pt>
                <c:pt idx="117">
                  <c:v>113.66323054299556</c:v>
                </c:pt>
                <c:pt idx="118">
                  <c:v>114.04729162311921</c:v>
                </c:pt>
                <c:pt idx="119">
                  <c:v>114.25884976035145</c:v>
                </c:pt>
                <c:pt idx="120">
                  <c:v>114.60286551444678</c:v>
                </c:pt>
                <c:pt idx="121">
                  <c:v>114.48804691023906</c:v>
                </c:pt>
                <c:pt idx="122">
                  <c:v>113.68611358644033</c:v>
                </c:pt>
                <c:pt idx="123">
                  <c:v>112.87552577826185</c:v>
                </c:pt>
                <c:pt idx="124">
                  <c:v>112.33315364276783</c:v>
                </c:pt>
                <c:pt idx="125">
                  <c:v>112.94908889548977</c:v>
                </c:pt>
                <c:pt idx="126">
                  <c:v>114.1427476521044</c:v>
                </c:pt>
                <c:pt idx="127">
                  <c:v>114.48845029722285</c:v>
                </c:pt>
                <c:pt idx="128">
                  <c:v>114.62897565376194</c:v>
                </c:pt>
                <c:pt idx="129">
                  <c:v>114.05843977248973</c:v>
                </c:pt>
                <c:pt idx="130">
                  <c:v>114.91648055858093</c:v>
                </c:pt>
                <c:pt idx="131">
                  <c:v>115.39174376858786</c:v>
                </c:pt>
                <c:pt idx="132">
                  <c:v>115.19819135945079</c:v>
                </c:pt>
                <c:pt idx="133">
                  <c:v>115.57642166408131</c:v>
                </c:pt>
                <c:pt idx="134">
                  <c:v>115.93561943738514</c:v>
                </c:pt>
                <c:pt idx="135">
                  <c:v>116.0282884290277</c:v>
                </c:pt>
                <c:pt idx="136">
                  <c:v>116.23573935333395</c:v>
                </c:pt>
                <c:pt idx="137">
                  <c:v>115.8430971319185</c:v>
                </c:pt>
                <c:pt idx="138">
                  <c:v>115.40380870655794</c:v>
                </c:pt>
                <c:pt idx="139">
                  <c:v>115.00339211781831</c:v>
                </c:pt>
                <c:pt idx="140">
                  <c:v>114.49101730530157</c:v>
                </c:pt>
                <c:pt idx="141">
                  <c:v>114.63898698526899</c:v>
                </c:pt>
                <c:pt idx="142">
                  <c:v>114.27139142839326</c:v>
                </c:pt>
                <c:pt idx="143">
                  <c:v>114.698101514168</c:v>
                </c:pt>
                <c:pt idx="144">
                  <c:v>114.50957310655645</c:v>
                </c:pt>
                <c:pt idx="145">
                  <c:v>113.55765316787127</c:v>
                </c:pt>
                <c:pt idx="146">
                  <c:v>111.70896729264987</c:v>
                </c:pt>
                <c:pt idx="147">
                  <c:v>111.83629089335545</c:v>
                </c:pt>
                <c:pt idx="148">
                  <c:v>112.7413445988316</c:v>
                </c:pt>
                <c:pt idx="149">
                  <c:v>113.91725432815893</c:v>
                </c:pt>
                <c:pt idx="150">
                  <c:v>113.81123689450693</c:v>
                </c:pt>
                <c:pt idx="151">
                  <c:v>113.51892801742629</c:v>
                </c:pt>
                <c:pt idx="152">
                  <c:v>111.21390144889267</c:v>
                </c:pt>
                <c:pt idx="153">
                  <c:v>111.06890216398777</c:v>
                </c:pt>
                <c:pt idx="154">
                  <c:v>110.25681082250603</c:v>
                </c:pt>
                <c:pt idx="155">
                  <c:v>110.85180662361425</c:v>
                </c:pt>
                <c:pt idx="156">
                  <c:v>109.75375058216072</c:v>
                </c:pt>
                <c:pt idx="157">
                  <c:v>110.60841758620559</c:v>
                </c:pt>
                <c:pt idx="158">
                  <c:v>110.59954307256193</c:v>
                </c:pt>
                <c:pt idx="159">
                  <c:v>111.72242574929128</c:v>
                </c:pt>
                <c:pt idx="160">
                  <c:v>111.6187919659981</c:v>
                </c:pt>
                <c:pt idx="161">
                  <c:v>111.17238926110501</c:v>
                </c:pt>
                <c:pt idx="162">
                  <c:v>110.92122585637219</c:v>
                </c:pt>
                <c:pt idx="163">
                  <c:v>111.44529889141917</c:v>
                </c:pt>
                <c:pt idx="164">
                  <c:v>113.11664117994356</c:v>
                </c:pt>
                <c:pt idx="165">
                  <c:v>114.02891917958418</c:v>
                </c:pt>
                <c:pt idx="166">
                  <c:v>114.19559134698244</c:v>
                </c:pt>
                <c:pt idx="167">
                  <c:v>115.00907620713551</c:v>
                </c:pt>
                <c:pt idx="168">
                  <c:v>115.43098232064861</c:v>
                </c:pt>
                <c:pt idx="169">
                  <c:v>115.60069822619738</c:v>
                </c:pt>
                <c:pt idx="170">
                  <c:v>115.55782919128239</c:v>
                </c:pt>
                <c:pt idx="171">
                  <c:v>115.87782508406946</c:v>
                </c:pt>
                <c:pt idx="172">
                  <c:v>116.15484192730962</c:v>
                </c:pt>
                <c:pt idx="173">
                  <c:v>115.59057688005832</c:v>
                </c:pt>
                <c:pt idx="174">
                  <c:v>116.59512048435768</c:v>
                </c:pt>
                <c:pt idx="175">
                  <c:v>116.42206746830655</c:v>
                </c:pt>
                <c:pt idx="176">
                  <c:v>117.00188125020621</c:v>
                </c:pt>
                <c:pt idx="177">
                  <c:v>117.19011628546589</c:v>
                </c:pt>
                <c:pt idx="178">
                  <c:v>117.80194432526186</c:v>
                </c:pt>
                <c:pt idx="179">
                  <c:v>118.25227088536101</c:v>
                </c:pt>
                <c:pt idx="180">
                  <c:v>118.53178139359196</c:v>
                </c:pt>
                <c:pt idx="181">
                  <c:v>118.72900095712723</c:v>
                </c:pt>
                <c:pt idx="182">
                  <c:v>118.36829965052011</c:v>
                </c:pt>
                <c:pt idx="183">
                  <c:v>117.40651506650377</c:v>
                </c:pt>
                <c:pt idx="184">
                  <c:v>117.42206380115215</c:v>
                </c:pt>
                <c:pt idx="185">
                  <c:v>118.22227356238373</c:v>
                </c:pt>
                <c:pt idx="186">
                  <c:v>118.3187563946004</c:v>
                </c:pt>
                <c:pt idx="187">
                  <c:v>118.52052322958944</c:v>
                </c:pt>
                <c:pt idx="188">
                  <c:v>118.12025332702574</c:v>
                </c:pt>
                <c:pt idx="189">
                  <c:v>118.31604270034572</c:v>
                </c:pt>
                <c:pt idx="190">
                  <c:v>118.07885115387005</c:v>
                </c:pt>
                <c:pt idx="191">
                  <c:v>117.40365468607317</c:v>
                </c:pt>
                <c:pt idx="192">
                  <c:v>117.23463553986004</c:v>
                </c:pt>
                <c:pt idx="193">
                  <c:v>117.28014492594171</c:v>
                </c:pt>
                <c:pt idx="194">
                  <c:v>117.43834596668013</c:v>
                </c:pt>
                <c:pt idx="195">
                  <c:v>114.85443230616328</c:v>
                </c:pt>
                <c:pt idx="196">
                  <c:v>115.72545481882412</c:v>
                </c:pt>
                <c:pt idx="197">
                  <c:v>113.74764843724203</c:v>
                </c:pt>
                <c:pt idx="198">
                  <c:v>113.2408110278666</c:v>
                </c:pt>
                <c:pt idx="199">
                  <c:v>114.09129747589752</c:v>
                </c:pt>
                <c:pt idx="200">
                  <c:v>113.18459355094217</c:v>
                </c:pt>
                <c:pt idx="201">
                  <c:v>114.31642408440311</c:v>
                </c:pt>
                <c:pt idx="202">
                  <c:v>116.76850354430462</c:v>
                </c:pt>
                <c:pt idx="203">
                  <c:v>117.21659314022088</c:v>
                </c:pt>
                <c:pt idx="204">
                  <c:v>116.34006989596273</c:v>
                </c:pt>
                <c:pt idx="205">
                  <c:v>116.91827012992717</c:v>
                </c:pt>
                <c:pt idx="206">
                  <c:v>115.9553487280474</c:v>
                </c:pt>
                <c:pt idx="207">
                  <c:v>115.07743196511792</c:v>
                </c:pt>
                <c:pt idx="208">
                  <c:v>116.43618601273958</c:v>
                </c:pt>
                <c:pt idx="209">
                  <c:v>116.15099141519144</c:v>
                </c:pt>
                <c:pt idx="210">
                  <c:v>115.13955356062345</c:v>
                </c:pt>
                <c:pt idx="211">
                  <c:v>113.7000121016094</c:v>
                </c:pt>
                <c:pt idx="212">
                  <c:v>115.6001114814936</c:v>
                </c:pt>
                <c:pt idx="213">
                  <c:v>116.74837086665849</c:v>
                </c:pt>
                <c:pt idx="214">
                  <c:v>117.57197707295057</c:v>
                </c:pt>
                <c:pt idx="215">
                  <c:v>117.60028750490468</c:v>
                </c:pt>
                <c:pt idx="216">
                  <c:v>118.73142127902997</c:v>
                </c:pt>
                <c:pt idx="217">
                  <c:v>118.78950900469749</c:v>
                </c:pt>
                <c:pt idx="218">
                  <c:v>118.96054508582962</c:v>
                </c:pt>
                <c:pt idx="219">
                  <c:v>118.70831820632131</c:v>
                </c:pt>
                <c:pt idx="220">
                  <c:v>118.51241881836938</c:v>
                </c:pt>
                <c:pt idx="221">
                  <c:v>118.86827948117089</c:v>
                </c:pt>
                <c:pt idx="222">
                  <c:v>119.11350209577863</c:v>
                </c:pt>
                <c:pt idx="223">
                  <c:v>117.45994550608555</c:v>
                </c:pt>
                <c:pt idx="224">
                  <c:v>116.7850790821845</c:v>
                </c:pt>
                <c:pt idx="225">
                  <c:v>116.52522452152793</c:v>
                </c:pt>
                <c:pt idx="226">
                  <c:v>116.10724226322091</c:v>
                </c:pt>
                <c:pt idx="227">
                  <c:v>117.1066518513628</c:v>
                </c:pt>
                <c:pt idx="228">
                  <c:v>117.86923660846882</c:v>
                </c:pt>
                <c:pt idx="229">
                  <c:v>116.69116325804656</c:v>
                </c:pt>
                <c:pt idx="230">
                  <c:v>116.36320964021539</c:v>
                </c:pt>
                <c:pt idx="231">
                  <c:v>116.47582795178417</c:v>
                </c:pt>
                <c:pt idx="232">
                  <c:v>114.56949440942303</c:v>
                </c:pt>
                <c:pt idx="233">
                  <c:v>113.63044618267554</c:v>
                </c:pt>
                <c:pt idx="234">
                  <c:v>113.03090311011357</c:v>
                </c:pt>
                <c:pt idx="235">
                  <c:v>110.93497768536541</c:v>
                </c:pt>
                <c:pt idx="236">
                  <c:v>110.21687551110956</c:v>
                </c:pt>
                <c:pt idx="237">
                  <c:v>109.11559237378563</c:v>
                </c:pt>
                <c:pt idx="238">
                  <c:v>109.27008958858188</c:v>
                </c:pt>
                <c:pt idx="239">
                  <c:v>108.37691746335589</c:v>
                </c:pt>
                <c:pt idx="240">
                  <c:v>110.22109273866751</c:v>
                </c:pt>
                <c:pt idx="241">
                  <c:v>112.17997660355486</c:v>
                </c:pt>
                <c:pt idx="242">
                  <c:v>113.19097439959506</c:v>
                </c:pt>
                <c:pt idx="243">
                  <c:v>114.18913715524157</c:v>
                </c:pt>
                <c:pt idx="244">
                  <c:v>111.93977799047265</c:v>
                </c:pt>
                <c:pt idx="245">
                  <c:v>112.26861172535941</c:v>
                </c:pt>
                <c:pt idx="246">
                  <c:v>112.19431517725185</c:v>
                </c:pt>
                <c:pt idx="247">
                  <c:v>112.8432548195576</c:v>
                </c:pt>
                <c:pt idx="248">
                  <c:v>114.59593459263409</c:v>
                </c:pt>
                <c:pt idx="249">
                  <c:v>113.24110440021852</c:v>
                </c:pt>
                <c:pt idx="250">
                  <c:v>111.45127635308825</c:v>
                </c:pt>
                <c:pt idx="251">
                  <c:v>110.43459446773083</c:v>
                </c:pt>
                <c:pt idx="252">
                  <c:v>112.00431990788104</c:v>
                </c:pt>
                <c:pt idx="253">
                  <c:v>112.22552266118058</c:v>
                </c:pt>
                <c:pt idx="254">
                  <c:v>110.34793960930133</c:v>
                </c:pt>
                <c:pt idx="255">
                  <c:v>109.41270522312797</c:v>
                </c:pt>
                <c:pt idx="256">
                  <c:v>109.13117777997805</c:v>
                </c:pt>
                <c:pt idx="257">
                  <c:v>108.16788966265844</c:v>
                </c:pt>
                <c:pt idx="258">
                  <c:v>106.68965972474336</c:v>
                </c:pt>
                <c:pt idx="259">
                  <c:v>106.56545320527627</c:v>
                </c:pt>
                <c:pt idx="260">
                  <c:v>109.28868206138081</c:v>
                </c:pt>
                <c:pt idx="261">
                  <c:v>109.20617108742128</c:v>
                </c:pt>
              </c:numCache>
            </c:numRef>
          </c:val>
          <c:smooth val="0"/>
          <c:extLst xmlns:c16r2="http://schemas.microsoft.com/office/drawing/2015/06/chart">
            <c:ext xmlns:c16="http://schemas.microsoft.com/office/drawing/2014/chart" uri="{C3380CC4-5D6E-409C-BE32-E72D297353CC}">
              <c16:uniqueId val="{00000000-A57B-45B4-B055-1A08107460C4}"/>
            </c:ext>
          </c:extLst>
        </c:ser>
        <c:ser>
          <c:idx val="1"/>
          <c:order val="1"/>
          <c:tx>
            <c:strRef>
              <c:f>'MSCI Chart'!$I$7</c:f>
              <c:strCache>
                <c:ptCount val="1"/>
                <c:pt idx="0">
                  <c:v>MSCI India</c:v>
                </c:pt>
              </c:strCache>
            </c:strRef>
          </c:tx>
          <c:spPr>
            <a:ln w="28575" cap="rnd">
              <a:solidFill>
                <a:schemeClr val="accent5"/>
              </a:solidFill>
              <a:round/>
            </a:ln>
            <a:effectLst/>
          </c:spPr>
          <c:marker>
            <c:symbol val="none"/>
          </c:marker>
          <c:cat>
            <c:numRef>
              <c:f>'MSCI Chart'!$G$8:$G$291</c:f>
              <c:numCache>
                <c:formatCode>m/d/yyyy</c:formatCode>
                <c:ptCount val="284"/>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44312</c:v>
                </c:pt>
                <c:pt idx="42">
                  <c:v>44313</c:v>
                </c:pt>
                <c:pt idx="43">
                  <c:v>44314</c:v>
                </c:pt>
                <c:pt idx="44">
                  <c:v>44315</c:v>
                </c:pt>
                <c:pt idx="45">
                  <c:v>44316</c:v>
                </c:pt>
                <c:pt idx="46">
                  <c:v>44319</c:v>
                </c:pt>
                <c:pt idx="47">
                  <c:v>44320</c:v>
                </c:pt>
                <c:pt idx="48">
                  <c:v>44321</c:v>
                </c:pt>
                <c:pt idx="49">
                  <c:v>44322</c:v>
                </c:pt>
                <c:pt idx="50">
                  <c:v>44323</c:v>
                </c:pt>
                <c:pt idx="51">
                  <c:v>44326</c:v>
                </c:pt>
                <c:pt idx="52">
                  <c:v>44327</c:v>
                </c:pt>
                <c:pt idx="53">
                  <c:v>44328</c:v>
                </c:pt>
                <c:pt idx="54">
                  <c:v>44329</c:v>
                </c:pt>
                <c:pt idx="55">
                  <c:v>44330</c:v>
                </c:pt>
                <c:pt idx="56">
                  <c:v>44333</c:v>
                </c:pt>
                <c:pt idx="57">
                  <c:v>44334</c:v>
                </c:pt>
                <c:pt idx="58">
                  <c:v>44335</c:v>
                </c:pt>
                <c:pt idx="59">
                  <c:v>44336</c:v>
                </c:pt>
                <c:pt idx="60">
                  <c:v>44337</c:v>
                </c:pt>
                <c:pt idx="61">
                  <c:v>44340</c:v>
                </c:pt>
                <c:pt idx="62">
                  <c:v>44341</c:v>
                </c:pt>
                <c:pt idx="63">
                  <c:v>44342</c:v>
                </c:pt>
                <c:pt idx="64">
                  <c:v>44343</c:v>
                </c:pt>
                <c:pt idx="65">
                  <c:v>44344</c:v>
                </c:pt>
                <c:pt idx="66">
                  <c:v>44347</c:v>
                </c:pt>
                <c:pt idx="67">
                  <c:v>44348</c:v>
                </c:pt>
                <c:pt idx="68">
                  <c:v>44349</c:v>
                </c:pt>
                <c:pt idx="69">
                  <c:v>44350</c:v>
                </c:pt>
                <c:pt idx="70">
                  <c:v>44351</c:v>
                </c:pt>
                <c:pt idx="71">
                  <c:v>44354</c:v>
                </c:pt>
                <c:pt idx="72">
                  <c:v>44355</c:v>
                </c:pt>
                <c:pt idx="73">
                  <c:v>44356</c:v>
                </c:pt>
                <c:pt idx="74">
                  <c:v>44357</c:v>
                </c:pt>
                <c:pt idx="75">
                  <c:v>44358</c:v>
                </c:pt>
                <c:pt idx="76">
                  <c:v>44361</c:v>
                </c:pt>
                <c:pt idx="77">
                  <c:v>44362</c:v>
                </c:pt>
                <c:pt idx="78">
                  <c:v>44363</c:v>
                </c:pt>
                <c:pt idx="79">
                  <c:v>44364</c:v>
                </c:pt>
                <c:pt idx="80">
                  <c:v>44365</c:v>
                </c:pt>
                <c:pt idx="81">
                  <c:v>44368</c:v>
                </c:pt>
                <c:pt idx="82">
                  <c:v>44369</c:v>
                </c:pt>
                <c:pt idx="83">
                  <c:v>44370</c:v>
                </c:pt>
                <c:pt idx="84">
                  <c:v>44371</c:v>
                </c:pt>
                <c:pt idx="85">
                  <c:v>44372</c:v>
                </c:pt>
                <c:pt idx="86">
                  <c:v>44375</c:v>
                </c:pt>
                <c:pt idx="87">
                  <c:v>44376</c:v>
                </c:pt>
                <c:pt idx="88">
                  <c:v>44377</c:v>
                </c:pt>
                <c:pt idx="89">
                  <c:v>44378</c:v>
                </c:pt>
                <c:pt idx="90">
                  <c:v>44379</c:v>
                </c:pt>
                <c:pt idx="91">
                  <c:v>44382</c:v>
                </c:pt>
                <c:pt idx="92">
                  <c:v>44383</c:v>
                </c:pt>
                <c:pt idx="93">
                  <c:v>44384</c:v>
                </c:pt>
                <c:pt idx="94">
                  <c:v>44385</c:v>
                </c:pt>
                <c:pt idx="95">
                  <c:v>44386</c:v>
                </c:pt>
                <c:pt idx="96">
                  <c:v>44389</c:v>
                </c:pt>
                <c:pt idx="97">
                  <c:v>44390</c:v>
                </c:pt>
                <c:pt idx="98">
                  <c:v>44391</c:v>
                </c:pt>
                <c:pt idx="99">
                  <c:v>44392</c:v>
                </c:pt>
                <c:pt idx="100">
                  <c:v>44393</c:v>
                </c:pt>
                <c:pt idx="101">
                  <c:v>44396</c:v>
                </c:pt>
                <c:pt idx="102">
                  <c:v>44397</c:v>
                </c:pt>
                <c:pt idx="103">
                  <c:v>44398</c:v>
                </c:pt>
                <c:pt idx="104">
                  <c:v>44399</c:v>
                </c:pt>
                <c:pt idx="105">
                  <c:v>44400</c:v>
                </c:pt>
                <c:pt idx="106">
                  <c:v>44403</c:v>
                </c:pt>
                <c:pt idx="107">
                  <c:v>44404</c:v>
                </c:pt>
                <c:pt idx="108">
                  <c:v>44405</c:v>
                </c:pt>
                <c:pt idx="109">
                  <c:v>44406</c:v>
                </c:pt>
                <c:pt idx="110">
                  <c:v>44407</c:v>
                </c:pt>
                <c:pt idx="111">
                  <c:v>44410</c:v>
                </c:pt>
                <c:pt idx="112">
                  <c:v>44411</c:v>
                </c:pt>
                <c:pt idx="113">
                  <c:v>44412</c:v>
                </c:pt>
                <c:pt idx="114">
                  <c:v>44413</c:v>
                </c:pt>
                <c:pt idx="115">
                  <c:v>44414</c:v>
                </c:pt>
                <c:pt idx="116">
                  <c:v>44417</c:v>
                </c:pt>
                <c:pt idx="117">
                  <c:v>44418</c:v>
                </c:pt>
                <c:pt idx="118">
                  <c:v>44419</c:v>
                </c:pt>
                <c:pt idx="119">
                  <c:v>44420</c:v>
                </c:pt>
                <c:pt idx="120">
                  <c:v>44421</c:v>
                </c:pt>
                <c:pt idx="121">
                  <c:v>44424</c:v>
                </c:pt>
                <c:pt idx="122">
                  <c:v>44425</c:v>
                </c:pt>
                <c:pt idx="123">
                  <c:v>44426</c:v>
                </c:pt>
                <c:pt idx="124">
                  <c:v>44427</c:v>
                </c:pt>
                <c:pt idx="125">
                  <c:v>44428</c:v>
                </c:pt>
                <c:pt idx="126">
                  <c:v>44431</c:v>
                </c:pt>
                <c:pt idx="127">
                  <c:v>44432</c:v>
                </c:pt>
                <c:pt idx="128">
                  <c:v>44433</c:v>
                </c:pt>
                <c:pt idx="129">
                  <c:v>44434</c:v>
                </c:pt>
                <c:pt idx="130">
                  <c:v>44435</c:v>
                </c:pt>
                <c:pt idx="131">
                  <c:v>44438</c:v>
                </c:pt>
                <c:pt idx="132">
                  <c:v>44439</c:v>
                </c:pt>
                <c:pt idx="133">
                  <c:v>44440</c:v>
                </c:pt>
                <c:pt idx="134">
                  <c:v>44441</c:v>
                </c:pt>
                <c:pt idx="135">
                  <c:v>44442</c:v>
                </c:pt>
                <c:pt idx="136">
                  <c:v>44445</c:v>
                </c:pt>
                <c:pt idx="137">
                  <c:v>44446</c:v>
                </c:pt>
                <c:pt idx="138">
                  <c:v>44447</c:v>
                </c:pt>
                <c:pt idx="139">
                  <c:v>44448</c:v>
                </c:pt>
                <c:pt idx="140">
                  <c:v>44449</c:v>
                </c:pt>
                <c:pt idx="141">
                  <c:v>44452</c:v>
                </c:pt>
                <c:pt idx="142">
                  <c:v>44453</c:v>
                </c:pt>
                <c:pt idx="143">
                  <c:v>44454</c:v>
                </c:pt>
                <c:pt idx="144">
                  <c:v>44455</c:v>
                </c:pt>
                <c:pt idx="145">
                  <c:v>44456</c:v>
                </c:pt>
                <c:pt idx="146">
                  <c:v>44459</c:v>
                </c:pt>
                <c:pt idx="147">
                  <c:v>44460</c:v>
                </c:pt>
                <c:pt idx="148">
                  <c:v>44461</c:v>
                </c:pt>
                <c:pt idx="149">
                  <c:v>44462</c:v>
                </c:pt>
                <c:pt idx="150">
                  <c:v>44463</c:v>
                </c:pt>
                <c:pt idx="151">
                  <c:v>44466</c:v>
                </c:pt>
                <c:pt idx="152">
                  <c:v>44467</c:v>
                </c:pt>
                <c:pt idx="153">
                  <c:v>44468</c:v>
                </c:pt>
                <c:pt idx="154">
                  <c:v>44469</c:v>
                </c:pt>
                <c:pt idx="155">
                  <c:v>44470</c:v>
                </c:pt>
                <c:pt idx="156">
                  <c:v>44473</c:v>
                </c:pt>
                <c:pt idx="157">
                  <c:v>44474</c:v>
                </c:pt>
                <c:pt idx="158">
                  <c:v>44475</c:v>
                </c:pt>
                <c:pt idx="159">
                  <c:v>44476</c:v>
                </c:pt>
                <c:pt idx="160">
                  <c:v>44477</c:v>
                </c:pt>
                <c:pt idx="161">
                  <c:v>44480</c:v>
                </c:pt>
                <c:pt idx="162">
                  <c:v>44481</c:v>
                </c:pt>
                <c:pt idx="163">
                  <c:v>44482</c:v>
                </c:pt>
                <c:pt idx="164">
                  <c:v>44483</c:v>
                </c:pt>
                <c:pt idx="165">
                  <c:v>44484</c:v>
                </c:pt>
                <c:pt idx="166">
                  <c:v>44487</c:v>
                </c:pt>
                <c:pt idx="167">
                  <c:v>44488</c:v>
                </c:pt>
                <c:pt idx="168">
                  <c:v>44489</c:v>
                </c:pt>
                <c:pt idx="169">
                  <c:v>44490</c:v>
                </c:pt>
                <c:pt idx="170">
                  <c:v>44491</c:v>
                </c:pt>
                <c:pt idx="171">
                  <c:v>44494</c:v>
                </c:pt>
                <c:pt idx="172">
                  <c:v>44495</c:v>
                </c:pt>
                <c:pt idx="173">
                  <c:v>44496</c:v>
                </c:pt>
                <c:pt idx="174">
                  <c:v>44497</c:v>
                </c:pt>
                <c:pt idx="175">
                  <c:v>44498</c:v>
                </c:pt>
                <c:pt idx="176">
                  <c:v>44501</c:v>
                </c:pt>
                <c:pt idx="177">
                  <c:v>44502</c:v>
                </c:pt>
                <c:pt idx="178">
                  <c:v>44503</c:v>
                </c:pt>
                <c:pt idx="179">
                  <c:v>44504</c:v>
                </c:pt>
                <c:pt idx="180">
                  <c:v>44505</c:v>
                </c:pt>
                <c:pt idx="181">
                  <c:v>44508</c:v>
                </c:pt>
                <c:pt idx="182">
                  <c:v>44509</c:v>
                </c:pt>
                <c:pt idx="183">
                  <c:v>44510</c:v>
                </c:pt>
                <c:pt idx="184">
                  <c:v>44511</c:v>
                </c:pt>
                <c:pt idx="185">
                  <c:v>44512</c:v>
                </c:pt>
                <c:pt idx="186">
                  <c:v>44515</c:v>
                </c:pt>
                <c:pt idx="187">
                  <c:v>44516</c:v>
                </c:pt>
                <c:pt idx="188">
                  <c:v>44517</c:v>
                </c:pt>
                <c:pt idx="189">
                  <c:v>44518</c:v>
                </c:pt>
                <c:pt idx="190">
                  <c:v>44519</c:v>
                </c:pt>
                <c:pt idx="191">
                  <c:v>44522</c:v>
                </c:pt>
                <c:pt idx="192">
                  <c:v>44523</c:v>
                </c:pt>
                <c:pt idx="193">
                  <c:v>44524</c:v>
                </c:pt>
                <c:pt idx="194">
                  <c:v>44525</c:v>
                </c:pt>
                <c:pt idx="195">
                  <c:v>44526</c:v>
                </c:pt>
                <c:pt idx="196">
                  <c:v>44529</c:v>
                </c:pt>
                <c:pt idx="197">
                  <c:v>44530</c:v>
                </c:pt>
                <c:pt idx="198">
                  <c:v>44531</c:v>
                </c:pt>
                <c:pt idx="199">
                  <c:v>44532</c:v>
                </c:pt>
                <c:pt idx="200">
                  <c:v>44533</c:v>
                </c:pt>
                <c:pt idx="201">
                  <c:v>44536</c:v>
                </c:pt>
                <c:pt idx="202">
                  <c:v>44537</c:v>
                </c:pt>
                <c:pt idx="203">
                  <c:v>44538</c:v>
                </c:pt>
                <c:pt idx="204">
                  <c:v>44539</c:v>
                </c:pt>
                <c:pt idx="205">
                  <c:v>44540</c:v>
                </c:pt>
                <c:pt idx="206">
                  <c:v>44543</c:v>
                </c:pt>
                <c:pt idx="207">
                  <c:v>44544</c:v>
                </c:pt>
                <c:pt idx="208">
                  <c:v>44545</c:v>
                </c:pt>
                <c:pt idx="209">
                  <c:v>44546</c:v>
                </c:pt>
                <c:pt idx="210">
                  <c:v>44547</c:v>
                </c:pt>
                <c:pt idx="211">
                  <c:v>44550</c:v>
                </c:pt>
                <c:pt idx="212">
                  <c:v>44551</c:v>
                </c:pt>
                <c:pt idx="213">
                  <c:v>44552</c:v>
                </c:pt>
                <c:pt idx="214">
                  <c:v>44553</c:v>
                </c:pt>
                <c:pt idx="215">
                  <c:v>44554</c:v>
                </c:pt>
                <c:pt idx="216">
                  <c:v>44557</c:v>
                </c:pt>
                <c:pt idx="217">
                  <c:v>44558</c:v>
                </c:pt>
                <c:pt idx="218">
                  <c:v>44559</c:v>
                </c:pt>
                <c:pt idx="219">
                  <c:v>44560</c:v>
                </c:pt>
                <c:pt idx="220">
                  <c:v>44561</c:v>
                </c:pt>
                <c:pt idx="221">
                  <c:v>44564</c:v>
                </c:pt>
                <c:pt idx="222">
                  <c:v>44565</c:v>
                </c:pt>
                <c:pt idx="223">
                  <c:v>44566</c:v>
                </c:pt>
                <c:pt idx="224">
                  <c:v>44567</c:v>
                </c:pt>
                <c:pt idx="225">
                  <c:v>44568</c:v>
                </c:pt>
                <c:pt idx="226">
                  <c:v>44571</c:v>
                </c:pt>
                <c:pt idx="227">
                  <c:v>44572</c:v>
                </c:pt>
                <c:pt idx="228">
                  <c:v>44573</c:v>
                </c:pt>
                <c:pt idx="229">
                  <c:v>44574</c:v>
                </c:pt>
                <c:pt idx="230">
                  <c:v>44575</c:v>
                </c:pt>
                <c:pt idx="231">
                  <c:v>44578</c:v>
                </c:pt>
                <c:pt idx="232">
                  <c:v>44579</c:v>
                </c:pt>
                <c:pt idx="233">
                  <c:v>44580</c:v>
                </c:pt>
                <c:pt idx="234">
                  <c:v>44581</c:v>
                </c:pt>
                <c:pt idx="235">
                  <c:v>44582</c:v>
                </c:pt>
                <c:pt idx="236">
                  <c:v>44585</c:v>
                </c:pt>
                <c:pt idx="237">
                  <c:v>44586</c:v>
                </c:pt>
                <c:pt idx="238">
                  <c:v>44587</c:v>
                </c:pt>
                <c:pt idx="239">
                  <c:v>44588</c:v>
                </c:pt>
                <c:pt idx="240">
                  <c:v>44589</c:v>
                </c:pt>
                <c:pt idx="241">
                  <c:v>44592</c:v>
                </c:pt>
                <c:pt idx="242">
                  <c:v>44593</c:v>
                </c:pt>
                <c:pt idx="243">
                  <c:v>44594</c:v>
                </c:pt>
                <c:pt idx="244">
                  <c:v>44595</c:v>
                </c:pt>
                <c:pt idx="245">
                  <c:v>44596</c:v>
                </c:pt>
                <c:pt idx="246">
                  <c:v>44599</c:v>
                </c:pt>
                <c:pt idx="247">
                  <c:v>44600</c:v>
                </c:pt>
                <c:pt idx="248">
                  <c:v>44601</c:v>
                </c:pt>
                <c:pt idx="249">
                  <c:v>44602</c:v>
                </c:pt>
                <c:pt idx="250">
                  <c:v>44603</c:v>
                </c:pt>
                <c:pt idx="251">
                  <c:v>44606</c:v>
                </c:pt>
                <c:pt idx="252">
                  <c:v>44607</c:v>
                </c:pt>
                <c:pt idx="253">
                  <c:v>44608</c:v>
                </c:pt>
                <c:pt idx="254">
                  <c:v>44609</c:v>
                </c:pt>
                <c:pt idx="255">
                  <c:v>44610</c:v>
                </c:pt>
                <c:pt idx="256">
                  <c:v>44613</c:v>
                </c:pt>
                <c:pt idx="257">
                  <c:v>44614</c:v>
                </c:pt>
                <c:pt idx="258">
                  <c:v>44615</c:v>
                </c:pt>
                <c:pt idx="259">
                  <c:v>44616</c:v>
                </c:pt>
                <c:pt idx="260">
                  <c:v>44617</c:v>
                </c:pt>
                <c:pt idx="261">
                  <c:v>44620</c:v>
                </c:pt>
                <c:pt idx="262">
                  <c:v>44621</c:v>
                </c:pt>
              </c:numCache>
            </c:numRef>
          </c:cat>
          <c:val>
            <c:numRef>
              <c:f>'MSCI Chart'!$I$8:$I$291</c:f>
              <c:numCache>
                <c:formatCode>0</c:formatCode>
                <c:ptCount val="284"/>
                <c:pt idx="0" formatCode="0.0">
                  <c:v>100</c:v>
                </c:pt>
                <c:pt idx="1">
                  <c:v>101.47580168256644</c:v>
                </c:pt>
                <c:pt idx="2">
                  <c:v>102.79501658173533</c:v>
                </c:pt>
                <c:pt idx="3">
                  <c:v>105.03341466322946</c:v>
                </c:pt>
                <c:pt idx="4">
                  <c:v>104.21180314493084</c:v>
                </c:pt>
                <c:pt idx="5">
                  <c:v>103.19359561871754</c:v>
                </c:pt>
                <c:pt idx="6">
                  <c:v>103.31652865199176</c:v>
                </c:pt>
                <c:pt idx="7">
                  <c:v>103.82877988813152</c:v>
                </c:pt>
                <c:pt idx="8">
                  <c:v>104.59670277988447</c:v>
                </c:pt>
                <c:pt idx="9">
                  <c:v>104.59670277988447</c:v>
                </c:pt>
                <c:pt idx="10">
                  <c:v>103.5263198353145</c:v>
                </c:pt>
                <c:pt idx="11">
                  <c:v>102.93114479041762</c:v>
                </c:pt>
                <c:pt idx="12">
                  <c:v>103.06539662094555</c:v>
                </c:pt>
                <c:pt idx="13">
                  <c:v>101.67608991846225</c:v>
                </c:pt>
                <c:pt idx="14">
                  <c:v>100.33236104663159</c:v>
                </c:pt>
                <c:pt idx="15">
                  <c:v>101.74085522895139</c:v>
                </c:pt>
                <c:pt idx="16">
                  <c:v>102.12527063728456</c:v>
                </c:pt>
                <c:pt idx="17">
                  <c:v>102.65307765360724</c:v>
                </c:pt>
                <c:pt idx="18">
                  <c:v>100.9047169120384</c:v>
                </c:pt>
                <c:pt idx="19">
                  <c:v>99.135958124081839</c:v>
                </c:pt>
                <c:pt idx="20">
                  <c:v>100.39736847043099</c:v>
                </c:pt>
                <c:pt idx="21">
                  <c:v>100.39736847043099</c:v>
                </c:pt>
                <c:pt idx="22">
                  <c:v>102.33863299193338</c:v>
                </c:pt>
                <c:pt idx="23">
                  <c:v>101.70241974095084</c:v>
                </c:pt>
                <c:pt idx="24">
                  <c:v>103.00523146335098</c:v>
                </c:pt>
                <c:pt idx="25">
                  <c:v>103.00523146335098</c:v>
                </c:pt>
                <c:pt idx="26">
                  <c:v>101.7274179402331</c:v>
                </c:pt>
                <c:pt idx="27">
                  <c:v>102.26121726098422</c:v>
                </c:pt>
                <c:pt idx="28">
                  <c:v>103.32433680624699</c:v>
                </c:pt>
                <c:pt idx="29">
                  <c:v>104.0051594346412</c:v>
                </c:pt>
                <c:pt idx="30">
                  <c:v>103.81086350317379</c:v>
                </c:pt>
                <c:pt idx="31">
                  <c:v>100.0892792831509</c:v>
                </c:pt>
                <c:pt idx="32">
                  <c:v>101.23054089929356</c:v>
                </c:pt>
                <c:pt idx="33">
                  <c:v>101.23054089929356</c:v>
                </c:pt>
                <c:pt idx="34">
                  <c:v>101.60000581071942</c:v>
                </c:pt>
                <c:pt idx="35">
                  <c:v>102.04210471521721</c:v>
                </c:pt>
                <c:pt idx="36">
                  <c:v>100.24635029316893</c:v>
                </c:pt>
                <c:pt idx="37">
                  <c:v>99.995944602053456</c:v>
                </c:pt>
                <c:pt idx="38">
                  <c:v>99.995944602053456</c:v>
                </c:pt>
                <c:pt idx="39">
                  <c:v>100.37715200902596</c:v>
                </c:pt>
                <c:pt idx="40">
                  <c:v>100.02287970781765</c:v>
                </c:pt>
                <c:pt idx="41">
                  <c:v>101.05591667428314</c:v>
                </c:pt>
                <c:pt idx="42">
                  <c:v>102.05076026605829</c:v>
                </c:pt>
                <c:pt idx="43">
                  <c:v>103.16357356824778</c:v>
                </c:pt>
                <c:pt idx="44">
                  <c:v>103.42081896037753</c:v>
                </c:pt>
                <c:pt idx="45">
                  <c:v>102.03962305378727</c:v>
                </c:pt>
                <c:pt idx="46">
                  <c:v>102.2304083422562</c:v>
                </c:pt>
                <c:pt idx="47">
                  <c:v>101.37968269840124</c:v>
                </c:pt>
                <c:pt idx="48">
                  <c:v>102.28863659336886</c:v>
                </c:pt>
                <c:pt idx="49">
                  <c:v>103.09632659632869</c:v>
                </c:pt>
                <c:pt idx="50">
                  <c:v>103.62504153756478</c:v>
                </c:pt>
                <c:pt idx="51">
                  <c:v>104.49598364282475</c:v>
                </c:pt>
                <c:pt idx="52">
                  <c:v>104.09002014988025</c:v>
                </c:pt>
                <c:pt idx="53">
                  <c:v>103.15540224402721</c:v>
                </c:pt>
                <c:pt idx="54">
                  <c:v>103.15540224402721</c:v>
                </c:pt>
                <c:pt idx="55">
                  <c:v>102.90275700479202</c:v>
                </c:pt>
                <c:pt idx="56">
                  <c:v>104.24854383975971</c:v>
                </c:pt>
                <c:pt idx="57">
                  <c:v>105.51183056426322</c:v>
                </c:pt>
                <c:pt idx="58">
                  <c:v>105.23618456055524</c:v>
                </c:pt>
                <c:pt idx="59">
                  <c:v>104.52770048646616</c:v>
                </c:pt>
                <c:pt idx="60">
                  <c:v>105.81713544847555</c:v>
                </c:pt>
                <c:pt idx="61">
                  <c:v>105.94721082440186</c:v>
                </c:pt>
                <c:pt idx="62">
                  <c:v>106.27636386967281</c:v>
                </c:pt>
                <c:pt idx="63">
                  <c:v>106.92093002985861</c:v>
                </c:pt>
                <c:pt idx="64">
                  <c:v>107.06892179074265</c:v>
                </c:pt>
                <c:pt idx="65">
                  <c:v>107.55121150474025</c:v>
                </c:pt>
                <c:pt idx="66">
                  <c:v>108.5748060521064</c:v>
                </c:pt>
                <c:pt idx="67">
                  <c:v>108.59865421316502</c:v>
                </c:pt>
                <c:pt idx="68">
                  <c:v>109.15091467382192</c:v>
                </c:pt>
                <c:pt idx="69">
                  <c:v>109.95037282423358</c:v>
                </c:pt>
                <c:pt idx="70">
                  <c:v>110.06616351485575</c:v>
                </c:pt>
                <c:pt idx="71">
                  <c:v>110.61388435094563</c:v>
                </c:pt>
                <c:pt idx="72">
                  <c:v>110.80666707422404</c:v>
                </c:pt>
                <c:pt idx="73">
                  <c:v>109.98644770745929</c:v>
                </c:pt>
                <c:pt idx="74">
                  <c:v>110.89261729935915</c:v>
                </c:pt>
                <c:pt idx="75">
                  <c:v>111.35693010007145</c:v>
                </c:pt>
                <c:pt idx="76">
                  <c:v>111.39833147612245</c:v>
                </c:pt>
                <c:pt idx="77">
                  <c:v>111.72155274529253</c:v>
                </c:pt>
                <c:pt idx="78">
                  <c:v>110.90938364609327</c:v>
                </c:pt>
                <c:pt idx="79">
                  <c:v>110.33188287284389</c:v>
                </c:pt>
                <c:pt idx="80">
                  <c:v>110.04830765822557</c:v>
                </c:pt>
                <c:pt idx="81">
                  <c:v>110.53919239473669</c:v>
                </c:pt>
                <c:pt idx="82">
                  <c:v>110.87597200928019</c:v>
                </c:pt>
                <c:pt idx="83">
                  <c:v>110.19297036109383</c:v>
                </c:pt>
                <c:pt idx="84">
                  <c:v>110.63603771883258</c:v>
                </c:pt>
                <c:pt idx="85">
                  <c:v>111.07020741242005</c:v>
                </c:pt>
                <c:pt idx="86">
                  <c:v>110.83983659772692</c:v>
                </c:pt>
                <c:pt idx="87">
                  <c:v>110.43459944471311</c:v>
                </c:pt>
                <c:pt idx="88">
                  <c:v>110.2311032074566</c:v>
                </c:pt>
                <c:pt idx="89">
                  <c:v>110.06271340018485</c:v>
                </c:pt>
                <c:pt idx="90">
                  <c:v>110.31662973429879</c:v>
                </c:pt>
                <c:pt idx="91">
                  <c:v>110.96609868901695</c:v>
                </c:pt>
                <c:pt idx="92">
                  <c:v>110.6009918171754</c:v>
                </c:pt>
                <c:pt idx="93">
                  <c:v>111.03794581383059</c:v>
                </c:pt>
                <c:pt idx="94">
                  <c:v>110.18958077475047</c:v>
                </c:pt>
                <c:pt idx="95">
                  <c:v>110.12711554070862</c:v>
                </c:pt>
                <c:pt idx="96">
                  <c:v>110.2295899992676</c:v>
                </c:pt>
                <c:pt idx="97">
                  <c:v>110.81459628513441</c:v>
                </c:pt>
                <c:pt idx="98">
                  <c:v>111.0438170616039</c:v>
                </c:pt>
                <c:pt idx="99">
                  <c:v>111.4046264221887</c:v>
                </c:pt>
                <c:pt idx="100">
                  <c:v>111.45764923713122</c:v>
                </c:pt>
                <c:pt idx="101">
                  <c:v>110.60426034686363</c:v>
                </c:pt>
                <c:pt idx="102">
                  <c:v>109.90957673145819</c:v>
                </c:pt>
                <c:pt idx="103">
                  <c:v>109.90957673145819</c:v>
                </c:pt>
                <c:pt idx="104">
                  <c:v>111.47229709240071</c:v>
                </c:pt>
                <c:pt idx="105">
                  <c:v>111.62143889150839</c:v>
                </c:pt>
                <c:pt idx="106">
                  <c:v>111.49432940363252</c:v>
                </c:pt>
                <c:pt idx="107">
                  <c:v>110.84818950693017</c:v>
                </c:pt>
                <c:pt idx="108">
                  <c:v>110.8504290550499</c:v>
                </c:pt>
                <c:pt idx="109">
                  <c:v>111.2804222940357</c:v>
                </c:pt>
                <c:pt idx="110">
                  <c:v>111.17746360885626</c:v>
                </c:pt>
                <c:pt idx="111">
                  <c:v>112.27320792267383</c:v>
                </c:pt>
                <c:pt idx="112">
                  <c:v>113.91328348623797</c:v>
                </c:pt>
                <c:pt idx="113">
                  <c:v>114.27294280859914</c:v>
                </c:pt>
                <c:pt idx="114">
                  <c:v>114.39678376678678</c:v>
                </c:pt>
                <c:pt idx="115">
                  <c:v>113.98682540422331</c:v>
                </c:pt>
                <c:pt idx="116">
                  <c:v>113.89609344121095</c:v>
                </c:pt>
                <c:pt idx="117">
                  <c:v>113.96455097968122</c:v>
                </c:pt>
                <c:pt idx="118">
                  <c:v>114.07144400615208</c:v>
                </c:pt>
                <c:pt idx="119">
                  <c:v>114.64973164765975</c:v>
                </c:pt>
                <c:pt idx="120">
                  <c:v>115.51189714542352</c:v>
                </c:pt>
                <c:pt idx="121">
                  <c:v>115.80134360781514</c:v>
                </c:pt>
                <c:pt idx="122">
                  <c:v>116.50244322594193</c:v>
                </c:pt>
                <c:pt idx="123">
                  <c:v>116.38895261176705</c:v>
                </c:pt>
                <c:pt idx="124">
                  <c:v>116.38895261176705</c:v>
                </c:pt>
                <c:pt idx="125">
                  <c:v>115.47291690247492</c:v>
                </c:pt>
                <c:pt idx="126">
                  <c:v>115.6890030318639</c:v>
                </c:pt>
                <c:pt idx="127">
                  <c:v>116.49233499523945</c:v>
                </c:pt>
                <c:pt idx="128">
                  <c:v>116.75073042559283</c:v>
                </c:pt>
                <c:pt idx="129">
                  <c:v>116.93606816458137</c:v>
                </c:pt>
                <c:pt idx="130">
                  <c:v>117.64376537041218</c:v>
                </c:pt>
                <c:pt idx="131">
                  <c:v>119.34049544857241</c:v>
                </c:pt>
                <c:pt idx="132">
                  <c:v>120.95859922923229</c:v>
                </c:pt>
                <c:pt idx="133">
                  <c:v>120.77792217146586</c:v>
                </c:pt>
                <c:pt idx="134">
                  <c:v>121.95665082236812</c:v>
                </c:pt>
                <c:pt idx="135">
                  <c:v>122.73940315437326</c:v>
                </c:pt>
                <c:pt idx="136">
                  <c:v>123.16086189917311</c:v>
                </c:pt>
                <c:pt idx="137">
                  <c:v>122.91269575617736</c:v>
                </c:pt>
                <c:pt idx="138">
                  <c:v>122.89145031320382</c:v>
                </c:pt>
                <c:pt idx="139">
                  <c:v>123.1215790145867</c:v>
                </c:pt>
                <c:pt idx="140">
                  <c:v>123.1215790145867</c:v>
                </c:pt>
                <c:pt idx="141">
                  <c:v>123.18380213531833</c:v>
                </c:pt>
                <c:pt idx="142">
                  <c:v>123.40557792749796</c:v>
                </c:pt>
                <c:pt idx="143">
                  <c:v>124.4081691452008</c:v>
                </c:pt>
                <c:pt idx="144">
                  <c:v>124.84663635004497</c:v>
                </c:pt>
                <c:pt idx="145">
                  <c:v>124.12283860908325</c:v>
                </c:pt>
                <c:pt idx="146">
                  <c:v>122.60448551224215</c:v>
                </c:pt>
                <c:pt idx="147">
                  <c:v>123.81317568528658</c:v>
                </c:pt>
                <c:pt idx="148">
                  <c:v>123.97036775195974</c:v>
                </c:pt>
                <c:pt idx="149">
                  <c:v>125.68047459051073</c:v>
                </c:pt>
                <c:pt idx="150">
                  <c:v>125.51154002829092</c:v>
                </c:pt>
                <c:pt idx="151">
                  <c:v>125.21821975293545</c:v>
                </c:pt>
                <c:pt idx="152">
                  <c:v>124.3557516135339</c:v>
                </c:pt>
                <c:pt idx="153">
                  <c:v>124.17344029092334</c:v>
                </c:pt>
                <c:pt idx="154">
                  <c:v>123.6138559026317</c:v>
                </c:pt>
                <c:pt idx="155">
                  <c:v>123.1906418363326</c:v>
                </c:pt>
                <c:pt idx="156">
                  <c:v>124.50658820581324</c:v>
                </c:pt>
                <c:pt idx="157">
                  <c:v>125.39175446804981</c:v>
                </c:pt>
                <c:pt idx="158">
                  <c:v>123.97303099837237</c:v>
                </c:pt>
                <c:pt idx="159">
                  <c:v>125.28988529276643</c:v>
                </c:pt>
                <c:pt idx="160">
                  <c:v>125.96822625973067</c:v>
                </c:pt>
                <c:pt idx="161">
                  <c:v>126.12620519466213</c:v>
                </c:pt>
                <c:pt idx="162">
                  <c:v>126.53670831217363</c:v>
                </c:pt>
                <c:pt idx="163">
                  <c:v>127.81664032675613</c:v>
                </c:pt>
                <c:pt idx="164">
                  <c:v>128.65683404161564</c:v>
                </c:pt>
                <c:pt idx="165">
                  <c:v>128.65683404161564</c:v>
                </c:pt>
                <c:pt idx="166">
                  <c:v>129.5873360211946</c:v>
                </c:pt>
                <c:pt idx="167">
                  <c:v>128.86129873211314</c:v>
                </c:pt>
                <c:pt idx="168">
                  <c:v>127.53778632168751</c:v>
                </c:pt>
                <c:pt idx="169">
                  <c:v>126.62271906563635</c:v>
                </c:pt>
                <c:pt idx="170">
                  <c:v>125.88487875268068</c:v>
                </c:pt>
                <c:pt idx="171">
                  <c:v>125.76642481564588</c:v>
                </c:pt>
                <c:pt idx="172">
                  <c:v>126.95846969861131</c:v>
                </c:pt>
                <c:pt idx="173">
                  <c:v>126.82990753087398</c:v>
                </c:pt>
                <c:pt idx="174">
                  <c:v>124.58327759683171</c:v>
                </c:pt>
                <c:pt idx="175">
                  <c:v>123.59642374429444</c:v>
                </c:pt>
                <c:pt idx="176">
                  <c:v>125.24037312082238</c:v>
                </c:pt>
                <c:pt idx="177">
                  <c:v>125.0303398241894</c:v>
                </c:pt>
                <c:pt idx="178">
                  <c:v>125.04789303918177</c:v>
                </c:pt>
                <c:pt idx="179">
                  <c:v>125.58054232170923</c:v>
                </c:pt>
                <c:pt idx="180">
                  <c:v>125.58054232170923</c:v>
                </c:pt>
                <c:pt idx="181">
                  <c:v>126.93395572594949</c:v>
                </c:pt>
                <c:pt idx="182">
                  <c:v>127.07982899536897</c:v>
                </c:pt>
                <c:pt idx="183">
                  <c:v>127.20330678359124</c:v>
                </c:pt>
                <c:pt idx="184">
                  <c:v>126.31111923535772</c:v>
                </c:pt>
                <c:pt idx="185">
                  <c:v>128.09488904854916</c:v>
                </c:pt>
                <c:pt idx="186">
                  <c:v>128.10699471406116</c:v>
                </c:pt>
                <c:pt idx="187">
                  <c:v>127.56847418376037</c:v>
                </c:pt>
                <c:pt idx="188">
                  <c:v>126.93232146110539</c:v>
                </c:pt>
                <c:pt idx="189">
                  <c:v>125.72780774266258</c:v>
                </c:pt>
                <c:pt idx="190">
                  <c:v>125.72780774266258</c:v>
                </c:pt>
                <c:pt idx="191">
                  <c:v>123.28440021572294</c:v>
                </c:pt>
                <c:pt idx="192">
                  <c:v>124.16278730527279</c:v>
                </c:pt>
                <c:pt idx="193">
                  <c:v>123.38663256097168</c:v>
                </c:pt>
                <c:pt idx="194">
                  <c:v>124.32355054327198</c:v>
                </c:pt>
                <c:pt idx="195">
                  <c:v>120.68688756681568</c:v>
                </c:pt>
                <c:pt idx="196">
                  <c:v>120.54168010899939</c:v>
                </c:pt>
                <c:pt idx="197">
                  <c:v>120.20931906236775</c:v>
                </c:pt>
                <c:pt idx="198">
                  <c:v>121.39549269755989</c:v>
                </c:pt>
                <c:pt idx="199">
                  <c:v>123.06141385699212</c:v>
                </c:pt>
                <c:pt idx="200">
                  <c:v>121.75793632298881</c:v>
                </c:pt>
                <c:pt idx="201">
                  <c:v>119.56021327761496</c:v>
                </c:pt>
                <c:pt idx="202">
                  <c:v>121.3945847726465</c:v>
                </c:pt>
                <c:pt idx="203">
                  <c:v>123.4523057963742</c:v>
                </c:pt>
                <c:pt idx="204">
                  <c:v>123.87321978622603</c:v>
                </c:pt>
                <c:pt idx="205">
                  <c:v>123.93017694245994</c:v>
                </c:pt>
                <c:pt idx="206">
                  <c:v>123.04628177510214</c:v>
                </c:pt>
                <c:pt idx="207">
                  <c:v>122.95331026397008</c:v>
                </c:pt>
                <c:pt idx="208">
                  <c:v>122.13121451905097</c:v>
                </c:pt>
                <c:pt idx="209">
                  <c:v>122.30874410378428</c:v>
                </c:pt>
                <c:pt idx="210">
                  <c:v>120.36100305123298</c:v>
                </c:pt>
                <c:pt idx="211">
                  <c:v>117.65151299633983</c:v>
                </c:pt>
                <c:pt idx="212">
                  <c:v>118.92533164983875</c:v>
                </c:pt>
                <c:pt idx="213">
                  <c:v>120.4709224940818</c:v>
                </c:pt>
                <c:pt idx="214">
                  <c:v>121.42969120263123</c:v>
                </c:pt>
                <c:pt idx="215">
                  <c:v>120.84589548331562</c:v>
                </c:pt>
                <c:pt idx="216">
                  <c:v>121.38605027846053</c:v>
                </c:pt>
                <c:pt idx="217">
                  <c:v>122.49232652127355</c:v>
                </c:pt>
                <c:pt idx="218">
                  <c:v>122.4213873213733</c:v>
                </c:pt>
                <c:pt idx="219">
                  <c:v>122.10155563854657</c:v>
                </c:pt>
                <c:pt idx="220">
                  <c:v>123.26757334066126</c:v>
                </c:pt>
                <c:pt idx="221">
                  <c:v>124.85716827904041</c:v>
                </c:pt>
                <c:pt idx="222">
                  <c:v>125.91362970827159</c:v>
                </c:pt>
                <c:pt idx="223">
                  <c:v>126.30494534594662</c:v>
                </c:pt>
                <c:pt idx="224">
                  <c:v>125.32941029066306</c:v>
                </c:pt>
                <c:pt idx="225">
                  <c:v>125.82453201010338</c:v>
                </c:pt>
                <c:pt idx="226">
                  <c:v>126.92227375873046</c:v>
                </c:pt>
                <c:pt idx="227">
                  <c:v>127.36643062636529</c:v>
                </c:pt>
                <c:pt idx="228">
                  <c:v>128.57451551613414</c:v>
                </c:pt>
                <c:pt idx="229">
                  <c:v>129.19002807909115</c:v>
                </c:pt>
                <c:pt idx="230">
                  <c:v>129.12338639044765</c:v>
                </c:pt>
                <c:pt idx="231">
                  <c:v>129.66783869684932</c:v>
                </c:pt>
                <c:pt idx="232">
                  <c:v>127.93854437846186</c:v>
                </c:pt>
                <c:pt idx="233">
                  <c:v>126.80648306810831</c:v>
                </c:pt>
                <c:pt idx="234">
                  <c:v>125.74548201431013</c:v>
                </c:pt>
                <c:pt idx="235">
                  <c:v>124.37784445309327</c:v>
                </c:pt>
                <c:pt idx="236">
                  <c:v>120.65087321191756</c:v>
                </c:pt>
                <c:pt idx="237">
                  <c:v>121.64244827400448</c:v>
                </c:pt>
                <c:pt idx="238">
                  <c:v>121.64244827400448</c:v>
                </c:pt>
                <c:pt idx="239">
                  <c:v>120.04262404826771</c:v>
                </c:pt>
                <c:pt idx="240">
                  <c:v>120.31445676733941</c:v>
                </c:pt>
                <c:pt idx="241">
                  <c:v>122.02686368233765</c:v>
                </c:pt>
                <c:pt idx="242">
                  <c:v>123.70622213048817</c:v>
                </c:pt>
                <c:pt idx="243">
                  <c:v>124.89336421892129</c:v>
                </c:pt>
                <c:pt idx="244">
                  <c:v>123.36901881765176</c:v>
                </c:pt>
                <c:pt idx="245">
                  <c:v>123.01922561268287</c:v>
                </c:pt>
                <c:pt idx="246">
                  <c:v>121.36528906210752</c:v>
                </c:pt>
                <c:pt idx="247">
                  <c:v>121.5726591123279</c:v>
                </c:pt>
                <c:pt idx="248">
                  <c:v>122.86905483200667</c:v>
                </c:pt>
                <c:pt idx="249">
                  <c:v>123.66972354896956</c:v>
                </c:pt>
                <c:pt idx="250">
                  <c:v>121.8115038928794</c:v>
                </c:pt>
                <c:pt idx="251">
                  <c:v>118.10335696157482</c:v>
                </c:pt>
                <c:pt idx="252">
                  <c:v>121.57925670003192</c:v>
                </c:pt>
                <c:pt idx="253">
                  <c:v>121.34555682732298</c:v>
                </c:pt>
                <c:pt idx="254">
                  <c:v>121.48452986740061</c:v>
                </c:pt>
                <c:pt idx="255">
                  <c:v>120.92294804429949</c:v>
                </c:pt>
                <c:pt idx="256">
                  <c:v>120.12270302562953</c:v>
                </c:pt>
                <c:pt idx="257">
                  <c:v>119.48037641356346</c:v>
                </c:pt>
                <c:pt idx="258">
                  <c:v>119.52885960393897</c:v>
                </c:pt>
                <c:pt idx="259">
                  <c:v>113.69550256367734</c:v>
                </c:pt>
                <c:pt idx="260">
                  <c:v>116.83177785619561</c:v>
                </c:pt>
                <c:pt idx="261">
                  <c:v>118.15208226526056</c:v>
                </c:pt>
              </c:numCache>
            </c:numRef>
          </c:val>
          <c:smooth val="0"/>
          <c:extLst xmlns:c16r2="http://schemas.microsoft.com/office/drawing/2015/06/chart">
            <c:ext xmlns:c16="http://schemas.microsoft.com/office/drawing/2014/chart" uri="{C3380CC4-5D6E-409C-BE32-E72D297353CC}">
              <c16:uniqueId val="{00000001-A57B-45B4-B055-1A08107460C4}"/>
            </c:ext>
          </c:extLst>
        </c:ser>
        <c:ser>
          <c:idx val="2"/>
          <c:order val="2"/>
          <c:tx>
            <c:strRef>
              <c:f>'MSCI Chart'!$J$7</c:f>
              <c:strCache>
                <c:ptCount val="1"/>
                <c:pt idx="0">
                  <c:v>MSCI All country</c:v>
                </c:pt>
              </c:strCache>
            </c:strRef>
          </c:tx>
          <c:spPr>
            <a:ln w="28575" cap="rnd">
              <a:solidFill>
                <a:schemeClr val="tx1">
                  <a:lumMod val="75000"/>
                  <a:lumOff val="25000"/>
                </a:schemeClr>
              </a:solidFill>
              <a:round/>
            </a:ln>
            <a:effectLst/>
          </c:spPr>
          <c:marker>
            <c:symbol val="none"/>
          </c:marker>
          <c:cat>
            <c:numRef>
              <c:f>'MSCI Chart'!$G$8:$G$291</c:f>
              <c:numCache>
                <c:formatCode>m/d/yyyy</c:formatCode>
                <c:ptCount val="284"/>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44312</c:v>
                </c:pt>
                <c:pt idx="42">
                  <c:v>44313</c:v>
                </c:pt>
                <c:pt idx="43">
                  <c:v>44314</c:v>
                </c:pt>
                <c:pt idx="44">
                  <c:v>44315</c:v>
                </c:pt>
                <c:pt idx="45">
                  <c:v>44316</c:v>
                </c:pt>
                <c:pt idx="46">
                  <c:v>44319</c:v>
                </c:pt>
                <c:pt idx="47">
                  <c:v>44320</c:v>
                </c:pt>
                <c:pt idx="48">
                  <c:v>44321</c:v>
                </c:pt>
                <c:pt idx="49">
                  <c:v>44322</c:v>
                </c:pt>
                <c:pt idx="50">
                  <c:v>44323</c:v>
                </c:pt>
                <c:pt idx="51">
                  <c:v>44326</c:v>
                </c:pt>
                <c:pt idx="52">
                  <c:v>44327</c:v>
                </c:pt>
                <c:pt idx="53">
                  <c:v>44328</c:v>
                </c:pt>
                <c:pt idx="54">
                  <c:v>44329</c:v>
                </c:pt>
                <c:pt idx="55">
                  <c:v>44330</c:v>
                </c:pt>
                <c:pt idx="56">
                  <c:v>44333</c:v>
                </c:pt>
                <c:pt idx="57">
                  <c:v>44334</c:v>
                </c:pt>
                <c:pt idx="58">
                  <c:v>44335</c:v>
                </c:pt>
                <c:pt idx="59">
                  <c:v>44336</c:v>
                </c:pt>
                <c:pt idx="60">
                  <c:v>44337</c:v>
                </c:pt>
                <c:pt idx="61">
                  <c:v>44340</c:v>
                </c:pt>
                <c:pt idx="62">
                  <c:v>44341</c:v>
                </c:pt>
                <c:pt idx="63">
                  <c:v>44342</c:v>
                </c:pt>
                <c:pt idx="64">
                  <c:v>44343</c:v>
                </c:pt>
                <c:pt idx="65">
                  <c:v>44344</c:v>
                </c:pt>
                <c:pt idx="66">
                  <c:v>44347</c:v>
                </c:pt>
                <c:pt idx="67">
                  <c:v>44348</c:v>
                </c:pt>
                <c:pt idx="68">
                  <c:v>44349</c:v>
                </c:pt>
                <c:pt idx="69">
                  <c:v>44350</c:v>
                </c:pt>
                <c:pt idx="70">
                  <c:v>44351</c:v>
                </c:pt>
                <c:pt idx="71">
                  <c:v>44354</c:v>
                </c:pt>
                <c:pt idx="72">
                  <c:v>44355</c:v>
                </c:pt>
                <c:pt idx="73">
                  <c:v>44356</c:v>
                </c:pt>
                <c:pt idx="74">
                  <c:v>44357</c:v>
                </c:pt>
                <c:pt idx="75">
                  <c:v>44358</c:v>
                </c:pt>
                <c:pt idx="76">
                  <c:v>44361</c:v>
                </c:pt>
                <c:pt idx="77">
                  <c:v>44362</c:v>
                </c:pt>
                <c:pt idx="78">
                  <c:v>44363</c:v>
                </c:pt>
                <c:pt idx="79">
                  <c:v>44364</c:v>
                </c:pt>
                <c:pt idx="80">
                  <c:v>44365</c:v>
                </c:pt>
                <c:pt idx="81">
                  <c:v>44368</c:v>
                </c:pt>
                <c:pt idx="82">
                  <c:v>44369</c:v>
                </c:pt>
                <c:pt idx="83">
                  <c:v>44370</c:v>
                </c:pt>
                <c:pt idx="84">
                  <c:v>44371</c:v>
                </c:pt>
                <c:pt idx="85">
                  <c:v>44372</c:v>
                </c:pt>
                <c:pt idx="86">
                  <c:v>44375</c:v>
                </c:pt>
                <c:pt idx="87">
                  <c:v>44376</c:v>
                </c:pt>
                <c:pt idx="88">
                  <c:v>44377</c:v>
                </c:pt>
                <c:pt idx="89">
                  <c:v>44378</c:v>
                </c:pt>
                <c:pt idx="90">
                  <c:v>44379</c:v>
                </c:pt>
                <c:pt idx="91">
                  <c:v>44382</c:v>
                </c:pt>
                <c:pt idx="92">
                  <c:v>44383</c:v>
                </c:pt>
                <c:pt idx="93">
                  <c:v>44384</c:v>
                </c:pt>
                <c:pt idx="94">
                  <c:v>44385</c:v>
                </c:pt>
                <c:pt idx="95">
                  <c:v>44386</c:v>
                </c:pt>
                <c:pt idx="96">
                  <c:v>44389</c:v>
                </c:pt>
                <c:pt idx="97">
                  <c:v>44390</c:v>
                </c:pt>
                <c:pt idx="98">
                  <c:v>44391</c:v>
                </c:pt>
                <c:pt idx="99">
                  <c:v>44392</c:v>
                </c:pt>
                <c:pt idx="100">
                  <c:v>44393</c:v>
                </c:pt>
                <c:pt idx="101">
                  <c:v>44396</c:v>
                </c:pt>
                <c:pt idx="102">
                  <c:v>44397</c:v>
                </c:pt>
                <c:pt idx="103">
                  <c:v>44398</c:v>
                </c:pt>
                <c:pt idx="104">
                  <c:v>44399</c:v>
                </c:pt>
                <c:pt idx="105">
                  <c:v>44400</c:v>
                </c:pt>
                <c:pt idx="106">
                  <c:v>44403</c:v>
                </c:pt>
                <c:pt idx="107">
                  <c:v>44404</c:v>
                </c:pt>
                <c:pt idx="108">
                  <c:v>44405</c:v>
                </c:pt>
                <c:pt idx="109">
                  <c:v>44406</c:v>
                </c:pt>
                <c:pt idx="110">
                  <c:v>44407</c:v>
                </c:pt>
                <c:pt idx="111">
                  <c:v>44410</c:v>
                </c:pt>
                <c:pt idx="112">
                  <c:v>44411</c:v>
                </c:pt>
                <c:pt idx="113">
                  <c:v>44412</c:v>
                </c:pt>
                <c:pt idx="114">
                  <c:v>44413</c:v>
                </c:pt>
                <c:pt idx="115">
                  <c:v>44414</c:v>
                </c:pt>
                <c:pt idx="116">
                  <c:v>44417</c:v>
                </c:pt>
                <c:pt idx="117">
                  <c:v>44418</c:v>
                </c:pt>
                <c:pt idx="118">
                  <c:v>44419</c:v>
                </c:pt>
                <c:pt idx="119">
                  <c:v>44420</c:v>
                </c:pt>
                <c:pt idx="120">
                  <c:v>44421</c:v>
                </c:pt>
                <c:pt idx="121">
                  <c:v>44424</c:v>
                </c:pt>
                <c:pt idx="122">
                  <c:v>44425</c:v>
                </c:pt>
                <c:pt idx="123">
                  <c:v>44426</c:v>
                </c:pt>
                <c:pt idx="124">
                  <c:v>44427</c:v>
                </c:pt>
                <c:pt idx="125">
                  <c:v>44428</c:v>
                </c:pt>
                <c:pt idx="126">
                  <c:v>44431</c:v>
                </c:pt>
                <c:pt idx="127">
                  <c:v>44432</c:v>
                </c:pt>
                <c:pt idx="128">
                  <c:v>44433</c:v>
                </c:pt>
                <c:pt idx="129">
                  <c:v>44434</c:v>
                </c:pt>
                <c:pt idx="130">
                  <c:v>44435</c:v>
                </c:pt>
                <c:pt idx="131">
                  <c:v>44438</c:v>
                </c:pt>
                <c:pt idx="132">
                  <c:v>44439</c:v>
                </c:pt>
                <c:pt idx="133">
                  <c:v>44440</c:v>
                </c:pt>
                <c:pt idx="134">
                  <c:v>44441</c:v>
                </c:pt>
                <c:pt idx="135">
                  <c:v>44442</c:v>
                </c:pt>
                <c:pt idx="136">
                  <c:v>44445</c:v>
                </c:pt>
                <c:pt idx="137">
                  <c:v>44446</c:v>
                </c:pt>
                <c:pt idx="138">
                  <c:v>44447</c:v>
                </c:pt>
                <c:pt idx="139">
                  <c:v>44448</c:v>
                </c:pt>
                <c:pt idx="140">
                  <c:v>44449</c:v>
                </c:pt>
                <c:pt idx="141">
                  <c:v>44452</c:v>
                </c:pt>
                <c:pt idx="142">
                  <c:v>44453</c:v>
                </c:pt>
                <c:pt idx="143">
                  <c:v>44454</c:v>
                </c:pt>
                <c:pt idx="144">
                  <c:v>44455</c:v>
                </c:pt>
                <c:pt idx="145">
                  <c:v>44456</c:v>
                </c:pt>
                <c:pt idx="146">
                  <c:v>44459</c:v>
                </c:pt>
                <c:pt idx="147">
                  <c:v>44460</c:v>
                </c:pt>
                <c:pt idx="148">
                  <c:v>44461</c:v>
                </c:pt>
                <c:pt idx="149">
                  <c:v>44462</c:v>
                </c:pt>
                <c:pt idx="150">
                  <c:v>44463</c:v>
                </c:pt>
                <c:pt idx="151">
                  <c:v>44466</c:v>
                </c:pt>
                <c:pt idx="152">
                  <c:v>44467</c:v>
                </c:pt>
                <c:pt idx="153">
                  <c:v>44468</c:v>
                </c:pt>
                <c:pt idx="154">
                  <c:v>44469</c:v>
                </c:pt>
                <c:pt idx="155">
                  <c:v>44470</c:v>
                </c:pt>
                <c:pt idx="156">
                  <c:v>44473</c:v>
                </c:pt>
                <c:pt idx="157">
                  <c:v>44474</c:v>
                </c:pt>
                <c:pt idx="158">
                  <c:v>44475</c:v>
                </c:pt>
                <c:pt idx="159">
                  <c:v>44476</c:v>
                </c:pt>
                <c:pt idx="160">
                  <c:v>44477</c:v>
                </c:pt>
                <c:pt idx="161">
                  <c:v>44480</c:v>
                </c:pt>
                <c:pt idx="162">
                  <c:v>44481</c:v>
                </c:pt>
                <c:pt idx="163">
                  <c:v>44482</c:v>
                </c:pt>
                <c:pt idx="164">
                  <c:v>44483</c:v>
                </c:pt>
                <c:pt idx="165">
                  <c:v>44484</c:v>
                </c:pt>
                <c:pt idx="166">
                  <c:v>44487</c:v>
                </c:pt>
                <c:pt idx="167">
                  <c:v>44488</c:v>
                </c:pt>
                <c:pt idx="168">
                  <c:v>44489</c:v>
                </c:pt>
                <c:pt idx="169">
                  <c:v>44490</c:v>
                </c:pt>
                <c:pt idx="170">
                  <c:v>44491</c:v>
                </c:pt>
                <c:pt idx="171">
                  <c:v>44494</c:v>
                </c:pt>
                <c:pt idx="172">
                  <c:v>44495</c:v>
                </c:pt>
                <c:pt idx="173">
                  <c:v>44496</c:v>
                </c:pt>
                <c:pt idx="174">
                  <c:v>44497</c:v>
                </c:pt>
                <c:pt idx="175">
                  <c:v>44498</c:v>
                </c:pt>
                <c:pt idx="176">
                  <c:v>44501</c:v>
                </c:pt>
                <c:pt idx="177">
                  <c:v>44502</c:v>
                </c:pt>
                <c:pt idx="178">
                  <c:v>44503</c:v>
                </c:pt>
                <c:pt idx="179">
                  <c:v>44504</c:v>
                </c:pt>
                <c:pt idx="180">
                  <c:v>44505</c:v>
                </c:pt>
                <c:pt idx="181">
                  <c:v>44508</c:v>
                </c:pt>
                <c:pt idx="182">
                  <c:v>44509</c:v>
                </c:pt>
                <c:pt idx="183">
                  <c:v>44510</c:v>
                </c:pt>
                <c:pt idx="184">
                  <c:v>44511</c:v>
                </c:pt>
                <c:pt idx="185">
                  <c:v>44512</c:v>
                </c:pt>
                <c:pt idx="186">
                  <c:v>44515</c:v>
                </c:pt>
                <c:pt idx="187">
                  <c:v>44516</c:v>
                </c:pt>
                <c:pt idx="188">
                  <c:v>44517</c:v>
                </c:pt>
                <c:pt idx="189">
                  <c:v>44518</c:v>
                </c:pt>
                <c:pt idx="190">
                  <c:v>44519</c:v>
                </c:pt>
                <c:pt idx="191">
                  <c:v>44522</c:v>
                </c:pt>
                <c:pt idx="192">
                  <c:v>44523</c:v>
                </c:pt>
                <c:pt idx="193">
                  <c:v>44524</c:v>
                </c:pt>
                <c:pt idx="194">
                  <c:v>44525</c:v>
                </c:pt>
                <c:pt idx="195">
                  <c:v>44526</c:v>
                </c:pt>
                <c:pt idx="196">
                  <c:v>44529</c:v>
                </c:pt>
                <c:pt idx="197">
                  <c:v>44530</c:v>
                </c:pt>
                <c:pt idx="198">
                  <c:v>44531</c:v>
                </c:pt>
                <c:pt idx="199">
                  <c:v>44532</c:v>
                </c:pt>
                <c:pt idx="200">
                  <c:v>44533</c:v>
                </c:pt>
                <c:pt idx="201">
                  <c:v>44536</c:v>
                </c:pt>
                <c:pt idx="202">
                  <c:v>44537</c:v>
                </c:pt>
                <c:pt idx="203">
                  <c:v>44538</c:v>
                </c:pt>
                <c:pt idx="204">
                  <c:v>44539</c:v>
                </c:pt>
                <c:pt idx="205">
                  <c:v>44540</c:v>
                </c:pt>
                <c:pt idx="206">
                  <c:v>44543</c:v>
                </c:pt>
                <c:pt idx="207">
                  <c:v>44544</c:v>
                </c:pt>
                <c:pt idx="208">
                  <c:v>44545</c:v>
                </c:pt>
                <c:pt idx="209">
                  <c:v>44546</c:v>
                </c:pt>
                <c:pt idx="210">
                  <c:v>44547</c:v>
                </c:pt>
                <c:pt idx="211">
                  <c:v>44550</c:v>
                </c:pt>
                <c:pt idx="212">
                  <c:v>44551</c:v>
                </c:pt>
                <c:pt idx="213">
                  <c:v>44552</c:v>
                </c:pt>
                <c:pt idx="214">
                  <c:v>44553</c:v>
                </c:pt>
                <c:pt idx="215">
                  <c:v>44554</c:v>
                </c:pt>
                <c:pt idx="216">
                  <c:v>44557</c:v>
                </c:pt>
                <c:pt idx="217">
                  <c:v>44558</c:v>
                </c:pt>
                <c:pt idx="218">
                  <c:v>44559</c:v>
                </c:pt>
                <c:pt idx="219">
                  <c:v>44560</c:v>
                </c:pt>
                <c:pt idx="220">
                  <c:v>44561</c:v>
                </c:pt>
                <c:pt idx="221">
                  <c:v>44564</c:v>
                </c:pt>
                <c:pt idx="222">
                  <c:v>44565</c:v>
                </c:pt>
                <c:pt idx="223">
                  <c:v>44566</c:v>
                </c:pt>
                <c:pt idx="224">
                  <c:v>44567</c:v>
                </c:pt>
                <c:pt idx="225">
                  <c:v>44568</c:v>
                </c:pt>
                <c:pt idx="226">
                  <c:v>44571</c:v>
                </c:pt>
                <c:pt idx="227">
                  <c:v>44572</c:v>
                </c:pt>
                <c:pt idx="228">
                  <c:v>44573</c:v>
                </c:pt>
                <c:pt idx="229">
                  <c:v>44574</c:v>
                </c:pt>
                <c:pt idx="230">
                  <c:v>44575</c:v>
                </c:pt>
                <c:pt idx="231">
                  <c:v>44578</c:v>
                </c:pt>
                <c:pt idx="232">
                  <c:v>44579</c:v>
                </c:pt>
                <c:pt idx="233">
                  <c:v>44580</c:v>
                </c:pt>
                <c:pt idx="234">
                  <c:v>44581</c:v>
                </c:pt>
                <c:pt idx="235">
                  <c:v>44582</c:v>
                </c:pt>
                <c:pt idx="236">
                  <c:v>44585</c:v>
                </c:pt>
                <c:pt idx="237">
                  <c:v>44586</c:v>
                </c:pt>
                <c:pt idx="238">
                  <c:v>44587</c:v>
                </c:pt>
                <c:pt idx="239">
                  <c:v>44588</c:v>
                </c:pt>
                <c:pt idx="240">
                  <c:v>44589</c:v>
                </c:pt>
                <c:pt idx="241">
                  <c:v>44592</c:v>
                </c:pt>
                <c:pt idx="242">
                  <c:v>44593</c:v>
                </c:pt>
                <c:pt idx="243">
                  <c:v>44594</c:v>
                </c:pt>
                <c:pt idx="244">
                  <c:v>44595</c:v>
                </c:pt>
                <c:pt idx="245">
                  <c:v>44596</c:v>
                </c:pt>
                <c:pt idx="246">
                  <c:v>44599</c:v>
                </c:pt>
                <c:pt idx="247">
                  <c:v>44600</c:v>
                </c:pt>
                <c:pt idx="248">
                  <c:v>44601</c:v>
                </c:pt>
                <c:pt idx="249">
                  <c:v>44602</c:v>
                </c:pt>
                <c:pt idx="250">
                  <c:v>44603</c:v>
                </c:pt>
                <c:pt idx="251">
                  <c:v>44606</c:v>
                </c:pt>
                <c:pt idx="252">
                  <c:v>44607</c:v>
                </c:pt>
                <c:pt idx="253">
                  <c:v>44608</c:v>
                </c:pt>
                <c:pt idx="254">
                  <c:v>44609</c:v>
                </c:pt>
                <c:pt idx="255">
                  <c:v>44610</c:v>
                </c:pt>
                <c:pt idx="256">
                  <c:v>44613</c:v>
                </c:pt>
                <c:pt idx="257">
                  <c:v>44614</c:v>
                </c:pt>
                <c:pt idx="258">
                  <c:v>44615</c:v>
                </c:pt>
                <c:pt idx="259">
                  <c:v>44616</c:v>
                </c:pt>
                <c:pt idx="260">
                  <c:v>44617</c:v>
                </c:pt>
                <c:pt idx="261">
                  <c:v>44620</c:v>
                </c:pt>
                <c:pt idx="262">
                  <c:v>44621</c:v>
                </c:pt>
              </c:numCache>
            </c:numRef>
          </c:cat>
          <c:val>
            <c:numRef>
              <c:f>'MSCI Chart'!$J$8:$J$291</c:f>
              <c:numCache>
                <c:formatCode>0</c:formatCode>
                <c:ptCount val="284"/>
                <c:pt idx="0" formatCode="0.0">
                  <c:v>100</c:v>
                </c:pt>
                <c:pt idx="1">
                  <c:v>102.03516417964957</c:v>
                </c:pt>
                <c:pt idx="2">
                  <c:v>101.51686231065852</c:v>
                </c:pt>
                <c:pt idx="3">
                  <c:v>100.86084370900835</c:v>
                </c:pt>
                <c:pt idx="4">
                  <c:v>99.424024493795898</c:v>
                </c:pt>
                <c:pt idx="5">
                  <c:v>100.05280409528477</c:v>
                </c:pt>
                <c:pt idx="6">
                  <c:v>99.54941519844904</c:v>
                </c:pt>
                <c:pt idx="7">
                  <c:v>100.88960444102223</c:v>
                </c:pt>
                <c:pt idx="8">
                  <c:v>101.38979770096752</c:v>
                </c:pt>
                <c:pt idx="9">
                  <c:v>102.69498711093121</c:v>
                </c:pt>
                <c:pt idx="10">
                  <c:v>102.63579174186557</c:v>
                </c:pt>
                <c:pt idx="11">
                  <c:v>103.01942034190273</c:v>
                </c:pt>
                <c:pt idx="12">
                  <c:v>103.16687615841839</c:v>
                </c:pt>
                <c:pt idx="13">
                  <c:v>103.20172381784263</c:v>
                </c:pt>
                <c:pt idx="14">
                  <c:v>102.47053166267467</c:v>
                </c:pt>
                <c:pt idx="15">
                  <c:v>102.16983744860352</c:v>
                </c:pt>
                <c:pt idx="16">
                  <c:v>102.59242238406688</c:v>
                </c:pt>
                <c:pt idx="17">
                  <c:v>101.77981757478553</c:v>
                </c:pt>
                <c:pt idx="18">
                  <c:v>100.86540890456611</c:v>
                </c:pt>
                <c:pt idx="19">
                  <c:v>101.01119081604394</c:v>
                </c:pt>
                <c:pt idx="20">
                  <c:v>102.46581429393163</c:v>
                </c:pt>
                <c:pt idx="21">
                  <c:v>102.38714075715289</c:v>
                </c:pt>
                <c:pt idx="22">
                  <c:v>102.2784891028782</c:v>
                </c:pt>
                <c:pt idx="23">
                  <c:v>102.4563795564456</c:v>
                </c:pt>
                <c:pt idx="24">
                  <c:v>103.54989606571446</c:v>
                </c:pt>
                <c:pt idx="25">
                  <c:v>103.63404783716251</c:v>
                </c:pt>
                <c:pt idx="26">
                  <c:v>104.62484744638178</c:v>
                </c:pt>
                <c:pt idx="27">
                  <c:v>104.81049873239736</c:v>
                </c:pt>
                <c:pt idx="28">
                  <c:v>104.88384620769203</c:v>
                </c:pt>
                <c:pt idx="29">
                  <c:v>105.38890900956558</c:v>
                </c:pt>
                <c:pt idx="30">
                  <c:v>105.716233531057</c:v>
                </c:pt>
                <c:pt idx="31">
                  <c:v>105.54458217808521</c:v>
                </c:pt>
                <c:pt idx="32">
                  <c:v>105.90781957129768</c:v>
                </c:pt>
                <c:pt idx="33">
                  <c:v>105.88834140358456</c:v>
                </c:pt>
                <c:pt idx="34">
                  <c:v>106.82816299574218</c:v>
                </c:pt>
                <c:pt idx="35">
                  <c:v>107.27281304306801</c:v>
                </c:pt>
                <c:pt idx="36">
                  <c:v>106.9768361977399</c:v>
                </c:pt>
                <c:pt idx="37">
                  <c:v>106.07125357226549</c:v>
                </c:pt>
                <c:pt idx="38">
                  <c:v>106.50738192121688</c:v>
                </c:pt>
                <c:pt idx="39">
                  <c:v>106.26633959576714</c:v>
                </c:pt>
                <c:pt idx="40">
                  <c:v>107.08746610342297</c:v>
                </c:pt>
                <c:pt idx="41">
                  <c:v>107.48220334598399</c:v>
                </c:pt>
                <c:pt idx="42">
                  <c:v>107.36487782014954</c:v>
                </c:pt>
                <c:pt idx="43">
                  <c:v>107.39135595438455</c:v>
                </c:pt>
                <c:pt idx="44">
                  <c:v>107.74926728611297</c:v>
                </c:pt>
                <c:pt idx="45">
                  <c:v>106.79970661009881</c:v>
                </c:pt>
                <c:pt idx="46">
                  <c:v>107.02537944383742</c:v>
                </c:pt>
                <c:pt idx="47">
                  <c:v>106.15616620963985</c:v>
                </c:pt>
                <c:pt idx="48">
                  <c:v>106.46446908297392</c:v>
                </c:pt>
                <c:pt idx="49">
                  <c:v>107.15092232167582</c:v>
                </c:pt>
                <c:pt idx="50">
                  <c:v>108.09743953398478</c:v>
                </c:pt>
                <c:pt idx="51">
                  <c:v>107.50989886570102</c:v>
                </c:pt>
                <c:pt idx="52">
                  <c:v>106.28125256792245</c:v>
                </c:pt>
                <c:pt idx="53">
                  <c:v>104.50752192054729</c:v>
                </c:pt>
                <c:pt idx="54">
                  <c:v>104.7770206316404</c:v>
                </c:pt>
                <c:pt idx="55">
                  <c:v>106.38899118308559</c:v>
                </c:pt>
                <c:pt idx="56">
                  <c:v>106.28779601488858</c:v>
                </c:pt>
                <c:pt idx="57">
                  <c:v>106.33390449002195</c:v>
                </c:pt>
                <c:pt idx="58">
                  <c:v>105.71440745283387</c:v>
                </c:pt>
                <c:pt idx="59">
                  <c:v>106.72346784428417</c:v>
                </c:pt>
                <c:pt idx="60">
                  <c:v>106.75983723556101</c:v>
                </c:pt>
                <c:pt idx="61">
                  <c:v>107.46439908330869</c:v>
                </c:pt>
                <c:pt idx="62">
                  <c:v>107.62585483286814</c:v>
                </c:pt>
                <c:pt idx="63">
                  <c:v>107.81804956584986</c:v>
                </c:pt>
                <c:pt idx="64">
                  <c:v>107.87800580084178</c:v>
                </c:pt>
                <c:pt idx="65">
                  <c:v>108.21826504308019</c:v>
                </c:pt>
                <c:pt idx="66">
                  <c:v>108.26361265228729</c:v>
                </c:pt>
                <c:pt idx="67">
                  <c:v>108.61452401749379</c:v>
                </c:pt>
                <c:pt idx="68">
                  <c:v>108.71480614657926</c:v>
                </c:pt>
                <c:pt idx="69">
                  <c:v>108.25006923879926</c:v>
                </c:pt>
                <c:pt idx="70">
                  <c:v>109.00347867901498</c:v>
                </c:pt>
                <c:pt idx="71">
                  <c:v>109.10771731091717</c:v>
                </c:pt>
                <c:pt idx="72">
                  <c:v>109.10239124943311</c:v>
                </c:pt>
                <c:pt idx="73">
                  <c:v>108.89041400236776</c:v>
                </c:pt>
                <c:pt idx="74">
                  <c:v>109.29489032878533</c:v>
                </c:pt>
                <c:pt idx="75">
                  <c:v>109.49210677688059</c:v>
                </c:pt>
                <c:pt idx="76">
                  <c:v>109.73238823640403</c:v>
                </c:pt>
                <c:pt idx="77">
                  <c:v>109.59893235293218</c:v>
                </c:pt>
                <c:pt idx="78">
                  <c:v>109.23584713290498</c:v>
                </c:pt>
                <c:pt idx="79">
                  <c:v>108.78419711905721</c:v>
                </c:pt>
                <c:pt idx="80">
                  <c:v>107.42924707751393</c:v>
                </c:pt>
                <c:pt idx="81">
                  <c:v>108.20137381951648</c:v>
                </c:pt>
                <c:pt idx="82">
                  <c:v>108.76502329771463</c:v>
                </c:pt>
                <c:pt idx="83">
                  <c:v>108.80671875047553</c:v>
                </c:pt>
                <c:pt idx="84">
                  <c:v>109.36336826215177</c:v>
                </c:pt>
                <c:pt idx="85">
                  <c:v>109.85503982372256</c:v>
                </c:pt>
                <c:pt idx="86">
                  <c:v>109.87719867426719</c:v>
                </c:pt>
                <c:pt idx="87">
                  <c:v>109.8139036074175</c:v>
                </c:pt>
                <c:pt idx="88">
                  <c:v>109.56012225593702</c:v>
                </c:pt>
                <c:pt idx="89">
                  <c:v>109.84083141341495</c:v>
                </c:pt>
                <c:pt idx="90">
                  <c:v>110.27412294984673</c:v>
                </c:pt>
                <c:pt idx="91">
                  <c:v>110.38303451592186</c:v>
                </c:pt>
                <c:pt idx="92">
                  <c:v>110.07386440760499</c:v>
                </c:pt>
                <c:pt idx="93">
                  <c:v>110.23523128802427</c:v>
                </c:pt>
                <c:pt idx="94">
                  <c:v>109.1163627260913</c:v>
                </c:pt>
                <c:pt idx="95">
                  <c:v>110.11240881021872</c:v>
                </c:pt>
                <c:pt idx="96">
                  <c:v>110.6804008546046</c:v>
                </c:pt>
                <c:pt idx="97">
                  <c:v>110.52711102251249</c:v>
                </c:pt>
                <c:pt idx="98">
                  <c:v>110.4911696944058</c:v>
                </c:pt>
                <c:pt idx="99">
                  <c:v>110.12180809135259</c:v>
                </c:pt>
                <c:pt idx="100">
                  <c:v>109.43870661922919</c:v>
                </c:pt>
                <c:pt idx="101">
                  <c:v>107.65065814902623</c:v>
                </c:pt>
                <c:pt idx="102">
                  <c:v>108.54525630529591</c:v>
                </c:pt>
                <c:pt idx="103">
                  <c:v>109.53182397823313</c:v>
                </c:pt>
                <c:pt idx="104">
                  <c:v>109.99108265134385</c:v>
                </c:pt>
                <c:pt idx="105">
                  <c:v>110.65014471669917</c:v>
                </c:pt>
                <c:pt idx="106">
                  <c:v>110.58029722466543</c:v>
                </c:pt>
                <c:pt idx="107">
                  <c:v>109.93112641635192</c:v>
                </c:pt>
                <c:pt idx="108">
                  <c:v>110.11373423866232</c:v>
                </c:pt>
                <c:pt idx="109">
                  <c:v>111.03712112681198</c:v>
                </c:pt>
                <c:pt idx="110">
                  <c:v>110.20519032300277</c:v>
                </c:pt>
                <c:pt idx="111">
                  <c:v>110.61164490082871</c:v>
                </c:pt>
                <c:pt idx="112">
                  <c:v>111.10955556299511</c:v>
                </c:pt>
                <c:pt idx="113">
                  <c:v>110.99968652323832</c:v>
                </c:pt>
                <c:pt idx="114">
                  <c:v>111.47766249813586</c:v>
                </c:pt>
                <c:pt idx="115">
                  <c:v>111.26796784884939</c:v>
                </c:pt>
                <c:pt idx="116">
                  <c:v>111.25351139624982</c:v>
                </c:pt>
                <c:pt idx="117">
                  <c:v>111.39381507305832</c:v>
                </c:pt>
                <c:pt idx="118">
                  <c:v>111.69633536535258</c:v>
                </c:pt>
                <c:pt idx="119">
                  <c:v>111.80985656155556</c:v>
                </c:pt>
                <c:pt idx="120">
                  <c:v>112.00265998727829</c:v>
                </c:pt>
                <c:pt idx="121">
                  <c:v>111.81396523755753</c:v>
                </c:pt>
                <c:pt idx="122">
                  <c:v>110.95342587491969</c:v>
                </c:pt>
                <c:pt idx="123">
                  <c:v>110.31414632364798</c:v>
                </c:pt>
                <c:pt idx="124">
                  <c:v>109.54643260401795</c:v>
                </c:pt>
                <c:pt idx="125">
                  <c:v>109.95790889695742</c:v>
                </c:pt>
                <c:pt idx="126">
                  <c:v>111.15962054094523</c:v>
                </c:pt>
                <c:pt idx="127">
                  <c:v>111.79174795250977</c:v>
                </c:pt>
                <c:pt idx="128">
                  <c:v>111.96750798148355</c:v>
                </c:pt>
                <c:pt idx="129">
                  <c:v>111.38118469868186</c:v>
                </c:pt>
                <c:pt idx="130">
                  <c:v>112.18831127329391</c:v>
                </c:pt>
                <c:pt idx="131">
                  <c:v>112.72898260051799</c:v>
                </c:pt>
                <c:pt idx="132">
                  <c:v>112.80156920988638</c:v>
                </c:pt>
                <c:pt idx="133">
                  <c:v>113.16648050813669</c:v>
                </c:pt>
                <c:pt idx="134">
                  <c:v>113.4706747054688</c:v>
                </c:pt>
                <c:pt idx="135">
                  <c:v>113.5918045609347</c:v>
                </c:pt>
                <c:pt idx="136">
                  <c:v>113.85780328876686</c:v>
                </c:pt>
                <c:pt idx="137">
                  <c:v>113.5324570186838</c:v>
                </c:pt>
                <c:pt idx="138">
                  <c:v>113.02967681458912</c:v>
                </c:pt>
                <c:pt idx="139">
                  <c:v>112.54378783405816</c:v>
                </c:pt>
                <c:pt idx="140">
                  <c:v>112.19470254707475</c:v>
                </c:pt>
                <c:pt idx="141">
                  <c:v>112.24598491050693</c:v>
                </c:pt>
                <c:pt idx="142">
                  <c:v>111.87346495299369</c:v>
                </c:pt>
                <c:pt idx="143">
                  <c:v>112.16411573683776</c:v>
                </c:pt>
                <c:pt idx="144">
                  <c:v>111.878943187663</c:v>
                </c:pt>
                <c:pt idx="145">
                  <c:v>111.08475133379795</c:v>
                </c:pt>
                <c:pt idx="146">
                  <c:v>109.27343390966389</c:v>
                </c:pt>
                <c:pt idx="147">
                  <c:v>109.41586801106602</c:v>
                </c:pt>
                <c:pt idx="148">
                  <c:v>110.2103642113016</c:v>
                </c:pt>
                <c:pt idx="149">
                  <c:v>111.32442410058037</c:v>
                </c:pt>
                <c:pt idx="150">
                  <c:v>111.1564249040548</c:v>
                </c:pt>
                <c:pt idx="151">
                  <c:v>110.92786077979626</c:v>
                </c:pt>
                <c:pt idx="152">
                  <c:v>108.87413147154513</c:v>
                </c:pt>
                <c:pt idx="153">
                  <c:v>108.6499803696591</c:v>
                </c:pt>
                <c:pt idx="154">
                  <c:v>107.96870101925597</c:v>
                </c:pt>
                <c:pt idx="155">
                  <c:v>108.4145684520639</c:v>
                </c:pt>
                <c:pt idx="156">
                  <c:v>107.36289956874117</c:v>
                </c:pt>
                <c:pt idx="157">
                  <c:v>108.10078734406052</c:v>
                </c:pt>
                <c:pt idx="158">
                  <c:v>107.99639653897306</c:v>
                </c:pt>
                <c:pt idx="159">
                  <c:v>109.23402105468189</c:v>
                </c:pt>
                <c:pt idx="160">
                  <c:v>109.18349955717601</c:v>
                </c:pt>
                <c:pt idx="161">
                  <c:v>108.88737053866261</c:v>
                </c:pt>
                <c:pt idx="162">
                  <c:v>108.54695912323895</c:v>
                </c:pt>
                <c:pt idx="163">
                  <c:v>109.06678272408259</c:v>
                </c:pt>
                <c:pt idx="164">
                  <c:v>110.57390595088454</c:v>
                </c:pt>
                <c:pt idx="165">
                  <c:v>111.5356404817194</c:v>
                </c:pt>
                <c:pt idx="166">
                  <c:v>111.67259634845219</c:v>
                </c:pt>
                <c:pt idx="167">
                  <c:v>112.49296199018173</c:v>
                </c:pt>
                <c:pt idx="168">
                  <c:v>112.92437297039007</c:v>
                </c:pt>
                <c:pt idx="169">
                  <c:v>112.98691614953138</c:v>
                </c:pt>
                <c:pt idx="170">
                  <c:v>112.95130762418086</c:v>
                </c:pt>
                <c:pt idx="171">
                  <c:v>113.269653927742</c:v>
                </c:pt>
                <c:pt idx="172">
                  <c:v>113.49608762740691</c:v>
                </c:pt>
                <c:pt idx="173">
                  <c:v>112.87385147288416</c:v>
                </c:pt>
                <c:pt idx="174">
                  <c:v>113.66956505860178</c:v>
                </c:pt>
                <c:pt idx="175">
                  <c:v>113.40387067714012</c:v>
                </c:pt>
                <c:pt idx="176">
                  <c:v>113.90132481975074</c:v>
                </c:pt>
                <c:pt idx="177">
                  <c:v>114.05775885419665</c:v>
                </c:pt>
                <c:pt idx="178">
                  <c:v>114.56966944940685</c:v>
                </c:pt>
                <c:pt idx="179">
                  <c:v>115.01964555821675</c:v>
                </c:pt>
                <c:pt idx="180">
                  <c:v>115.21549244764468</c:v>
                </c:pt>
                <c:pt idx="181">
                  <c:v>115.43446966123192</c:v>
                </c:pt>
                <c:pt idx="182">
                  <c:v>115.16618833562086</c:v>
                </c:pt>
                <c:pt idx="183">
                  <c:v>114.35190962130167</c:v>
                </c:pt>
                <c:pt idx="184">
                  <c:v>114.43743095141704</c:v>
                </c:pt>
                <c:pt idx="185">
                  <c:v>115.1693839725113</c:v>
                </c:pt>
                <c:pt idx="186">
                  <c:v>115.26631829152107</c:v>
                </c:pt>
                <c:pt idx="187">
                  <c:v>115.47875205814221</c:v>
                </c:pt>
                <c:pt idx="188">
                  <c:v>115.09588432403136</c:v>
                </c:pt>
                <c:pt idx="189">
                  <c:v>115.13042763708509</c:v>
                </c:pt>
                <c:pt idx="190">
                  <c:v>114.8781244959262</c:v>
                </c:pt>
                <c:pt idx="191">
                  <c:v>114.21693200597724</c:v>
                </c:pt>
                <c:pt idx="192">
                  <c:v>114.00769387624656</c:v>
                </c:pt>
                <c:pt idx="193">
                  <c:v>114.02382423388399</c:v>
                </c:pt>
                <c:pt idx="194">
                  <c:v>114.17599741914267</c:v>
                </c:pt>
                <c:pt idx="195">
                  <c:v>111.62314006324308</c:v>
                </c:pt>
                <c:pt idx="196">
                  <c:v>112.33135406743699</c:v>
                </c:pt>
                <c:pt idx="197">
                  <c:v>110.55868863235864</c:v>
                </c:pt>
                <c:pt idx="198">
                  <c:v>110.2722986977018</c:v>
                </c:pt>
                <c:pt idx="199">
                  <c:v>111.10240342328791</c:v>
                </c:pt>
                <c:pt idx="200">
                  <c:v>110.20138599337126</c:v>
                </c:pt>
                <c:pt idx="201">
                  <c:v>111.06420795378799</c:v>
                </c:pt>
                <c:pt idx="202">
                  <c:v>113.40037069387922</c:v>
                </c:pt>
                <c:pt idx="203">
                  <c:v>113.84289031661146</c:v>
                </c:pt>
                <c:pt idx="204">
                  <c:v>113.15826315613266</c:v>
                </c:pt>
                <c:pt idx="205">
                  <c:v>113.56030471158608</c:v>
                </c:pt>
                <c:pt idx="206">
                  <c:v>112.64863515870134</c:v>
                </c:pt>
                <c:pt idx="207">
                  <c:v>111.80422615370094</c:v>
                </c:pt>
                <c:pt idx="208">
                  <c:v>112.89469919926465</c:v>
                </c:pt>
                <c:pt idx="209">
                  <c:v>112.74709120956373</c:v>
                </c:pt>
                <c:pt idx="210">
                  <c:v>111.79722618717906</c:v>
                </c:pt>
                <c:pt idx="211">
                  <c:v>110.28477689889304</c:v>
                </c:pt>
                <c:pt idx="212">
                  <c:v>112.06200752952914</c:v>
                </c:pt>
                <c:pt idx="213">
                  <c:v>113.11535031788974</c:v>
                </c:pt>
                <c:pt idx="214">
                  <c:v>113.9256725293922</c:v>
                </c:pt>
                <c:pt idx="215">
                  <c:v>113.95991149607539</c:v>
                </c:pt>
                <c:pt idx="216">
                  <c:v>114.94629808292216</c:v>
                </c:pt>
                <c:pt idx="217">
                  <c:v>115.05205844667694</c:v>
                </c:pt>
                <c:pt idx="218">
                  <c:v>115.10364515647963</c:v>
                </c:pt>
                <c:pt idx="219">
                  <c:v>114.93671117225087</c:v>
                </c:pt>
                <c:pt idx="220">
                  <c:v>114.86458108243825</c:v>
                </c:pt>
                <c:pt idx="221">
                  <c:v>115.18642736926034</c:v>
                </c:pt>
                <c:pt idx="222">
                  <c:v>115.41270889574</c:v>
                </c:pt>
                <c:pt idx="223">
                  <c:v>113.86191196476882</c:v>
                </c:pt>
                <c:pt idx="224">
                  <c:v>113.22187154757081</c:v>
                </c:pt>
                <c:pt idx="225">
                  <c:v>113.09237216691568</c:v>
                </c:pt>
                <c:pt idx="226">
                  <c:v>112.79685184114332</c:v>
                </c:pt>
                <c:pt idx="227">
                  <c:v>113.76939066813155</c:v>
                </c:pt>
                <c:pt idx="228">
                  <c:v>114.67923414279321</c:v>
                </c:pt>
                <c:pt idx="229">
                  <c:v>113.62300006391271</c:v>
                </c:pt>
                <c:pt idx="230">
                  <c:v>113.2798495311544</c:v>
                </c:pt>
                <c:pt idx="231">
                  <c:v>113.34482748125986</c:v>
                </c:pt>
                <c:pt idx="232">
                  <c:v>111.57003162158789</c:v>
                </c:pt>
                <c:pt idx="233">
                  <c:v>110.74342687926274</c:v>
                </c:pt>
                <c:pt idx="234">
                  <c:v>110.39312420679725</c:v>
                </c:pt>
                <c:pt idx="235">
                  <c:v>108.46965514512755</c:v>
                </c:pt>
                <c:pt idx="236">
                  <c:v>107.62068094456939</c:v>
                </c:pt>
                <c:pt idx="237">
                  <c:v>106.55059910583036</c:v>
                </c:pt>
                <c:pt idx="238">
                  <c:v>106.69394624634404</c:v>
                </c:pt>
                <c:pt idx="239">
                  <c:v>105.7229291512084</c:v>
                </c:pt>
                <c:pt idx="240">
                  <c:v>107.30081290915567</c:v>
                </c:pt>
                <c:pt idx="241">
                  <c:v>109.16523877494498</c:v>
                </c:pt>
                <c:pt idx="242">
                  <c:v>110.09577780280179</c:v>
                </c:pt>
                <c:pt idx="243">
                  <c:v>110.94703460113884</c:v>
                </c:pt>
                <c:pt idx="244">
                  <c:v>108.97973966211464</c:v>
                </c:pt>
                <c:pt idx="245">
                  <c:v>109.37569429015774</c:v>
                </c:pt>
                <c:pt idx="246">
                  <c:v>109.29336859693279</c:v>
                </c:pt>
                <c:pt idx="247">
                  <c:v>109.85686590194567</c:v>
                </c:pt>
                <c:pt idx="248">
                  <c:v>111.57398812440459</c:v>
                </c:pt>
                <c:pt idx="249">
                  <c:v>110.52566705115757</c:v>
                </c:pt>
                <c:pt idx="250">
                  <c:v>108.8745879911009</c:v>
                </c:pt>
                <c:pt idx="251">
                  <c:v>107.78989752657702</c:v>
                </c:pt>
                <c:pt idx="252">
                  <c:v>109.23097759097672</c:v>
                </c:pt>
                <c:pt idx="253">
                  <c:v>109.57945418521909</c:v>
                </c:pt>
                <c:pt idx="254">
                  <c:v>107.95013589065442</c:v>
                </c:pt>
                <c:pt idx="255">
                  <c:v>107.02887942709839</c:v>
                </c:pt>
                <c:pt idx="256">
                  <c:v>106.65803337462297</c:v>
                </c:pt>
                <c:pt idx="257">
                  <c:v>105.69508145830606</c:v>
                </c:pt>
                <c:pt idx="258">
                  <c:v>104.42504405413712</c:v>
                </c:pt>
                <c:pt idx="259">
                  <c:v>103.77541672626781</c:v>
                </c:pt>
                <c:pt idx="260">
                  <c:v>106.29799161830093</c:v>
                </c:pt>
                <c:pt idx="261">
                  <c:v>106.21992677426321</c:v>
                </c:pt>
              </c:numCache>
            </c:numRef>
          </c:val>
          <c:smooth val="0"/>
          <c:extLst xmlns:c16r2="http://schemas.microsoft.com/office/drawing/2015/06/chart">
            <c:ext xmlns:c16="http://schemas.microsoft.com/office/drawing/2014/chart" uri="{C3380CC4-5D6E-409C-BE32-E72D297353CC}">
              <c16:uniqueId val="{00000002-A57B-45B4-B055-1A08107460C4}"/>
            </c:ext>
          </c:extLst>
        </c:ser>
        <c:ser>
          <c:idx val="3"/>
          <c:order val="3"/>
          <c:tx>
            <c:strRef>
              <c:f>'MSCI Chart'!$K$7</c:f>
              <c:strCache>
                <c:ptCount val="1"/>
                <c:pt idx="0">
                  <c:v>MSCI Emerging Markets</c:v>
                </c:pt>
              </c:strCache>
            </c:strRef>
          </c:tx>
          <c:spPr>
            <a:ln w="28575" cap="rnd">
              <a:solidFill>
                <a:schemeClr val="accent6">
                  <a:lumMod val="60000"/>
                </a:schemeClr>
              </a:solidFill>
              <a:round/>
            </a:ln>
            <a:effectLst/>
          </c:spPr>
          <c:marker>
            <c:symbol val="none"/>
          </c:marker>
          <c:cat>
            <c:numRef>
              <c:f>'MSCI Chart'!$G$8:$G$291</c:f>
              <c:numCache>
                <c:formatCode>m/d/yyyy</c:formatCode>
                <c:ptCount val="284"/>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44312</c:v>
                </c:pt>
                <c:pt idx="42">
                  <c:v>44313</c:v>
                </c:pt>
                <c:pt idx="43">
                  <c:v>44314</c:v>
                </c:pt>
                <c:pt idx="44">
                  <c:v>44315</c:v>
                </c:pt>
                <c:pt idx="45">
                  <c:v>44316</c:v>
                </c:pt>
                <c:pt idx="46">
                  <c:v>44319</c:v>
                </c:pt>
                <c:pt idx="47">
                  <c:v>44320</c:v>
                </c:pt>
                <c:pt idx="48">
                  <c:v>44321</c:v>
                </c:pt>
                <c:pt idx="49">
                  <c:v>44322</c:v>
                </c:pt>
                <c:pt idx="50">
                  <c:v>44323</c:v>
                </c:pt>
                <c:pt idx="51">
                  <c:v>44326</c:v>
                </c:pt>
                <c:pt idx="52">
                  <c:v>44327</c:v>
                </c:pt>
                <c:pt idx="53">
                  <c:v>44328</c:v>
                </c:pt>
                <c:pt idx="54">
                  <c:v>44329</c:v>
                </c:pt>
                <c:pt idx="55">
                  <c:v>44330</c:v>
                </c:pt>
                <c:pt idx="56">
                  <c:v>44333</c:v>
                </c:pt>
                <c:pt idx="57">
                  <c:v>44334</c:v>
                </c:pt>
                <c:pt idx="58">
                  <c:v>44335</c:v>
                </c:pt>
                <c:pt idx="59">
                  <c:v>44336</c:v>
                </c:pt>
                <c:pt idx="60">
                  <c:v>44337</c:v>
                </c:pt>
                <c:pt idx="61">
                  <c:v>44340</c:v>
                </c:pt>
                <c:pt idx="62">
                  <c:v>44341</c:v>
                </c:pt>
                <c:pt idx="63">
                  <c:v>44342</c:v>
                </c:pt>
                <c:pt idx="64">
                  <c:v>44343</c:v>
                </c:pt>
                <c:pt idx="65">
                  <c:v>44344</c:v>
                </c:pt>
                <c:pt idx="66">
                  <c:v>44347</c:v>
                </c:pt>
                <c:pt idx="67">
                  <c:v>44348</c:v>
                </c:pt>
                <c:pt idx="68">
                  <c:v>44349</c:v>
                </c:pt>
                <c:pt idx="69">
                  <c:v>44350</c:v>
                </c:pt>
                <c:pt idx="70">
                  <c:v>44351</c:v>
                </c:pt>
                <c:pt idx="71">
                  <c:v>44354</c:v>
                </c:pt>
                <c:pt idx="72">
                  <c:v>44355</c:v>
                </c:pt>
                <c:pt idx="73">
                  <c:v>44356</c:v>
                </c:pt>
                <c:pt idx="74">
                  <c:v>44357</c:v>
                </c:pt>
                <c:pt idx="75">
                  <c:v>44358</c:v>
                </c:pt>
                <c:pt idx="76">
                  <c:v>44361</c:v>
                </c:pt>
                <c:pt idx="77">
                  <c:v>44362</c:v>
                </c:pt>
                <c:pt idx="78">
                  <c:v>44363</c:v>
                </c:pt>
                <c:pt idx="79">
                  <c:v>44364</c:v>
                </c:pt>
                <c:pt idx="80">
                  <c:v>44365</c:v>
                </c:pt>
                <c:pt idx="81">
                  <c:v>44368</c:v>
                </c:pt>
                <c:pt idx="82">
                  <c:v>44369</c:v>
                </c:pt>
                <c:pt idx="83">
                  <c:v>44370</c:v>
                </c:pt>
                <c:pt idx="84">
                  <c:v>44371</c:v>
                </c:pt>
                <c:pt idx="85">
                  <c:v>44372</c:v>
                </c:pt>
                <c:pt idx="86">
                  <c:v>44375</c:v>
                </c:pt>
                <c:pt idx="87">
                  <c:v>44376</c:v>
                </c:pt>
                <c:pt idx="88">
                  <c:v>44377</c:v>
                </c:pt>
                <c:pt idx="89">
                  <c:v>44378</c:v>
                </c:pt>
                <c:pt idx="90">
                  <c:v>44379</c:v>
                </c:pt>
                <c:pt idx="91">
                  <c:v>44382</c:v>
                </c:pt>
                <c:pt idx="92">
                  <c:v>44383</c:v>
                </c:pt>
                <c:pt idx="93">
                  <c:v>44384</c:v>
                </c:pt>
                <c:pt idx="94">
                  <c:v>44385</c:v>
                </c:pt>
                <c:pt idx="95">
                  <c:v>44386</c:v>
                </c:pt>
                <c:pt idx="96">
                  <c:v>44389</c:v>
                </c:pt>
                <c:pt idx="97">
                  <c:v>44390</c:v>
                </c:pt>
                <c:pt idx="98">
                  <c:v>44391</c:v>
                </c:pt>
                <c:pt idx="99">
                  <c:v>44392</c:v>
                </c:pt>
                <c:pt idx="100">
                  <c:v>44393</c:v>
                </c:pt>
                <c:pt idx="101">
                  <c:v>44396</c:v>
                </c:pt>
                <c:pt idx="102">
                  <c:v>44397</c:v>
                </c:pt>
                <c:pt idx="103">
                  <c:v>44398</c:v>
                </c:pt>
                <c:pt idx="104">
                  <c:v>44399</c:v>
                </c:pt>
                <c:pt idx="105">
                  <c:v>44400</c:v>
                </c:pt>
                <c:pt idx="106">
                  <c:v>44403</c:v>
                </c:pt>
                <c:pt idx="107">
                  <c:v>44404</c:v>
                </c:pt>
                <c:pt idx="108">
                  <c:v>44405</c:v>
                </c:pt>
                <c:pt idx="109">
                  <c:v>44406</c:v>
                </c:pt>
                <c:pt idx="110">
                  <c:v>44407</c:v>
                </c:pt>
                <c:pt idx="111">
                  <c:v>44410</c:v>
                </c:pt>
                <c:pt idx="112">
                  <c:v>44411</c:v>
                </c:pt>
                <c:pt idx="113">
                  <c:v>44412</c:v>
                </c:pt>
                <c:pt idx="114">
                  <c:v>44413</c:v>
                </c:pt>
                <c:pt idx="115">
                  <c:v>44414</c:v>
                </c:pt>
                <c:pt idx="116">
                  <c:v>44417</c:v>
                </c:pt>
                <c:pt idx="117">
                  <c:v>44418</c:v>
                </c:pt>
                <c:pt idx="118">
                  <c:v>44419</c:v>
                </c:pt>
                <c:pt idx="119">
                  <c:v>44420</c:v>
                </c:pt>
                <c:pt idx="120">
                  <c:v>44421</c:v>
                </c:pt>
                <c:pt idx="121">
                  <c:v>44424</c:v>
                </c:pt>
                <c:pt idx="122">
                  <c:v>44425</c:v>
                </c:pt>
                <c:pt idx="123">
                  <c:v>44426</c:v>
                </c:pt>
                <c:pt idx="124">
                  <c:v>44427</c:v>
                </c:pt>
                <c:pt idx="125">
                  <c:v>44428</c:v>
                </c:pt>
                <c:pt idx="126">
                  <c:v>44431</c:v>
                </c:pt>
                <c:pt idx="127">
                  <c:v>44432</c:v>
                </c:pt>
                <c:pt idx="128">
                  <c:v>44433</c:v>
                </c:pt>
                <c:pt idx="129">
                  <c:v>44434</c:v>
                </c:pt>
                <c:pt idx="130">
                  <c:v>44435</c:v>
                </c:pt>
                <c:pt idx="131">
                  <c:v>44438</c:v>
                </c:pt>
                <c:pt idx="132">
                  <c:v>44439</c:v>
                </c:pt>
                <c:pt idx="133">
                  <c:v>44440</c:v>
                </c:pt>
                <c:pt idx="134">
                  <c:v>44441</c:v>
                </c:pt>
                <c:pt idx="135">
                  <c:v>44442</c:v>
                </c:pt>
                <c:pt idx="136">
                  <c:v>44445</c:v>
                </c:pt>
                <c:pt idx="137">
                  <c:v>44446</c:v>
                </c:pt>
                <c:pt idx="138">
                  <c:v>44447</c:v>
                </c:pt>
                <c:pt idx="139">
                  <c:v>44448</c:v>
                </c:pt>
                <c:pt idx="140">
                  <c:v>44449</c:v>
                </c:pt>
                <c:pt idx="141">
                  <c:v>44452</c:v>
                </c:pt>
                <c:pt idx="142">
                  <c:v>44453</c:v>
                </c:pt>
                <c:pt idx="143">
                  <c:v>44454</c:v>
                </c:pt>
                <c:pt idx="144">
                  <c:v>44455</c:v>
                </c:pt>
                <c:pt idx="145">
                  <c:v>44456</c:v>
                </c:pt>
                <c:pt idx="146">
                  <c:v>44459</c:v>
                </c:pt>
                <c:pt idx="147">
                  <c:v>44460</c:v>
                </c:pt>
                <c:pt idx="148">
                  <c:v>44461</c:v>
                </c:pt>
                <c:pt idx="149">
                  <c:v>44462</c:v>
                </c:pt>
                <c:pt idx="150">
                  <c:v>44463</c:v>
                </c:pt>
                <c:pt idx="151">
                  <c:v>44466</c:v>
                </c:pt>
                <c:pt idx="152">
                  <c:v>44467</c:v>
                </c:pt>
                <c:pt idx="153">
                  <c:v>44468</c:v>
                </c:pt>
                <c:pt idx="154">
                  <c:v>44469</c:v>
                </c:pt>
                <c:pt idx="155">
                  <c:v>44470</c:v>
                </c:pt>
                <c:pt idx="156">
                  <c:v>44473</c:v>
                </c:pt>
                <c:pt idx="157">
                  <c:v>44474</c:v>
                </c:pt>
                <c:pt idx="158">
                  <c:v>44475</c:v>
                </c:pt>
                <c:pt idx="159">
                  <c:v>44476</c:v>
                </c:pt>
                <c:pt idx="160">
                  <c:v>44477</c:v>
                </c:pt>
                <c:pt idx="161">
                  <c:v>44480</c:v>
                </c:pt>
                <c:pt idx="162">
                  <c:v>44481</c:v>
                </c:pt>
                <c:pt idx="163">
                  <c:v>44482</c:v>
                </c:pt>
                <c:pt idx="164">
                  <c:v>44483</c:v>
                </c:pt>
                <c:pt idx="165">
                  <c:v>44484</c:v>
                </c:pt>
                <c:pt idx="166">
                  <c:v>44487</c:v>
                </c:pt>
                <c:pt idx="167">
                  <c:v>44488</c:v>
                </c:pt>
                <c:pt idx="168">
                  <c:v>44489</c:v>
                </c:pt>
                <c:pt idx="169">
                  <c:v>44490</c:v>
                </c:pt>
                <c:pt idx="170">
                  <c:v>44491</c:v>
                </c:pt>
                <c:pt idx="171">
                  <c:v>44494</c:v>
                </c:pt>
                <c:pt idx="172">
                  <c:v>44495</c:v>
                </c:pt>
                <c:pt idx="173">
                  <c:v>44496</c:v>
                </c:pt>
                <c:pt idx="174">
                  <c:v>44497</c:v>
                </c:pt>
                <c:pt idx="175">
                  <c:v>44498</c:v>
                </c:pt>
                <c:pt idx="176">
                  <c:v>44501</c:v>
                </c:pt>
                <c:pt idx="177">
                  <c:v>44502</c:v>
                </c:pt>
                <c:pt idx="178">
                  <c:v>44503</c:v>
                </c:pt>
                <c:pt idx="179">
                  <c:v>44504</c:v>
                </c:pt>
                <c:pt idx="180">
                  <c:v>44505</c:v>
                </c:pt>
                <c:pt idx="181">
                  <c:v>44508</c:v>
                </c:pt>
                <c:pt idx="182">
                  <c:v>44509</c:v>
                </c:pt>
                <c:pt idx="183">
                  <c:v>44510</c:v>
                </c:pt>
                <c:pt idx="184">
                  <c:v>44511</c:v>
                </c:pt>
                <c:pt idx="185">
                  <c:v>44512</c:v>
                </c:pt>
                <c:pt idx="186">
                  <c:v>44515</c:v>
                </c:pt>
                <c:pt idx="187">
                  <c:v>44516</c:v>
                </c:pt>
                <c:pt idx="188">
                  <c:v>44517</c:v>
                </c:pt>
                <c:pt idx="189">
                  <c:v>44518</c:v>
                </c:pt>
                <c:pt idx="190">
                  <c:v>44519</c:v>
                </c:pt>
                <c:pt idx="191">
                  <c:v>44522</c:v>
                </c:pt>
                <c:pt idx="192">
                  <c:v>44523</c:v>
                </c:pt>
                <c:pt idx="193">
                  <c:v>44524</c:v>
                </c:pt>
                <c:pt idx="194">
                  <c:v>44525</c:v>
                </c:pt>
                <c:pt idx="195">
                  <c:v>44526</c:v>
                </c:pt>
                <c:pt idx="196">
                  <c:v>44529</c:v>
                </c:pt>
                <c:pt idx="197">
                  <c:v>44530</c:v>
                </c:pt>
                <c:pt idx="198">
                  <c:v>44531</c:v>
                </c:pt>
                <c:pt idx="199">
                  <c:v>44532</c:v>
                </c:pt>
                <c:pt idx="200">
                  <c:v>44533</c:v>
                </c:pt>
                <c:pt idx="201">
                  <c:v>44536</c:v>
                </c:pt>
                <c:pt idx="202">
                  <c:v>44537</c:v>
                </c:pt>
                <c:pt idx="203">
                  <c:v>44538</c:v>
                </c:pt>
                <c:pt idx="204">
                  <c:v>44539</c:v>
                </c:pt>
                <c:pt idx="205">
                  <c:v>44540</c:v>
                </c:pt>
                <c:pt idx="206">
                  <c:v>44543</c:v>
                </c:pt>
                <c:pt idx="207">
                  <c:v>44544</c:v>
                </c:pt>
                <c:pt idx="208">
                  <c:v>44545</c:v>
                </c:pt>
                <c:pt idx="209">
                  <c:v>44546</c:v>
                </c:pt>
                <c:pt idx="210">
                  <c:v>44547</c:v>
                </c:pt>
                <c:pt idx="211">
                  <c:v>44550</c:v>
                </c:pt>
                <c:pt idx="212">
                  <c:v>44551</c:v>
                </c:pt>
                <c:pt idx="213">
                  <c:v>44552</c:v>
                </c:pt>
                <c:pt idx="214">
                  <c:v>44553</c:v>
                </c:pt>
                <c:pt idx="215">
                  <c:v>44554</c:v>
                </c:pt>
                <c:pt idx="216">
                  <c:v>44557</c:v>
                </c:pt>
                <c:pt idx="217">
                  <c:v>44558</c:v>
                </c:pt>
                <c:pt idx="218">
                  <c:v>44559</c:v>
                </c:pt>
                <c:pt idx="219">
                  <c:v>44560</c:v>
                </c:pt>
                <c:pt idx="220">
                  <c:v>44561</c:v>
                </c:pt>
                <c:pt idx="221">
                  <c:v>44564</c:v>
                </c:pt>
                <c:pt idx="222">
                  <c:v>44565</c:v>
                </c:pt>
                <c:pt idx="223">
                  <c:v>44566</c:v>
                </c:pt>
                <c:pt idx="224">
                  <c:v>44567</c:v>
                </c:pt>
                <c:pt idx="225">
                  <c:v>44568</c:v>
                </c:pt>
                <c:pt idx="226">
                  <c:v>44571</c:v>
                </c:pt>
                <c:pt idx="227">
                  <c:v>44572</c:v>
                </c:pt>
                <c:pt idx="228">
                  <c:v>44573</c:v>
                </c:pt>
                <c:pt idx="229">
                  <c:v>44574</c:v>
                </c:pt>
                <c:pt idx="230">
                  <c:v>44575</c:v>
                </c:pt>
                <c:pt idx="231">
                  <c:v>44578</c:v>
                </c:pt>
                <c:pt idx="232">
                  <c:v>44579</c:v>
                </c:pt>
                <c:pt idx="233">
                  <c:v>44580</c:v>
                </c:pt>
                <c:pt idx="234">
                  <c:v>44581</c:v>
                </c:pt>
                <c:pt idx="235">
                  <c:v>44582</c:v>
                </c:pt>
                <c:pt idx="236">
                  <c:v>44585</c:v>
                </c:pt>
                <c:pt idx="237">
                  <c:v>44586</c:v>
                </c:pt>
                <c:pt idx="238">
                  <c:v>44587</c:v>
                </c:pt>
                <c:pt idx="239">
                  <c:v>44588</c:v>
                </c:pt>
                <c:pt idx="240">
                  <c:v>44589</c:v>
                </c:pt>
                <c:pt idx="241">
                  <c:v>44592</c:v>
                </c:pt>
                <c:pt idx="242">
                  <c:v>44593</c:v>
                </c:pt>
                <c:pt idx="243">
                  <c:v>44594</c:v>
                </c:pt>
                <c:pt idx="244">
                  <c:v>44595</c:v>
                </c:pt>
                <c:pt idx="245">
                  <c:v>44596</c:v>
                </c:pt>
                <c:pt idx="246">
                  <c:v>44599</c:v>
                </c:pt>
                <c:pt idx="247">
                  <c:v>44600</c:v>
                </c:pt>
                <c:pt idx="248">
                  <c:v>44601</c:v>
                </c:pt>
                <c:pt idx="249">
                  <c:v>44602</c:v>
                </c:pt>
                <c:pt idx="250">
                  <c:v>44603</c:v>
                </c:pt>
                <c:pt idx="251">
                  <c:v>44606</c:v>
                </c:pt>
                <c:pt idx="252">
                  <c:v>44607</c:v>
                </c:pt>
                <c:pt idx="253">
                  <c:v>44608</c:v>
                </c:pt>
                <c:pt idx="254">
                  <c:v>44609</c:v>
                </c:pt>
                <c:pt idx="255">
                  <c:v>44610</c:v>
                </c:pt>
                <c:pt idx="256">
                  <c:v>44613</c:v>
                </c:pt>
                <c:pt idx="257">
                  <c:v>44614</c:v>
                </c:pt>
                <c:pt idx="258">
                  <c:v>44615</c:v>
                </c:pt>
                <c:pt idx="259">
                  <c:v>44616</c:v>
                </c:pt>
                <c:pt idx="260">
                  <c:v>44617</c:v>
                </c:pt>
                <c:pt idx="261">
                  <c:v>44620</c:v>
                </c:pt>
                <c:pt idx="262">
                  <c:v>44621</c:v>
                </c:pt>
              </c:numCache>
            </c:numRef>
          </c:cat>
          <c:val>
            <c:numRef>
              <c:f>'MSCI Chart'!$K$8:$K$291</c:f>
              <c:numCache>
                <c:formatCode>0</c:formatCode>
                <c:ptCount val="284"/>
                <c:pt idx="0" formatCode="0.0">
                  <c:v>100</c:v>
                </c:pt>
                <c:pt idx="1">
                  <c:v>101.73274922923797</c:v>
                </c:pt>
                <c:pt idx="2">
                  <c:v>101.52240903365221</c:v>
                </c:pt>
                <c:pt idx="3">
                  <c:v>102.89413772840059</c:v>
                </c:pt>
                <c:pt idx="4">
                  <c:v>100.5288745492844</c:v>
                </c:pt>
                <c:pt idx="5">
                  <c:v>100.00410674858266</c:v>
                </c:pt>
                <c:pt idx="6">
                  <c:v>97.676326983802269</c:v>
                </c:pt>
                <c:pt idx="7">
                  <c:v>98.401728119803607</c:v>
                </c:pt>
                <c:pt idx="8">
                  <c:v>98.927765279158123</c:v>
                </c:pt>
                <c:pt idx="9">
                  <c:v>101.36926464559883</c:v>
                </c:pt>
                <c:pt idx="10">
                  <c:v>100.66783198768874</c:v>
                </c:pt>
                <c:pt idx="11">
                  <c:v>100.07377213817495</c:v>
                </c:pt>
                <c:pt idx="12">
                  <c:v>100.73234527451378</c:v>
                </c:pt>
                <c:pt idx="13">
                  <c:v>100.26432527240813</c:v>
                </c:pt>
                <c:pt idx="14">
                  <c:v>100.60249735114719</c:v>
                </c:pt>
                <c:pt idx="15">
                  <c:v>99.819303062365108</c:v>
                </c:pt>
                <c:pt idx="16">
                  <c:v>99.776966217886184</c:v>
                </c:pt>
                <c:pt idx="17">
                  <c:v>98.843240926512379</c:v>
                </c:pt>
                <c:pt idx="18">
                  <c:v>96.95204587014166</c:v>
                </c:pt>
                <c:pt idx="19">
                  <c:v>96.203796278389788</c:v>
                </c:pt>
                <c:pt idx="20">
                  <c:v>97.626821996342798</c:v>
                </c:pt>
                <c:pt idx="21">
                  <c:v>97.823721923840012</c:v>
                </c:pt>
                <c:pt idx="22">
                  <c:v>98.524333232033584</c:v>
                </c:pt>
                <c:pt idx="23">
                  <c:v>98.295027324811741</c:v>
                </c:pt>
                <c:pt idx="24">
                  <c:v>99.699610008221001</c:v>
                </c:pt>
                <c:pt idx="25">
                  <c:v>99.922867794802983</c:v>
                </c:pt>
                <c:pt idx="26">
                  <c:v>99.964756630345619</c:v>
                </c:pt>
                <c:pt idx="27">
                  <c:v>100.57106205745119</c:v>
                </c:pt>
                <c:pt idx="28">
                  <c:v>99.962665921976267</c:v>
                </c:pt>
                <c:pt idx="29">
                  <c:v>100.30591543532655</c:v>
                </c:pt>
                <c:pt idx="30">
                  <c:v>99.33575208380158</c:v>
                </c:pt>
                <c:pt idx="31">
                  <c:v>98.734822763931419</c:v>
                </c:pt>
                <c:pt idx="32">
                  <c:v>98.856531858288818</c:v>
                </c:pt>
                <c:pt idx="33">
                  <c:v>99.800486687041143</c:v>
                </c:pt>
                <c:pt idx="34">
                  <c:v>100.13649338925484</c:v>
                </c:pt>
                <c:pt idx="35">
                  <c:v>100.704419384152</c:v>
                </c:pt>
                <c:pt idx="36">
                  <c:v>100.6938911741493</c:v>
                </c:pt>
                <c:pt idx="37">
                  <c:v>100.62325509852838</c:v>
                </c:pt>
                <c:pt idx="38">
                  <c:v>99.821244434422326</c:v>
                </c:pt>
                <c:pt idx="39">
                  <c:v>100.16180589415491</c:v>
                </c:pt>
                <c:pt idx="40">
                  <c:v>101.02750849536947</c:v>
                </c:pt>
                <c:pt idx="41">
                  <c:v>101.5963305081392</c:v>
                </c:pt>
                <c:pt idx="42">
                  <c:v>101.69481780596585</c:v>
                </c:pt>
                <c:pt idx="43">
                  <c:v>101.91912094673251</c:v>
                </c:pt>
                <c:pt idx="44">
                  <c:v>101.88761098488047</c:v>
                </c:pt>
                <c:pt idx="45">
                  <c:v>100.62370310746468</c:v>
                </c:pt>
                <c:pt idx="46">
                  <c:v>99.97252211857456</c:v>
                </c:pt>
                <c:pt idx="47">
                  <c:v>99.681092305521219</c:v>
                </c:pt>
                <c:pt idx="48">
                  <c:v>99.536310750945134</c:v>
                </c:pt>
                <c:pt idx="49">
                  <c:v>100.11483962400105</c:v>
                </c:pt>
                <c:pt idx="50">
                  <c:v>100.69523520095815</c:v>
                </c:pt>
                <c:pt idx="51">
                  <c:v>100.52977056715693</c:v>
                </c:pt>
                <c:pt idx="52">
                  <c:v>99.240027507748692</c:v>
                </c:pt>
                <c:pt idx="53">
                  <c:v>98.207217573299872</c:v>
                </c:pt>
                <c:pt idx="54">
                  <c:v>96.529648111381007</c:v>
                </c:pt>
                <c:pt idx="55">
                  <c:v>97.631152749393536</c:v>
                </c:pt>
                <c:pt idx="56">
                  <c:v>97.923851921099669</c:v>
                </c:pt>
                <c:pt idx="57">
                  <c:v>99.546241615699444</c:v>
                </c:pt>
                <c:pt idx="58">
                  <c:v>99.124814542967428</c:v>
                </c:pt>
                <c:pt idx="59">
                  <c:v>99.25682784285938</c:v>
                </c:pt>
                <c:pt idx="60">
                  <c:v>99.311708937554272</c:v>
                </c:pt>
                <c:pt idx="61">
                  <c:v>99.060599928766592</c:v>
                </c:pt>
                <c:pt idx="62">
                  <c:v>100.46548128480002</c:v>
                </c:pt>
                <c:pt idx="63">
                  <c:v>100.94776290471073</c:v>
                </c:pt>
                <c:pt idx="64">
                  <c:v>101.12412908929488</c:v>
                </c:pt>
                <c:pt idx="65">
                  <c:v>101.60708272261</c:v>
                </c:pt>
                <c:pt idx="66">
                  <c:v>102.75891369779853</c:v>
                </c:pt>
                <c:pt idx="67">
                  <c:v>103.85190616602164</c:v>
                </c:pt>
                <c:pt idx="68">
                  <c:v>103.67419595462862</c:v>
                </c:pt>
                <c:pt idx="69">
                  <c:v>103.30884466708828</c:v>
                </c:pt>
                <c:pt idx="70">
                  <c:v>103.15846300080864</c:v>
                </c:pt>
                <c:pt idx="71">
                  <c:v>103.08625889391072</c:v>
                </c:pt>
                <c:pt idx="72">
                  <c:v>102.85030752080065</c:v>
                </c:pt>
                <c:pt idx="73">
                  <c:v>102.50474329461289</c:v>
                </c:pt>
                <c:pt idx="74">
                  <c:v>102.95618696607598</c:v>
                </c:pt>
                <c:pt idx="75">
                  <c:v>103.19079431237718</c:v>
                </c:pt>
                <c:pt idx="76">
                  <c:v>103.28032143147811</c:v>
                </c:pt>
                <c:pt idx="77">
                  <c:v>102.9126554311003</c:v>
                </c:pt>
                <c:pt idx="78">
                  <c:v>102.29537378505573</c:v>
                </c:pt>
                <c:pt idx="79">
                  <c:v>101.76410985477787</c:v>
                </c:pt>
                <c:pt idx="80">
                  <c:v>101.64172874701605</c:v>
                </c:pt>
                <c:pt idx="81">
                  <c:v>100.84106210971883</c:v>
                </c:pt>
                <c:pt idx="82">
                  <c:v>100.56605929099595</c:v>
                </c:pt>
                <c:pt idx="83">
                  <c:v>101.58565296182437</c:v>
                </c:pt>
                <c:pt idx="84">
                  <c:v>102.10078857039596</c:v>
                </c:pt>
                <c:pt idx="85">
                  <c:v>103.01114272892691</c:v>
                </c:pt>
                <c:pt idx="86">
                  <c:v>103.1094060222854</c:v>
                </c:pt>
                <c:pt idx="87">
                  <c:v>102.82917643263917</c:v>
                </c:pt>
                <c:pt idx="88">
                  <c:v>102.64161002464789</c:v>
                </c:pt>
                <c:pt idx="89">
                  <c:v>102.16238979913513</c:v>
                </c:pt>
                <c:pt idx="90">
                  <c:v>101.2039493481096</c:v>
                </c:pt>
                <c:pt idx="91">
                  <c:v>101.135403980858</c:v>
                </c:pt>
                <c:pt idx="92">
                  <c:v>100.54649623411149</c:v>
                </c:pt>
                <c:pt idx="93">
                  <c:v>100.10610344974343</c:v>
                </c:pt>
                <c:pt idx="94">
                  <c:v>98.281736393035203</c:v>
                </c:pt>
                <c:pt idx="95">
                  <c:v>98.425696597894756</c:v>
                </c:pt>
                <c:pt idx="96">
                  <c:v>99.071874820329697</c:v>
                </c:pt>
                <c:pt idx="97">
                  <c:v>100.01904037979205</c:v>
                </c:pt>
                <c:pt idx="98">
                  <c:v>99.915848988134442</c:v>
                </c:pt>
                <c:pt idx="99">
                  <c:v>100.68881373953801</c:v>
                </c:pt>
                <c:pt idx="100">
                  <c:v>100.06145189242704</c:v>
                </c:pt>
                <c:pt idx="101">
                  <c:v>98.35438850886942</c:v>
                </c:pt>
                <c:pt idx="102">
                  <c:v>97.89547802180158</c:v>
                </c:pt>
                <c:pt idx="103">
                  <c:v>97.975820957708663</c:v>
                </c:pt>
                <c:pt idx="104">
                  <c:v>99.038124813796244</c:v>
                </c:pt>
                <c:pt idx="105">
                  <c:v>97.91250236138039</c:v>
                </c:pt>
                <c:pt idx="106">
                  <c:v>95.574269054753387</c:v>
                </c:pt>
                <c:pt idx="107">
                  <c:v>93.516862683020946</c:v>
                </c:pt>
                <c:pt idx="108">
                  <c:v>94.694678176513989</c:v>
                </c:pt>
                <c:pt idx="109">
                  <c:v>96.726025361785844</c:v>
                </c:pt>
                <c:pt idx="110">
                  <c:v>95.411343138257763</c:v>
                </c:pt>
                <c:pt idx="111">
                  <c:v>96.554213934720579</c:v>
                </c:pt>
                <c:pt idx="112">
                  <c:v>96.633884857223237</c:v>
                </c:pt>
                <c:pt idx="113">
                  <c:v>97.366603472517212</c:v>
                </c:pt>
                <c:pt idx="114">
                  <c:v>97.075547000244114</c:v>
                </c:pt>
                <c:pt idx="115">
                  <c:v>96.510831736056971</c:v>
                </c:pt>
                <c:pt idx="116">
                  <c:v>96.635826229280454</c:v>
                </c:pt>
                <c:pt idx="117">
                  <c:v>97.093392689539456</c:v>
                </c:pt>
                <c:pt idx="118">
                  <c:v>96.888204596720968</c:v>
                </c:pt>
                <c:pt idx="119">
                  <c:v>96.390018659572149</c:v>
                </c:pt>
                <c:pt idx="120">
                  <c:v>95.639678359450954</c:v>
                </c:pt>
                <c:pt idx="121">
                  <c:v>94.991857437582951</c:v>
                </c:pt>
                <c:pt idx="122">
                  <c:v>93.766627664999774</c:v>
                </c:pt>
                <c:pt idx="123">
                  <c:v>94.201345669508228</c:v>
                </c:pt>
                <c:pt idx="124">
                  <c:v>92.022006198950265</c:v>
                </c:pt>
                <c:pt idx="125">
                  <c:v>91.153242203337769</c:v>
                </c:pt>
                <c:pt idx="126">
                  <c:v>92.404157821601288</c:v>
                </c:pt>
                <c:pt idx="127">
                  <c:v>94.82937953002363</c:v>
                </c:pt>
                <c:pt idx="128">
                  <c:v>95.224747416295074</c:v>
                </c:pt>
                <c:pt idx="129">
                  <c:v>94.53989108902752</c:v>
                </c:pt>
                <c:pt idx="130">
                  <c:v>95.028146161422029</c:v>
                </c:pt>
                <c:pt idx="131">
                  <c:v>95.977701101877912</c:v>
                </c:pt>
                <c:pt idx="132">
                  <c:v>97.715975774663391</c:v>
                </c:pt>
                <c:pt idx="133">
                  <c:v>97.997549391118469</c:v>
                </c:pt>
                <c:pt idx="134">
                  <c:v>97.958124604725398</c:v>
                </c:pt>
                <c:pt idx="135">
                  <c:v>98.256871897071392</c:v>
                </c:pt>
                <c:pt idx="136">
                  <c:v>98.888415160921028</c:v>
                </c:pt>
                <c:pt idx="137">
                  <c:v>98.983617059881567</c:v>
                </c:pt>
                <c:pt idx="138">
                  <c:v>98.084313788445655</c:v>
                </c:pt>
                <c:pt idx="139">
                  <c:v>97.06628814889423</c:v>
                </c:pt>
                <c:pt idx="140">
                  <c:v>97.736285513108314</c:v>
                </c:pt>
                <c:pt idx="141">
                  <c:v>97.183890494669015</c:v>
                </c:pt>
                <c:pt idx="142">
                  <c:v>96.780906456480722</c:v>
                </c:pt>
                <c:pt idx="143">
                  <c:v>96.223209998962062</c:v>
                </c:pt>
                <c:pt idx="144">
                  <c:v>95.334808278309069</c:v>
                </c:pt>
                <c:pt idx="145">
                  <c:v>95.526406766726922</c:v>
                </c:pt>
                <c:pt idx="146">
                  <c:v>93.949639315472169</c:v>
                </c:pt>
                <c:pt idx="147">
                  <c:v>94.186785379078984</c:v>
                </c:pt>
                <c:pt idx="148">
                  <c:v>94.290275443360784</c:v>
                </c:pt>
                <c:pt idx="149">
                  <c:v>95.016796601702822</c:v>
                </c:pt>
                <c:pt idx="150">
                  <c:v>94.462833551986535</c:v>
                </c:pt>
                <c:pt idx="151">
                  <c:v>94.631359580185702</c:v>
                </c:pt>
                <c:pt idx="152">
                  <c:v>94.148032606090325</c:v>
                </c:pt>
                <c:pt idx="153">
                  <c:v>93.430919635410277</c:v>
                </c:pt>
                <c:pt idx="154">
                  <c:v>93.566442338636463</c:v>
                </c:pt>
                <c:pt idx="155">
                  <c:v>93.081397996952006</c:v>
                </c:pt>
                <c:pt idx="156">
                  <c:v>92.320753491296259</c:v>
                </c:pt>
                <c:pt idx="157">
                  <c:v>92.328070970588911</c:v>
                </c:pt>
                <c:pt idx="158">
                  <c:v>91.62768366686349</c:v>
                </c:pt>
                <c:pt idx="159">
                  <c:v>93.580106611193159</c:v>
                </c:pt>
                <c:pt idx="160">
                  <c:v>93.861008214243796</c:v>
                </c:pt>
                <c:pt idx="161">
                  <c:v>94.504050374124745</c:v>
                </c:pt>
                <c:pt idx="162">
                  <c:v>93.606165797653716</c:v>
                </c:pt>
                <c:pt idx="163">
                  <c:v>94.098975627567128</c:v>
                </c:pt>
                <c:pt idx="164">
                  <c:v>94.579838552512939</c:v>
                </c:pt>
                <c:pt idx="165">
                  <c:v>95.849421209788332</c:v>
                </c:pt>
                <c:pt idx="166">
                  <c:v>95.800513567577227</c:v>
                </c:pt>
                <c:pt idx="167">
                  <c:v>96.662856101769648</c:v>
                </c:pt>
                <c:pt idx="168">
                  <c:v>97.152903209909283</c:v>
                </c:pt>
                <c:pt idx="169">
                  <c:v>96.546075105711367</c:v>
                </c:pt>
                <c:pt idx="170">
                  <c:v>96.556379311245934</c:v>
                </c:pt>
                <c:pt idx="171">
                  <c:v>96.863937446005522</c:v>
                </c:pt>
                <c:pt idx="172">
                  <c:v>96.774410326904572</c:v>
                </c:pt>
                <c:pt idx="173">
                  <c:v>95.790657370978948</c:v>
                </c:pt>
                <c:pt idx="174">
                  <c:v>95.281644551203243</c:v>
                </c:pt>
                <c:pt idx="175">
                  <c:v>94.43684903368198</c:v>
                </c:pt>
                <c:pt idx="176">
                  <c:v>94.420496707507596</c:v>
                </c:pt>
                <c:pt idx="177">
                  <c:v>94.377263845156094</c:v>
                </c:pt>
                <c:pt idx="178">
                  <c:v>94.265485615553018</c:v>
                </c:pt>
                <c:pt idx="179">
                  <c:v>94.712897206589545</c:v>
                </c:pt>
                <c:pt idx="180">
                  <c:v>94.385402674165277</c:v>
                </c:pt>
                <c:pt idx="181">
                  <c:v>94.740673760639211</c:v>
                </c:pt>
                <c:pt idx="182">
                  <c:v>95.049202581427409</c:v>
                </c:pt>
                <c:pt idx="183">
                  <c:v>95.156351385355563</c:v>
                </c:pt>
                <c:pt idx="184">
                  <c:v>95.679551154780285</c:v>
                </c:pt>
                <c:pt idx="185">
                  <c:v>95.984346567766124</c:v>
                </c:pt>
                <c:pt idx="186">
                  <c:v>96.084103224245581</c:v>
                </c:pt>
                <c:pt idx="187">
                  <c:v>96.362839450770835</c:v>
                </c:pt>
                <c:pt idx="188">
                  <c:v>96.088209972828167</c:v>
                </c:pt>
                <c:pt idx="189">
                  <c:v>95.117523944210845</c:v>
                </c:pt>
                <c:pt idx="190">
                  <c:v>94.77046635490214</c:v>
                </c:pt>
                <c:pt idx="191">
                  <c:v>94.198134938798162</c:v>
                </c:pt>
                <c:pt idx="192">
                  <c:v>93.73765642045332</c:v>
                </c:pt>
                <c:pt idx="193">
                  <c:v>93.57054908721905</c:v>
                </c:pt>
                <c:pt idx="194">
                  <c:v>93.685239374907994</c:v>
                </c:pt>
                <c:pt idx="195">
                  <c:v>91.329011042673528</c:v>
                </c:pt>
                <c:pt idx="196">
                  <c:v>91.019511535856708</c:v>
                </c:pt>
                <c:pt idx="197">
                  <c:v>90.529165755092862</c:v>
                </c:pt>
                <c:pt idx="198">
                  <c:v>91.603640520616167</c:v>
                </c:pt>
                <c:pt idx="199">
                  <c:v>92.304326496965771</c:v>
                </c:pt>
                <c:pt idx="200">
                  <c:v>91.441909294617318</c:v>
                </c:pt>
                <c:pt idx="201">
                  <c:v>90.644005379093883</c:v>
                </c:pt>
                <c:pt idx="202">
                  <c:v>92.256986886031669</c:v>
                </c:pt>
                <c:pt idx="203">
                  <c:v>92.663928336490471</c:v>
                </c:pt>
                <c:pt idx="204">
                  <c:v>93.164428986476764</c:v>
                </c:pt>
                <c:pt idx="205">
                  <c:v>92.479124650272951</c:v>
                </c:pt>
                <c:pt idx="206">
                  <c:v>91.887155509128476</c:v>
                </c:pt>
                <c:pt idx="207">
                  <c:v>91.251953505632514</c:v>
                </c:pt>
                <c:pt idx="208">
                  <c:v>90.684176847047453</c:v>
                </c:pt>
                <c:pt idx="209">
                  <c:v>91.385460168645423</c:v>
                </c:pt>
                <c:pt idx="210">
                  <c:v>90.818579527932926</c:v>
                </c:pt>
                <c:pt idx="211">
                  <c:v>88.86137782161623</c:v>
                </c:pt>
                <c:pt idx="212">
                  <c:v>89.875072708116903</c:v>
                </c:pt>
                <c:pt idx="213">
                  <c:v>90.339359302420164</c:v>
                </c:pt>
                <c:pt idx="214">
                  <c:v>91.064909774733593</c:v>
                </c:pt>
                <c:pt idx="215">
                  <c:v>91.136143195602884</c:v>
                </c:pt>
                <c:pt idx="216">
                  <c:v>91.226192991796154</c:v>
                </c:pt>
                <c:pt idx="217">
                  <c:v>91.626488976366716</c:v>
                </c:pt>
                <c:pt idx="218">
                  <c:v>90.940885967538691</c:v>
                </c:pt>
                <c:pt idx="219">
                  <c:v>91.300263802595254</c:v>
                </c:pt>
                <c:pt idx="220">
                  <c:v>91.991765595751005</c:v>
                </c:pt>
                <c:pt idx="221">
                  <c:v>92.103319820885943</c:v>
                </c:pt>
                <c:pt idx="222">
                  <c:v>92.211289974530615</c:v>
                </c:pt>
                <c:pt idx="223">
                  <c:v>91.299442452878722</c:v>
                </c:pt>
                <c:pt idx="224">
                  <c:v>90.876522017025749</c:v>
                </c:pt>
                <c:pt idx="225">
                  <c:v>91.550775466134553</c:v>
                </c:pt>
                <c:pt idx="226">
                  <c:v>92.011179316323336</c:v>
                </c:pt>
                <c:pt idx="227">
                  <c:v>92.815654029578937</c:v>
                </c:pt>
                <c:pt idx="228">
                  <c:v>94.629866217064688</c:v>
                </c:pt>
                <c:pt idx="229">
                  <c:v>94.328281534788886</c:v>
                </c:pt>
                <c:pt idx="230">
                  <c:v>93.892443507939703</c:v>
                </c:pt>
                <c:pt idx="231">
                  <c:v>93.663660277810209</c:v>
                </c:pt>
                <c:pt idx="232">
                  <c:v>92.706190512813308</c:v>
                </c:pt>
                <c:pt idx="233">
                  <c:v>92.57581991235439</c:v>
                </c:pt>
                <c:pt idx="234">
                  <c:v>93.763939611382</c:v>
                </c:pt>
                <c:pt idx="235">
                  <c:v>92.910109246979005</c:v>
                </c:pt>
                <c:pt idx="236">
                  <c:v>91.256582931307435</c:v>
                </c:pt>
                <c:pt idx="237">
                  <c:v>90.382144155835334</c:v>
                </c:pt>
                <c:pt idx="238">
                  <c:v>90.456513639258631</c:v>
                </c:pt>
                <c:pt idx="239">
                  <c:v>89.008996766122067</c:v>
                </c:pt>
                <c:pt idx="240">
                  <c:v>88.939854053622099</c:v>
                </c:pt>
                <c:pt idx="241">
                  <c:v>90.216455517565961</c:v>
                </c:pt>
                <c:pt idx="242">
                  <c:v>90.64758945058415</c:v>
                </c:pt>
                <c:pt idx="243">
                  <c:v>90.589646961491297</c:v>
                </c:pt>
                <c:pt idx="244">
                  <c:v>90.36862921959073</c:v>
                </c:pt>
                <c:pt idx="245">
                  <c:v>91.177285349584992</c:v>
                </c:pt>
                <c:pt idx="246">
                  <c:v>91.045048045224902</c:v>
                </c:pt>
                <c:pt idx="247">
                  <c:v>91.080590087503509</c:v>
                </c:pt>
                <c:pt idx="248">
                  <c:v>92.572833186112518</c:v>
                </c:pt>
                <c:pt idx="249">
                  <c:v>93.416732685761218</c:v>
                </c:pt>
                <c:pt idx="250">
                  <c:v>92.626370253998573</c:v>
                </c:pt>
                <c:pt idx="251">
                  <c:v>91.126212330848531</c:v>
                </c:pt>
                <c:pt idx="252">
                  <c:v>91.770971858318575</c:v>
                </c:pt>
                <c:pt idx="253">
                  <c:v>92.901223736409378</c:v>
                </c:pt>
                <c:pt idx="254">
                  <c:v>92.806619182697219</c:v>
                </c:pt>
                <c:pt idx="255">
                  <c:v>91.974293247235892</c:v>
                </c:pt>
                <c:pt idx="256">
                  <c:v>91.054829573667163</c:v>
                </c:pt>
                <c:pt idx="257">
                  <c:v>90.096837131577928</c:v>
                </c:pt>
                <c:pt idx="258">
                  <c:v>90.113786803000707</c:v>
                </c:pt>
                <c:pt idx="259">
                  <c:v>86.231490697467734</c:v>
                </c:pt>
                <c:pt idx="260">
                  <c:v>87.510182869780934</c:v>
                </c:pt>
                <c:pt idx="261">
                  <c:v>87.45955785998072</c:v>
                </c:pt>
              </c:numCache>
            </c:numRef>
          </c:val>
          <c:smooth val="0"/>
          <c:extLst xmlns:c16r2="http://schemas.microsoft.com/office/drawing/2015/06/chart">
            <c:ext xmlns:c16="http://schemas.microsoft.com/office/drawing/2014/chart" uri="{C3380CC4-5D6E-409C-BE32-E72D297353CC}">
              <c16:uniqueId val="{00000003-A57B-45B4-B055-1A08107460C4}"/>
            </c:ext>
          </c:extLst>
        </c:ser>
        <c:dLbls>
          <c:showLegendKey val="0"/>
          <c:showVal val="0"/>
          <c:showCatName val="0"/>
          <c:showSerName val="0"/>
          <c:showPercent val="0"/>
          <c:showBubbleSize val="0"/>
        </c:dLbls>
        <c:smooth val="0"/>
        <c:axId val="491214440"/>
        <c:axId val="491213656"/>
      </c:lineChart>
      <c:dateAx>
        <c:axId val="491214440"/>
        <c:scaling>
          <c:orientation val="minMax"/>
        </c:scaling>
        <c:delete val="0"/>
        <c:axPos val="b"/>
        <c:numFmt formatCode="[$-409]mmm\-yy;@" sourceLinked="0"/>
        <c:majorTickMark val="out"/>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solidFill>
                <a:latin typeface="+mn-lt"/>
                <a:ea typeface="+mn-ea"/>
                <a:cs typeface="+mn-cs"/>
              </a:defRPr>
            </a:pPr>
            <a:endParaRPr lang="en-US"/>
          </a:p>
        </c:txPr>
        <c:crossAx val="491213656"/>
        <c:crosses val="autoZero"/>
        <c:auto val="1"/>
        <c:lblOffset val="100"/>
        <c:baseTimeUnit val="days"/>
      </c:dateAx>
      <c:valAx>
        <c:axId val="491213656"/>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91214440"/>
        <c:crosses val="autoZero"/>
        <c:crossBetween val="between"/>
        <c:majorUnit val="20"/>
      </c:valAx>
      <c:spPr>
        <a:noFill/>
        <a:ln>
          <a:noFill/>
        </a:ln>
        <a:effectLst/>
      </c:spPr>
    </c:plotArea>
    <c:legend>
      <c:legendPos val="b"/>
      <c:layout>
        <c:manualLayout>
          <c:xMode val="edge"/>
          <c:yMode val="edge"/>
          <c:x val="4.808223972003501E-2"/>
          <c:y val="0.86414935064935061"/>
          <c:w val="0.89827996500437446"/>
          <c:h val="0.108072871572871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5.0925925925925923E-2"/>
          <c:w val="0.86984470691163607"/>
          <c:h val="0.60706765820939046"/>
        </c:manualLayout>
      </c:layout>
      <c:lineChart>
        <c:grouping val="standard"/>
        <c:varyColors val="0"/>
        <c:ser>
          <c:idx val="2"/>
          <c:order val="2"/>
          <c:tx>
            <c:strRef>
              <c:f>'Currency Chart'!$R$5</c:f>
              <c:strCache>
                <c:ptCount val="1"/>
                <c:pt idx="0">
                  <c:v>USD-INR</c:v>
                </c:pt>
              </c:strCache>
            </c:strRef>
          </c:tx>
          <c:spPr>
            <a:ln w="28575" cap="rnd">
              <a:solidFill>
                <a:schemeClr val="tx1"/>
              </a:solidFill>
              <a:round/>
            </a:ln>
            <a:effectLst/>
          </c:spPr>
          <c:marker>
            <c:symbol val="none"/>
          </c:marker>
          <c:cat>
            <c:numRef>
              <c:f>'Currency Chart'!$O$6:$O$291</c:f>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f>'Currency Chart'!$R$6:$R$291</c:f>
              <c:numCache>
                <c:formatCode>0</c:formatCode>
                <c:ptCount val="286"/>
                <c:pt idx="0" formatCode="General">
                  <c:v>100</c:v>
                </c:pt>
                <c:pt idx="1">
                  <c:v>99.291125541125538</c:v>
                </c:pt>
                <c:pt idx="2">
                  <c:v>99.093614718614717</c:v>
                </c:pt>
                <c:pt idx="3">
                  <c:v>98.660714285714292</c:v>
                </c:pt>
                <c:pt idx="4">
                  <c:v>98.394209956709958</c:v>
                </c:pt>
                <c:pt idx="5">
                  <c:v>98.998917748917748</c:v>
                </c:pt>
                <c:pt idx="6">
                  <c:v>99.228896103896091</c:v>
                </c:pt>
                <c:pt idx="7">
                  <c:v>98.438852813852819</c:v>
                </c:pt>
                <c:pt idx="8">
                  <c:v>98.376623376623371</c:v>
                </c:pt>
                <c:pt idx="9">
                  <c:v>98.336038961038966</c:v>
                </c:pt>
                <c:pt idx="10">
                  <c:v>98.322510822510836</c:v>
                </c:pt>
                <c:pt idx="11">
                  <c:v>98.119588744588754</c:v>
                </c:pt>
                <c:pt idx="12">
                  <c:v>98.092532467532479</c:v>
                </c:pt>
                <c:pt idx="13">
                  <c:v>98.156114718614731</c:v>
                </c:pt>
                <c:pt idx="14">
                  <c:v>98.336038961038966</c:v>
                </c:pt>
                <c:pt idx="15">
                  <c:v>97.944669913419929</c:v>
                </c:pt>
                <c:pt idx="16">
                  <c:v>97.903138528138555</c:v>
                </c:pt>
                <c:pt idx="17">
                  <c:v>98.146645021645043</c:v>
                </c:pt>
                <c:pt idx="18">
                  <c:v>98.200757575757621</c:v>
                </c:pt>
                <c:pt idx="19">
                  <c:v>98.295454545454575</c:v>
                </c:pt>
                <c:pt idx="20">
                  <c:v>98.227813852813895</c:v>
                </c:pt>
                <c:pt idx="21">
                  <c:v>98.414502164502224</c:v>
                </c:pt>
                <c:pt idx="22">
                  <c:v>99.350649350649405</c:v>
                </c:pt>
                <c:pt idx="23">
                  <c:v>98.940746753246813</c:v>
                </c:pt>
                <c:pt idx="24">
                  <c:v>99.19237012987017</c:v>
                </c:pt>
                <c:pt idx="25">
                  <c:v>99.255952380952436</c:v>
                </c:pt>
                <c:pt idx="26">
                  <c:v>99.15313852813857</c:v>
                </c:pt>
                <c:pt idx="27">
                  <c:v>99.412878787878839</c:v>
                </c:pt>
                <c:pt idx="28">
                  <c:v>100.58441558441562</c:v>
                </c:pt>
                <c:pt idx="29">
                  <c:v>100.88203463203467</c:v>
                </c:pt>
                <c:pt idx="30">
                  <c:v>101.08495670995674</c:v>
                </c:pt>
                <c:pt idx="31">
                  <c:v>101.43398268398273</c:v>
                </c:pt>
                <c:pt idx="32">
                  <c:v>101.81277056277061</c:v>
                </c:pt>
                <c:pt idx="33">
                  <c:v>101.52867965367969</c:v>
                </c:pt>
                <c:pt idx="34">
                  <c:v>101.08225108225112</c:v>
                </c:pt>
                <c:pt idx="35">
                  <c:v>100.82521645021649</c:v>
                </c:pt>
                <c:pt idx="36">
                  <c:v>101.25811688311693</c:v>
                </c:pt>
                <c:pt idx="37">
                  <c:v>101.97510822510826</c:v>
                </c:pt>
                <c:pt idx="38">
                  <c:v>102.03057359307364</c:v>
                </c:pt>
                <c:pt idx="39">
                  <c:v>101.60984848484853</c:v>
                </c:pt>
                <c:pt idx="40">
                  <c:v>101.3528138528139</c:v>
                </c:pt>
                <c:pt idx="41">
                  <c:v>101.3528138528139</c:v>
                </c:pt>
                <c:pt idx="42">
                  <c:v>101.09577922077926</c:v>
                </c:pt>
                <c:pt idx="43">
                  <c:v>100.89285714285718</c:v>
                </c:pt>
                <c:pt idx="44">
                  <c:v>100.76975108225112</c:v>
                </c:pt>
                <c:pt idx="45">
                  <c:v>100.22997835497839</c:v>
                </c:pt>
                <c:pt idx="46">
                  <c:v>100.17586580086582</c:v>
                </c:pt>
                <c:pt idx="47">
                  <c:v>99.85119047619051</c:v>
                </c:pt>
                <c:pt idx="48">
                  <c:v>99.783549783549816</c:v>
                </c:pt>
                <c:pt idx="49">
                  <c:v>99.837662337662366</c:v>
                </c:pt>
                <c:pt idx="50">
                  <c:v>99.567099567099589</c:v>
                </c:pt>
                <c:pt idx="51">
                  <c:v>99.096320346320368</c:v>
                </c:pt>
                <c:pt idx="52">
                  <c:v>99.364177489177521</c:v>
                </c:pt>
                <c:pt idx="53">
                  <c:v>99.255952380952408</c:v>
                </c:pt>
                <c:pt idx="54">
                  <c:v>99.47240259740262</c:v>
                </c:pt>
                <c:pt idx="55">
                  <c:v>99.391233766233782</c:v>
                </c:pt>
                <c:pt idx="56">
                  <c:v>99.147727272727295</c:v>
                </c:pt>
                <c:pt idx="57">
                  <c:v>99.201839826839844</c:v>
                </c:pt>
                <c:pt idx="58">
                  <c:v>98.823051948051955</c:v>
                </c:pt>
                <c:pt idx="59">
                  <c:v>99.039502164502167</c:v>
                </c:pt>
                <c:pt idx="60">
                  <c:v>98.768939393939405</c:v>
                </c:pt>
                <c:pt idx="61">
                  <c:v>98.507846320346317</c:v>
                </c:pt>
                <c:pt idx="62">
                  <c:v>98.525432900432918</c:v>
                </c:pt>
                <c:pt idx="63">
                  <c:v>98.471320346320368</c:v>
                </c:pt>
                <c:pt idx="64">
                  <c:v>98.376623376623385</c:v>
                </c:pt>
                <c:pt idx="65">
                  <c:v>98.349567099567111</c:v>
                </c:pt>
                <c:pt idx="66">
                  <c:v>97.94372294372296</c:v>
                </c:pt>
                <c:pt idx="67">
                  <c:v>98.093885281385298</c:v>
                </c:pt>
                <c:pt idx="68">
                  <c:v>98.566017316017337</c:v>
                </c:pt>
                <c:pt idx="69">
                  <c:v>98.687770562770595</c:v>
                </c:pt>
                <c:pt idx="70">
                  <c:v>98.809523809523853</c:v>
                </c:pt>
                <c:pt idx="71">
                  <c:v>98.566017316017351</c:v>
                </c:pt>
                <c:pt idx="72">
                  <c:v>98.465909090909122</c:v>
                </c:pt>
                <c:pt idx="73">
                  <c:v>98.687770562770595</c:v>
                </c:pt>
                <c:pt idx="74">
                  <c:v>98.728354978355014</c:v>
                </c:pt>
                <c:pt idx="75">
                  <c:v>98.850108225108244</c:v>
                </c:pt>
                <c:pt idx="76">
                  <c:v>99.080086580086601</c:v>
                </c:pt>
                <c:pt idx="77">
                  <c:v>98.998917748917791</c:v>
                </c:pt>
                <c:pt idx="78">
                  <c:v>99.228896103896133</c:v>
                </c:pt>
                <c:pt idx="79">
                  <c:v>99.120670995671034</c:v>
                </c:pt>
                <c:pt idx="80">
                  <c:v>100.32738095238099</c:v>
                </c:pt>
                <c:pt idx="81">
                  <c:v>100.24350649350652</c:v>
                </c:pt>
                <c:pt idx="82">
                  <c:v>100.28409090909093</c:v>
                </c:pt>
                <c:pt idx="83">
                  <c:v>100.55465367965371</c:v>
                </c:pt>
                <c:pt idx="84">
                  <c:v>100.29761904761908</c:v>
                </c:pt>
                <c:pt idx="85">
                  <c:v>100.35173160173163</c:v>
                </c:pt>
                <c:pt idx="86">
                  <c:v>100.39231601731602</c:v>
                </c:pt>
                <c:pt idx="87">
                  <c:v>100.47348484848484</c:v>
                </c:pt>
                <c:pt idx="88">
                  <c:v>100.50054112554113</c:v>
                </c:pt>
                <c:pt idx="89">
                  <c:v>100.59523809523809</c:v>
                </c:pt>
                <c:pt idx="90">
                  <c:v>100.86580086580086</c:v>
                </c:pt>
                <c:pt idx="91">
                  <c:v>100.80086580086579</c:v>
                </c:pt>
                <c:pt idx="92">
                  <c:v>100.4978354978355</c:v>
                </c:pt>
                <c:pt idx="93">
                  <c:v>100.89556277056276</c:v>
                </c:pt>
                <c:pt idx="94">
                  <c:v>101.17694805194806</c:v>
                </c:pt>
                <c:pt idx="95">
                  <c:v>101.09577922077924</c:v>
                </c:pt>
                <c:pt idx="96">
                  <c:v>100.76433982683983</c:v>
                </c:pt>
                <c:pt idx="97">
                  <c:v>100.82521645021646</c:v>
                </c:pt>
                <c:pt idx="98">
                  <c:v>100.9063852813853</c:v>
                </c:pt>
                <c:pt idx="99">
                  <c:v>100.73051948051948</c:v>
                </c:pt>
                <c:pt idx="100">
                  <c:v>100.83874458874459</c:v>
                </c:pt>
                <c:pt idx="101">
                  <c:v>100.92803030303028</c:v>
                </c:pt>
                <c:pt idx="102">
                  <c:v>101.25946969696969</c:v>
                </c:pt>
                <c:pt idx="103">
                  <c:v>100.82521645021644</c:v>
                </c:pt>
                <c:pt idx="104">
                  <c:v>100.76569264069263</c:v>
                </c:pt>
                <c:pt idx="105">
                  <c:v>100.71699134199133</c:v>
                </c:pt>
                <c:pt idx="106">
                  <c:v>100.68317099567098</c:v>
                </c:pt>
                <c:pt idx="107">
                  <c:v>100.55465367965367</c:v>
                </c:pt>
                <c:pt idx="108">
                  <c:v>100.78192640692642</c:v>
                </c:pt>
                <c:pt idx="109">
                  <c:v>100.7711038961039</c:v>
                </c:pt>
                <c:pt idx="110">
                  <c:v>100.43966450216452</c:v>
                </c:pt>
                <c:pt idx="111">
                  <c:v>100.56412337662339</c:v>
                </c:pt>
                <c:pt idx="112">
                  <c:v>100.58712121212122</c:v>
                </c:pt>
                <c:pt idx="113">
                  <c:v>100.44507575757575</c:v>
                </c:pt>
                <c:pt idx="114">
                  <c:v>100.30979437229438</c:v>
                </c:pt>
                <c:pt idx="115">
                  <c:v>100.24080086580086</c:v>
                </c:pt>
                <c:pt idx="116">
                  <c:v>100.43290043290042</c:v>
                </c:pt>
                <c:pt idx="117">
                  <c:v>100.75757575757575</c:v>
                </c:pt>
                <c:pt idx="118">
                  <c:v>100.68993506493506</c:v>
                </c:pt>
                <c:pt idx="119">
                  <c:v>100.450487012987</c:v>
                </c:pt>
                <c:pt idx="120">
                  <c:v>100.52759740259738</c:v>
                </c:pt>
                <c:pt idx="121">
                  <c:v>100.43154761904761</c:v>
                </c:pt>
                <c:pt idx="122">
                  <c:v>100.3246753246753</c:v>
                </c:pt>
                <c:pt idx="123">
                  <c:v>100.60876623376622</c:v>
                </c:pt>
                <c:pt idx="124">
                  <c:v>100.48701298701297</c:v>
                </c:pt>
                <c:pt idx="125">
                  <c:v>100.60876623376622</c:v>
                </c:pt>
                <c:pt idx="126">
                  <c:v>100.57765151515149</c:v>
                </c:pt>
                <c:pt idx="127">
                  <c:v>100.27056277056276</c:v>
                </c:pt>
                <c:pt idx="128">
                  <c:v>100.28814935064933</c:v>
                </c:pt>
                <c:pt idx="129">
                  <c:v>100.25703463203462</c:v>
                </c:pt>
                <c:pt idx="130">
                  <c:v>100.31114718614718</c:v>
                </c:pt>
                <c:pt idx="131">
                  <c:v>99.391233766233753</c:v>
                </c:pt>
                <c:pt idx="132">
                  <c:v>99.150432900432889</c:v>
                </c:pt>
                <c:pt idx="133">
                  <c:v>98.68371212121211</c:v>
                </c:pt>
                <c:pt idx="134">
                  <c:v>98.741883116883088</c:v>
                </c:pt>
                <c:pt idx="135">
                  <c:v>98.74594155844153</c:v>
                </c:pt>
                <c:pt idx="136">
                  <c:v>98.731060606060581</c:v>
                </c:pt>
                <c:pt idx="137">
                  <c:v>98.854166666666643</c:v>
                </c:pt>
                <c:pt idx="138">
                  <c:v>99.350649350649334</c:v>
                </c:pt>
                <c:pt idx="139">
                  <c:v>99.795725108225113</c:v>
                </c:pt>
                <c:pt idx="140">
                  <c:v>99.458874458874448</c:v>
                </c:pt>
                <c:pt idx="141">
                  <c:v>99.454816017316006</c:v>
                </c:pt>
                <c:pt idx="142">
                  <c:v>99.512987012987011</c:v>
                </c:pt>
                <c:pt idx="143">
                  <c:v>99.62121212121211</c:v>
                </c:pt>
                <c:pt idx="144">
                  <c:v>99.350649350649334</c:v>
                </c:pt>
                <c:pt idx="145">
                  <c:v>99.526515151515127</c:v>
                </c:pt>
                <c:pt idx="146">
                  <c:v>99.62121212121211</c:v>
                </c:pt>
                <c:pt idx="147">
                  <c:v>99.62932900432898</c:v>
                </c:pt>
                <c:pt idx="148">
                  <c:v>99.75649350649347</c:v>
                </c:pt>
                <c:pt idx="149">
                  <c:v>99.837662337662294</c:v>
                </c:pt>
                <c:pt idx="150">
                  <c:v>99.837662337662294</c:v>
                </c:pt>
                <c:pt idx="151">
                  <c:v>99.855248917748895</c:v>
                </c:pt>
                <c:pt idx="152">
                  <c:v>99.864718614718569</c:v>
                </c:pt>
                <c:pt idx="153">
                  <c:v>100.3652597402597</c:v>
                </c:pt>
                <c:pt idx="154">
                  <c:v>100.48160173160169</c:v>
                </c:pt>
                <c:pt idx="155">
                  <c:v>100.33008658008654</c:v>
                </c:pt>
                <c:pt idx="156">
                  <c:v>100.28476731601727</c:v>
                </c:pt>
                <c:pt idx="157">
                  <c:v>100.87662337662333</c:v>
                </c:pt>
                <c:pt idx="158">
                  <c:v>100.83874458874455</c:v>
                </c:pt>
                <c:pt idx="159">
                  <c:v>101.13365800865796</c:v>
                </c:pt>
                <c:pt idx="160">
                  <c:v>101.19791666666663</c:v>
                </c:pt>
                <c:pt idx="161">
                  <c:v>101.61228354978353</c:v>
                </c:pt>
                <c:pt idx="162">
                  <c:v>101.97916666666663</c:v>
                </c:pt>
                <c:pt idx="163">
                  <c:v>102.09415584415581</c:v>
                </c:pt>
                <c:pt idx="164">
                  <c:v>101.84902597402593</c:v>
                </c:pt>
                <c:pt idx="165">
                  <c:v>101.42789502164497</c:v>
                </c:pt>
                <c:pt idx="166">
                  <c:v>101.4786255411255</c:v>
                </c:pt>
                <c:pt idx="167">
                  <c:v>101.71874999999996</c:v>
                </c:pt>
                <c:pt idx="168">
                  <c:v>101.59699675324671</c:v>
                </c:pt>
                <c:pt idx="169">
                  <c:v>101.17762445887442</c:v>
                </c:pt>
                <c:pt idx="170">
                  <c:v>101.28422619047616</c:v>
                </c:pt>
                <c:pt idx="171">
                  <c:v>101.45292207792205</c:v>
                </c:pt>
                <c:pt idx="172">
                  <c:v>101.48403679653676</c:v>
                </c:pt>
                <c:pt idx="173">
                  <c:v>101.37581168831166</c:v>
                </c:pt>
                <c:pt idx="174">
                  <c:v>101.54761904761899</c:v>
                </c:pt>
                <c:pt idx="175">
                  <c:v>101.16747835497831</c:v>
                </c:pt>
                <c:pt idx="176">
                  <c:v>101.34672619047613</c:v>
                </c:pt>
                <c:pt idx="177">
                  <c:v>101.23376623376618</c:v>
                </c:pt>
                <c:pt idx="178">
                  <c:v>101.04166666666661</c:v>
                </c:pt>
                <c:pt idx="179">
                  <c:v>100.71293290043285</c:v>
                </c:pt>
                <c:pt idx="180">
                  <c:v>100.84280303030299</c:v>
                </c:pt>
                <c:pt idx="181">
                  <c:v>100.34402056277051</c:v>
                </c:pt>
                <c:pt idx="182">
                  <c:v>99.978760822510765</c:v>
                </c:pt>
                <c:pt idx="183">
                  <c:v>100.33820346320339</c:v>
                </c:pt>
                <c:pt idx="184">
                  <c:v>100.64664502164493</c:v>
                </c:pt>
                <c:pt idx="185">
                  <c:v>100.50798160173152</c:v>
                </c:pt>
                <c:pt idx="186">
                  <c:v>100.57088744588737</c:v>
                </c:pt>
                <c:pt idx="187">
                  <c:v>100.61553030303021</c:v>
                </c:pt>
                <c:pt idx="188">
                  <c:v>100.71969696969687</c:v>
                </c:pt>
                <c:pt idx="189">
                  <c:v>100.4301948051947</c:v>
                </c:pt>
                <c:pt idx="190">
                  <c:v>100.32467532467521</c:v>
                </c:pt>
                <c:pt idx="191">
                  <c:v>100.55871212121203</c:v>
                </c:pt>
                <c:pt idx="192">
                  <c:v>100.68722943722935</c:v>
                </c:pt>
                <c:pt idx="193">
                  <c:v>100.68993506493499</c:v>
                </c:pt>
                <c:pt idx="194">
                  <c:v>100.92667748917741</c:v>
                </c:pt>
                <c:pt idx="195">
                  <c:v>100.75081168831159</c:v>
                </c:pt>
                <c:pt idx="196">
                  <c:v>101.51515151515142</c:v>
                </c:pt>
                <c:pt idx="197">
                  <c:v>101.50568181818171</c:v>
                </c:pt>
                <c:pt idx="198">
                  <c:v>101.58279220779211</c:v>
                </c:pt>
                <c:pt idx="199">
                  <c:v>101.46685606060596</c:v>
                </c:pt>
                <c:pt idx="200">
                  <c:v>101.42275432900422</c:v>
                </c:pt>
                <c:pt idx="201">
                  <c:v>101.764475108225</c:v>
                </c:pt>
                <c:pt idx="202">
                  <c:v>101.98863636363626</c:v>
                </c:pt>
                <c:pt idx="203">
                  <c:v>101.98998917748908</c:v>
                </c:pt>
                <c:pt idx="204">
                  <c:v>101.94534632034622</c:v>
                </c:pt>
                <c:pt idx="205">
                  <c:v>102.24972943722932</c:v>
                </c:pt>
                <c:pt idx="206">
                  <c:v>102.39718614718602</c:v>
                </c:pt>
                <c:pt idx="207">
                  <c:v>102.48917748917738</c:v>
                </c:pt>
                <c:pt idx="208">
                  <c:v>102.86796536796527</c:v>
                </c:pt>
                <c:pt idx="209">
                  <c:v>103.27380952380942</c:v>
                </c:pt>
                <c:pt idx="210">
                  <c:v>103.02489177489167</c:v>
                </c:pt>
                <c:pt idx="211">
                  <c:v>102.79423701298691</c:v>
                </c:pt>
                <c:pt idx="212">
                  <c:v>102.43506493506483</c:v>
                </c:pt>
                <c:pt idx="213">
                  <c:v>102.39448051948041</c:v>
                </c:pt>
                <c:pt idx="214">
                  <c:v>102.05627705627695</c:v>
                </c:pt>
                <c:pt idx="215">
                  <c:v>101.48809523809514</c:v>
                </c:pt>
                <c:pt idx="216">
                  <c:v>101.42721861471851</c:v>
                </c:pt>
                <c:pt idx="217">
                  <c:v>101.4069264069263</c:v>
                </c:pt>
                <c:pt idx="218">
                  <c:v>101.0551948051947</c:v>
                </c:pt>
                <c:pt idx="219">
                  <c:v>100.86580086580076</c:v>
                </c:pt>
                <c:pt idx="220">
                  <c:v>100.64935064935055</c:v>
                </c:pt>
                <c:pt idx="221">
                  <c:v>100.73998917748906</c:v>
                </c:pt>
                <c:pt idx="222">
                  <c:v>100.61282467532457</c:v>
                </c:pt>
                <c:pt idx="223">
                  <c:v>100.78598484848474</c:v>
                </c:pt>
                <c:pt idx="224">
                  <c:v>100.48701298701287</c:v>
                </c:pt>
                <c:pt idx="225">
                  <c:v>100.62229437229425</c:v>
                </c:pt>
                <c:pt idx="226">
                  <c:v>100.47483766233755</c:v>
                </c:pt>
                <c:pt idx="227">
                  <c:v>100.13528138528127</c:v>
                </c:pt>
                <c:pt idx="228">
                  <c:v>99.824810606060495</c:v>
                </c:pt>
                <c:pt idx="229">
                  <c:v>99.804788961038852</c:v>
                </c:pt>
                <c:pt idx="230">
                  <c:v>100.04802489177477</c:v>
                </c:pt>
                <c:pt idx="231">
                  <c:v>100.31249999999987</c:v>
                </c:pt>
                <c:pt idx="232">
                  <c:v>100.43019480519467</c:v>
                </c:pt>
                <c:pt idx="233">
                  <c:v>100.86580086580074</c:v>
                </c:pt>
                <c:pt idx="234">
                  <c:v>100.68722943722931</c:v>
                </c:pt>
                <c:pt idx="235">
                  <c:v>100.71144480519466</c:v>
                </c:pt>
                <c:pt idx="236">
                  <c:v>100.62594696969683</c:v>
                </c:pt>
                <c:pt idx="237">
                  <c:v>100.94061147186135</c:v>
                </c:pt>
                <c:pt idx="238">
                  <c:v>101.15056818181804</c:v>
                </c:pt>
                <c:pt idx="239">
                  <c:v>101.29058441558428</c:v>
                </c:pt>
                <c:pt idx="240">
                  <c:v>101.71536796536783</c:v>
                </c:pt>
                <c:pt idx="241">
                  <c:v>101.50744047619035</c:v>
                </c:pt>
                <c:pt idx="242">
                  <c:v>100.82372835497823</c:v>
                </c:pt>
                <c:pt idx="243">
                  <c:v>101.08766233766222</c:v>
                </c:pt>
                <c:pt idx="244">
                  <c:v>101.18492965367955</c:v>
                </c:pt>
                <c:pt idx="245">
                  <c:v>100.97267316017304</c:v>
                </c:pt>
                <c:pt idx="246">
                  <c:v>100.97402597402586</c:v>
                </c:pt>
                <c:pt idx="247">
                  <c:v>100.95846861471851</c:v>
                </c:pt>
                <c:pt idx="248">
                  <c:v>101.04166666666654</c:v>
                </c:pt>
                <c:pt idx="249">
                  <c:v>101.16071428571418</c:v>
                </c:pt>
                <c:pt idx="250">
                  <c:v>101.56114718614708</c:v>
                </c:pt>
                <c:pt idx="251">
                  <c:v>101.89231601731592</c:v>
                </c:pt>
                <c:pt idx="252">
                  <c:v>102.35146103896093</c:v>
                </c:pt>
                <c:pt idx="253">
                  <c:v>101.66287878787868</c:v>
                </c:pt>
                <c:pt idx="254">
                  <c:v>101.49107142857133</c:v>
                </c:pt>
                <c:pt idx="255">
                  <c:v>101.59632034632024</c:v>
                </c:pt>
                <c:pt idx="256">
                  <c:v>101.01474567099558</c:v>
                </c:pt>
                <c:pt idx="257">
                  <c:v>100.77759740259731</c:v>
                </c:pt>
                <c:pt idx="258">
                  <c:v>100.9469696969696</c:v>
                </c:pt>
                <c:pt idx="259">
                  <c:v>100.96049783549773</c:v>
                </c:pt>
                <c:pt idx="260">
                  <c:v>102.27272727272717</c:v>
                </c:pt>
                <c:pt idx="261">
                  <c:v>101.54220779220771</c:v>
                </c:pt>
                <c:pt idx="262">
                  <c:v>102.12797619047609</c:v>
                </c:pt>
                <c:pt idx="263">
                  <c:v>101.50744047619038</c:v>
                </c:pt>
              </c:numCache>
            </c:numRef>
          </c:val>
          <c:smooth val="0"/>
          <c:extLst xmlns:c16r2="http://schemas.microsoft.com/office/drawing/2015/06/chart">
            <c:ext xmlns:c16="http://schemas.microsoft.com/office/drawing/2014/chart" uri="{C3380CC4-5D6E-409C-BE32-E72D297353CC}">
              <c16:uniqueId val="{00000000-3801-4424-8D6A-73CF653766E8}"/>
            </c:ext>
          </c:extLst>
        </c:ser>
        <c:ser>
          <c:idx val="10"/>
          <c:order val="10"/>
          <c:tx>
            <c:strRef>
              <c:f>'Currency Chart'!$Z$5</c:f>
              <c:strCache>
                <c:ptCount val="1"/>
                <c:pt idx="0">
                  <c:v>USD Index</c:v>
                </c:pt>
              </c:strCache>
            </c:strRef>
          </c:tx>
          <c:spPr>
            <a:ln w="28575" cap="rnd">
              <a:solidFill>
                <a:schemeClr val="accent5">
                  <a:lumMod val="60000"/>
                </a:schemeClr>
              </a:solidFill>
              <a:round/>
            </a:ln>
            <a:effectLst/>
          </c:spPr>
          <c:marker>
            <c:symbol val="none"/>
          </c:marker>
          <c:cat>
            <c:numRef>
              <c:f>'Currency Chart'!$O$6:$O$291</c:f>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f>'Currency Chart'!$Z$6:$Z$291</c:f>
              <c:numCache>
                <c:formatCode>0</c:formatCode>
                <c:ptCount val="286"/>
                <c:pt idx="0" formatCode="General">
                  <c:v>100</c:v>
                </c:pt>
                <c:pt idx="1">
                  <c:v>100.17605827528912</c:v>
                </c:pt>
                <c:pt idx="2">
                  <c:v>99.896565763267645</c:v>
                </c:pt>
                <c:pt idx="3">
                  <c:v>100.07482476699788</c:v>
                </c:pt>
                <c:pt idx="4">
                  <c:v>100.82747389385887</c:v>
                </c:pt>
                <c:pt idx="5">
                  <c:v>101.20819991417159</c:v>
                </c:pt>
                <c:pt idx="6">
                  <c:v>101.57792229227874</c:v>
                </c:pt>
                <c:pt idx="7">
                  <c:v>101.187292993981</c:v>
                </c:pt>
                <c:pt idx="8">
                  <c:v>101.0387438242058</c:v>
                </c:pt>
                <c:pt idx="9">
                  <c:v>100.59529704332132</c:v>
                </c:pt>
                <c:pt idx="10">
                  <c:v>100.88029137644558</c:v>
                </c:pt>
                <c:pt idx="11">
                  <c:v>101.04974746641136</c:v>
                </c:pt>
                <c:pt idx="12">
                  <c:v>101.08495912146918</c:v>
                </c:pt>
                <c:pt idx="13">
                  <c:v>100.61950505617357</c:v>
                </c:pt>
                <c:pt idx="14">
                  <c:v>101.08165802880751</c:v>
                </c:pt>
                <c:pt idx="15">
                  <c:v>101.14437878937927</c:v>
                </c:pt>
                <c:pt idx="16">
                  <c:v>100.94961432234069</c:v>
                </c:pt>
                <c:pt idx="17">
                  <c:v>101.60323066935155</c:v>
                </c:pt>
                <c:pt idx="18">
                  <c:v>101.8145005996985</c:v>
                </c:pt>
                <c:pt idx="19">
                  <c:v>101.8145005996985</c:v>
                </c:pt>
                <c:pt idx="20">
                  <c:v>102.07638728419107</c:v>
                </c:pt>
                <c:pt idx="21">
                  <c:v>102.27225211545021</c:v>
                </c:pt>
                <c:pt idx="22">
                  <c:v>102.66068068530684</c:v>
                </c:pt>
                <c:pt idx="23">
                  <c:v>102.58915701097064</c:v>
                </c:pt>
                <c:pt idx="24">
                  <c:v>102.25574665214187</c:v>
                </c:pt>
                <c:pt idx="25">
                  <c:v>102.35808052465369</c:v>
                </c:pt>
                <c:pt idx="26">
                  <c:v>101.88822500247583</c:v>
                </c:pt>
                <c:pt idx="27">
                  <c:v>101.60213030513101</c:v>
                </c:pt>
                <c:pt idx="28">
                  <c:v>101.73417401159786</c:v>
                </c:pt>
                <c:pt idx="29">
                  <c:v>101.29842978025728</c:v>
                </c:pt>
                <c:pt idx="30">
                  <c:v>101.4128676591952</c:v>
                </c:pt>
                <c:pt idx="31">
                  <c:v>101.38535855368129</c:v>
                </c:pt>
                <c:pt idx="32">
                  <c:v>101.07065438660199</c:v>
                </c:pt>
                <c:pt idx="33">
                  <c:v>100.89239538287174</c:v>
                </c:pt>
                <c:pt idx="34">
                  <c:v>100.89239538287174</c:v>
                </c:pt>
                <c:pt idx="35">
                  <c:v>100.74494657731711</c:v>
                </c:pt>
                <c:pt idx="36">
                  <c:v>100.20906920190585</c:v>
                </c:pt>
                <c:pt idx="37">
                  <c:v>100.39833184784165</c:v>
                </c:pt>
                <c:pt idx="38">
                  <c:v>100.30370052487375</c:v>
                </c:pt>
                <c:pt idx="39">
                  <c:v>100.49956535613289</c:v>
                </c:pt>
                <c:pt idx="40">
                  <c:v>99.977992715588869</c:v>
                </c:pt>
                <c:pt idx="41">
                  <c:v>99.977992715588869</c:v>
                </c:pt>
                <c:pt idx="42">
                  <c:v>99.920773776119916</c:v>
                </c:pt>
                <c:pt idx="43">
                  <c:v>100.03301092661673</c:v>
                </c:pt>
                <c:pt idx="44">
                  <c:v>99.702901660449612</c:v>
                </c:pt>
                <c:pt idx="45">
                  <c:v>99.708403481552395</c:v>
                </c:pt>
                <c:pt idx="46">
                  <c:v>100.44124605244335</c:v>
                </c:pt>
                <c:pt idx="47">
                  <c:v>100.07262403855674</c:v>
                </c:pt>
                <c:pt idx="48">
                  <c:v>100.45004896620779</c:v>
                </c:pt>
                <c:pt idx="49">
                  <c:v>100.47205625061895</c:v>
                </c:pt>
                <c:pt idx="50">
                  <c:v>100.07922622388008</c:v>
                </c:pt>
                <c:pt idx="51">
                  <c:v>99.289164713520165</c:v>
                </c:pt>
                <c:pt idx="52">
                  <c:v>99.266057064888471</c:v>
                </c:pt>
                <c:pt idx="53">
                  <c:v>99.187931205228935</c:v>
                </c:pt>
                <c:pt idx="54">
                  <c:v>99.817339539387532</c:v>
                </c:pt>
                <c:pt idx="55">
                  <c:v>99.860253743989247</c:v>
                </c:pt>
                <c:pt idx="56">
                  <c:v>99.385996764929175</c:v>
                </c:pt>
                <c:pt idx="57">
                  <c:v>99.213239582301725</c:v>
                </c:pt>
                <c:pt idx="58">
                  <c:v>98.757688794991125</c:v>
                </c:pt>
                <c:pt idx="59">
                  <c:v>99.242949416256764</c:v>
                </c:pt>
                <c:pt idx="60">
                  <c:v>98.821509919783438</c:v>
                </c:pt>
                <c:pt idx="61">
                  <c:v>99.051486041879841</c:v>
                </c:pt>
                <c:pt idx="62">
                  <c:v>98.86112303172348</c:v>
                </c:pt>
                <c:pt idx="63">
                  <c:v>98.635548366509298</c:v>
                </c:pt>
                <c:pt idx="64">
                  <c:v>99.078995147393769</c:v>
                </c:pt>
                <c:pt idx="65">
                  <c:v>99.000869287734218</c:v>
                </c:pt>
                <c:pt idx="66">
                  <c:v>99.066891140967655</c:v>
                </c:pt>
                <c:pt idx="67">
                  <c:v>99.066891140967655</c:v>
                </c:pt>
                <c:pt idx="68">
                  <c:v>98.846818296856256</c:v>
                </c:pt>
                <c:pt idx="69">
                  <c:v>98.932646706059714</c:v>
                </c:pt>
                <c:pt idx="70">
                  <c:v>99.596166331055585</c:v>
                </c:pt>
                <c:pt idx="71">
                  <c:v>99.182429384126152</c:v>
                </c:pt>
                <c:pt idx="72">
                  <c:v>98.977761639102553</c:v>
                </c:pt>
                <c:pt idx="73">
                  <c:v>99.116407530892729</c:v>
                </c:pt>
                <c:pt idx="74">
                  <c:v>99.164823556597241</c:v>
                </c:pt>
                <c:pt idx="75">
                  <c:v>99.115307166672167</c:v>
                </c:pt>
                <c:pt idx="76">
                  <c:v>99.643481992539535</c:v>
                </c:pt>
                <c:pt idx="77">
                  <c:v>99.607169973261151</c:v>
                </c:pt>
                <c:pt idx="78">
                  <c:v>99.622575072348937</c:v>
                </c:pt>
                <c:pt idx="79">
                  <c:v>100.27509105513924</c:v>
                </c:pt>
                <c:pt idx="80">
                  <c:v>101.11136786276255</c:v>
                </c:pt>
                <c:pt idx="81">
                  <c:v>101.48109024086969</c:v>
                </c:pt>
                <c:pt idx="82">
                  <c:v>101.12237150496811</c:v>
                </c:pt>
                <c:pt idx="83">
                  <c:v>100.96501942142845</c:v>
                </c:pt>
                <c:pt idx="84">
                  <c:v>101.01563617557407</c:v>
                </c:pt>
                <c:pt idx="85">
                  <c:v>101.02884054622075</c:v>
                </c:pt>
                <c:pt idx="86">
                  <c:v>101.06955402238138</c:v>
                </c:pt>
                <c:pt idx="87">
                  <c:v>101.10916713432144</c:v>
                </c:pt>
                <c:pt idx="88">
                  <c:v>101.28742613805169</c:v>
                </c:pt>
                <c:pt idx="89">
                  <c:v>101.71326709140725</c:v>
                </c:pt>
                <c:pt idx="90">
                  <c:v>101.89042573091692</c:v>
                </c:pt>
                <c:pt idx="91">
                  <c:v>101.48219060509027</c:v>
                </c:pt>
                <c:pt idx="92">
                  <c:v>101.46678550600247</c:v>
                </c:pt>
                <c:pt idx="93">
                  <c:v>101.8343071556685</c:v>
                </c:pt>
                <c:pt idx="94">
                  <c:v>101.94214284928307</c:v>
                </c:pt>
                <c:pt idx="95">
                  <c:v>101.69236017121663</c:v>
                </c:pt>
                <c:pt idx="96">
                  <c:v>101.37655563991676</c:v>
                </c:pt>
                <c:pt idx="97">
                  <c:v>101.52070335280973</c:v>
                </c:pt>
                <c:pt idx="98">
                  <c:v>102.06098218510323</c:v>
                </c:pt>
                <c:pt idx="99">
                  <c:v>101.68465762167274</c:v>
                </c:pt>
                <c:pt idx="100">
                  <c:v>101.92013556487194</c:v>
                </c:pt>
                <c:pt idx="101">
                  <c:v>101.98945851076705</c:v>
                </c:pt>
                <c:pt idx="102">
                  <c:v>102.2139328117607</c:v>
                </c:pt>
                <c:pt idx="103">
                  <c:v>102.30416267784638</c:v>
                </c:pt>
                <c:pt idx="104">
                  <c:v>102.0631829135444</c:v>
                </c:pt>
                <c:pt idx="105">
                  <c:v>102.13800768054226</c:v>
                </c:pt>
                <c:pt idx="106">
                  <c:v>102.23704046039239</c:v>
                </c:pt>
                <c:pt idx="107">
                  <c:v>101.9476446703859</c:v>
                </c:pt>
                <c:pt idx="108">
                  <c:v>101.70886563452503</c:v>
                </c:pt>
                <c:pt idx="109">
                  <c:v>101.58782557026376</c:v>
                </c:pt>
                <c:pt idx="110">
                  <c:v>101.08385875724866</c:v>
                </c:pt>
                <c:pt idx="111">
                  <c:v>101.42497166562134</c:v>
                </c:pt>
                <c:pt idx="112">
                  <c:v>101.28632577383115</c:v>
                </c:pt>
                <c:pt idx="113">
                  <c:v>101.32263779310955</c:v>
                </c:pt>
                <c:pt idx="114">
                  <c:v>101.53060663079482</c:v>
                </c:pt>
                <c:pt idx="115">
                  <c:v>101.50199716106034</c:v>
                </c:pt>
                <c:pt idx="116">
                  <c:v>102.11379966769003</c:v>
                </c:pt>
                <c:pt idx="117">
                  <c:v>102.27335247967079</c:v>
                </c:pt>
                <c:pt idx="118">
                  <c:v>102.39439254393209</c:v>
                </c:pt>
                <c:pt idx="119">
                  <c:v>102.24804410259799</c:v>
                </c:pt>
                <c:pt idx="120">
                  <c:v>102.37238525952093</c:v>
                </c:pt>
                <c:pt idx="121">
                  <c:v>101.80349695749295</c:v>
                </c:pt>
                <c:pt idx="122">
                  <c:v>101.92453702175422</c:v>
                </c:pt>
                <c:pt idx="123">
                  <c:v>102.47691986047381</c:v>
                </c:pt>
                <c:pt idx="124">
                  <c:v>102.48352204579714</c:v>
                </c:pt>
                <c:pt idx="125">
                  <c:v>102.95887938907777</c:v>
                </c:pt>
                <c:pt idx="126">
                  <c:v>102.87965316519767</c:v>
                </c:pt>
                <c:pt idx="127">
                  <c:v>102.287657214538</c:v>
                </c:pt>
                <c:pt idx="128">
                  <c:v>102.2161335402018</c:v>
                </c:pt>
                <c:pt idx="129">
                  <c:v>102.14130877320392</c:v>
                </c:pt>
                <c:pt idx="130">
                  <c:v>102.40209509347594</c:v>
                </c:pt>
                <c:pt idx="131">
                  <c:v>101.98835814654652</c:v>
                </c:pt>
                <c:pt idx="132">
                  <c:v>101.95204612726813</c:v>
                </c:pt>
                <c:pt idx="133">
                  <c:v>101.92233629331309</c:v>
                </c:pt>
                <c:pt idx="134">
                  <c:v>101.7275718262745</c:v>
                </c:pt>
                <c:pt idx="135">
                  <c:v>101.48109024086973</c:v>
                </c:pt>
                <c:pt idx="136">
                  <c:v>101.2720210389639</c:v>
                </c:pt>
                <c:pt idx="137">
                  <c:v>101.2720210389639</c:v>
                </c:pt>
                <c:pt idx="138">
                  <c:v>101.79689477216959</c:v>
                </c:pt>
                <c:pt idx="139">
                  <c:v>101.95204612726813</c:v>
                </c:pt>
                <c:pt idx="140">
                  <c:v>101.7605827528912</c:v>
                </c:pt>
                <c:pt idx="141">
                  <c:v>101.87392026760857</c:v>
                </c:pt>
                <c:pt idx="142">
                  <c:v>101.97625414012037</c:v>
                </c:pt>
                <c:pt idx="143">
                  <c:v>101.91903520065142</c:v>
                </c:pt>
                <c:pt idx="144">
                  <c:v>101.83650788410964</c:v>
                </c:pt>
                <c:pt idx="145">
                  <c:v>102.25904774480352</c:v>
                </c:pt>
                <c:pt idx="146">
                  <c:v>102.54844353481</c:v>
                </c:pt>
                <c:pt idx="147">
                  <c:v>102.63757303667512</c:v>
                </c:pt>
                <c:pt idx="148">
                  <c:v>102.55834681279502</c:v>
                </c:pt>
                <c:pt idx="149">
                  <c:v>102.84224078169875</c:v>
                </c:pt>
                <c:pt idx="150">
                  <c:v>102.37018453107979</c:v>
                </c:pt>
                <c:pt idx="151">
                  <c:v>102.69369161192355</c:v>
                </c:pt>
                <c:pt idx="152">
                  <c:v>102.75531200827474</c:v>
                </c:pt>
                <c:pt idx="153">
                  <c:v>103.17675150474808</c:v>
                </c:pt>
                <c:pt idx="154">
                  <c:v>103.80615983890668</c:v>
                </c:pt>
                <c:pt idx="155">
                  <c:v>103.68732050308654</c:v>
                </c:pt>
                <c:pt idx="156">
                  <c:v>103.47274948007792</c:v>
                </c:pt>
                <c:pt idx="157">
                  <c:v>103.18775514695366</c:v>
                </c:pt>
                <c:pt idx="158">
                  <c:v>103.40672762684451</c:v>
                </c:pt>
                <c:pt idx="159">
                  <c:v>103.72693361502661</c:v>
                </c:pt>
                <c:pt idx="160">
                  <c:v>103.67301576821932</c:v>
                </c:pt>
                <c:pt idx="161">
                  <c:v>103.50796113513576</c:v>
                </c:pt>
                <c:pt idx="162">
                  <c:v>103.78195182605445</c:v>
                </c:pt>
                <c:pt idx="163">
                  <c:v>104.00202467016587</c:v>
                </c:pt>
                <c:pt idx="164">
                  <c:v>103.522265870003</c:v>
                </c:pt>
                <c:pt idx="165">
                  <c:v>103.38582070665394</c:v>
                </c:pt>
                <c:pt idx="166">
                  <c:v>103.36491378646336</c:v>
                </c:pt>
                <c:pt idx="167">
                  <c:v>103.38251961399229</c:v>
                </c:pt>
                <c:pt idx="168">
                  <c:v>103.14153984969029</c:v>
                </c:pt>
                <c:pt idx="169">
                  <c:v>102.94787574687227</c:v>
                </c:pt>
                <c:pt idx="170">
                  <c:v>103.18115296163033</c:v>
                </c:pt>
                <c:pt idx="171">
                  <c:v>103.04030634139903</c:v>
                </c:pt>
                <c:pt idx="172">
                  <c:v>103.22846862311428</c:v>
                </c:pt>
                <c:pt idx="173">
                  <c:v>103.37811815711002</c:v>
                </c:pt>
                <c:pt idx="174">
                  <c:v>103.21636461668815</c:v>
                </c:pt>
                <c:pt idx="175">
                  <c:v>102.71349816789359</c:v>
                </c:pt>
                <c:pt idx="176">
                  <c:v>103.56958153148696</c:v>
                </c:pt>
                <c:pt idx="177">
                  <c:v>103.30109266167105</c:v>
                </c:pt>
                <c:pt idx="178">
                  <c:v>103.53326951220858</c:v>
                </c:pt>
                <c:pt idx="179">
                  <c:v>103.28458719836269</c:v>
                </c:pt>
                <c:pt idx="180">
                  <c:v>103.81606311689171</c:v>
                </c:pt>
                <c:pt idx="181">
                  <c:v>103.78635328293667</c:v>
                </c:pt>
                <c:pt idx="182">
                  <c:v>103.48815457916574</c:v>
                </c:pt>
                <c:pt idx="183">
                  <c:v>103.38472034243337</c:v>
                </c:pt>
                <c:pt idx="184">
                  <c:v>104.36954631983187</c:v>
                </c:pt>
                <c:pt idx="185">
                  <c:v>104.73046578417456</c:v>
                </c:pt>
                <c:pt idx="186">
                  <c:v>104.67544757314671</c:v>
                </c:pt>
                <c:pt idx="187">
                  <c:v>104.98244919068212</c:v>
                </c:pt>
                <c:pt idx="188">
                  <c:v>105.54143421472509</c:v>
                </c:pt>
                <c:pt idx="189">
                  <c:v>105.44570252753662</c:v>
                </c:pt>
                <c:pt idx="190">
                  <c:v>105.13319908889844</c:v>
                </c:pt>
                <c:pt idx="191">
                  <c:v>105.66907646430971</c:v>
                </c:pt>
                <c:pt idx="192">
                  <c:v>106.23796476633768</c:v>
                </c:pt>
                <c:pt idx="193">
                  <c:v>106.17524400576593</c:v>
                </c:pt>
                <c:pt idx="194">
                  <c:v>106.59778386645982</c:v>
                </c:pt>
                <c:pt idx="195">
                  <c:v>106.48664708018356</c:v>
                </c:pt>
                <c:pt idx="196">
                  <c:v>105.73289758910201</c:v>
                </c:pt>
                <c:pt idx="197">
                  <c:v>106.01018937268238</c:v>
                </c:pt>
                <c:pt idx="198">
                  <c:v>105.62836298814911</c:v>
                </c:pt>
                <c:pt idx="199">
                  <c:v>105.66577537164807</c:v>
                </c:pt>
                <c:pt idx="200">
                  <c:v>105.80662199187937</c:v>
                </c:pt>
                <c:pt idx="201">
                  <c:v>105.76370778727764</c:v>
                </c:pt>
                <c:pt idx="202">
                  <c:v>105.99588463781517</c:v>
                </c:pt>
                <c:pt idx="203">
                  <c:v>106.04099957085801</c:v>
                </c:pt>
                <c:pt idx="204">
                  <c:v>105.51832656609344</c:v>
                </c:pt>
                <c:pt idx="205">
                  <c:v>105.93316387724343</c:v>
                </c:pt>
                <c:pt idx="206">
                  <c:v>105.74170050286651</c:v>
                </c:pt>
                <c:pt idx="207">
                  <c:v>105.98378063138904</c:v>
                </c:pt>
                <c:pt idx="208">
                  <c:v>106.26327314341053</c:v>
                </c:pt>
                <c:pt idx="209">
                  <c:v>106.19725129017711</c:v>
                </c:pt>
                <c:pt idx="210">
                  <c:v>105.68118047073588</c:v>
                </c:pt>
                <c:pt idx="211">
                  <c:v>106.2566709580872</c:v>
                </c:pt>
                <c:pt idx="212">
                  <c:v>106.2412658589994</c:v>
                </c:pt>
                <c:pt idx="213">
                  <c:v>106.17524400576598</c:v>
                </c:pt>
                <c:pt idx="214">
                  <c:v>105.71859285423481</c:v>
                </c:pt>
                <c:pt idx="215">
                  <c:v>105.65587209366308</c:v>
                </c:pt>
                <c:pt idx="216">
                  <c:v>105.65587209366308</c:v>
                </c:pt>
                <c:pt idx="217">
                  <c:v>105.73729904598429</c:v>
                </c:pt>
                <c:pt idx="218">
                  <c:v>105.85723874602499</c:v>
                </c:pt>
                <c:pt idx="219">
                  <c:v>105.55683931381293</c:v>
                </c:pt>
                <c:pt idx="220">
                  <c:v>105.59975351841466</c:v>
                </c:pt>
                <c:pt idx="221">
                  <c:v>105.59975351841466</c:v>
                </c:pt>
                <c:pt idx="222">
                  <c:v>105.8693427524511</c:v>
                </c:pt>
                <c:pt idx="223">
                  <c:v>105.92326059925841</c:v>
                </c:pt>
                <c:pt idx="224">
                  <c:v>105.82312745518773</c:v>
                </c:pt>
                <c:pt idx="225">
                  <c:v>105.9870817240507</c:v>
                </c:pt>
                <c:pt idx="226">
                  <c:v>105.32576282749594</c:v>
                </c:pt>
                <c:pt idx="227">
                  <c:v>105.62506189548746</c:v>
                </c:pt>
                <c:pt idx="228">
                  <c:v>105.22122822654305</c:v>
                </c:pt>
                <c:pt idx="229">
                  <c:v>104.44106999416815</c:v>
                </c:pt>
                <c:pt idx="230">
                  <c:v>104.30352446659853</c:v>
                </c:pt>
                <c:pt idx="231">
                  <c:v>104.7161610493074</c:v>
                </c:pt>
                <c:pt idx="232">
                  <c:v>104.81849492181919</c:v>
                </c:pt>
                <c:pt idx="233">
                  <c:v>105.3400675623632</c:v>
                </c:pt>
                <c:pt idx="234">
                  <c:v>105.09578670539955</c:v>
                </c:pt>
                <c:pt idx="235">
                  <c:v>105.34336865502486</c:v>
                </c:pt>
                <c:pt idx="236">
                  <c:v>105.24103478251305</c:v>
                </c:pt>
                <c:pt idx="237">
                  <c:v>105.5447353073868</c:v>
                </c:pt>
                <c:pt idx="238">
                  <c:v>105.5777462340035</c:v>
                </c:pt>
                <c:pt idx="239">
                  <c:v>106.0641072194897</c:v>
                </c:pt>
                <c:pt idx="240">
                  <c:v>107.01592227027152</c:v>
                </c:pt>
                <c:pt idx="241">
                  <c:v>107.03242773357988</c:v>
                </c:pt>
                <c:pt idx="242">
                  <c:v>106.22916185257327</c:v>
                </c:pt>
                <c:pt idx="243">
                  <c:v>106.05860539838693</c:v>
                </c:pt>
                <c:pt idx="244">
                  <c:v>105.56454186335684</c:v>
                </c:pt>
                <c:pt idx="245">
                  <c:v>104.95163899250657</c:v>
                </c:pt>
                <c:pt idx="246">
                  <c:v>105.06827759988562</c:v>
                </c:pt>
                <c:pt idx="247">
                  <c:v>104.97364627691772</c:v>
                </c:pt>
                <c:pt idx="248">
                  <c:v>105.24213514673363</c:v>
                </c:pt>
                <c:pt idx="249">
                  <c:v>105.07818087787064</c:v>
                </c:pt>
                <c:pt idx="250">
                  <c:v>105.1431023668835</c:v>
                </c:pt>
                <c:pt idx="251">
                  <c:v>105.72519503955814</c:v>
                </c:pt>
                <c:pt idx="252">
                  <c:v>106.0465013919608</c:v>
                </c:pt>
                <c:pt idx="253">
                  <c:v>105.62286116704637</c:v>
                </c:pt>
                <c:pt idx="254">
                  <c:v>105.30595627152594</c:v>
                </c:pt>
                <c:pt idx="255">
                  <c:v>105.41489232936109</c:v>
                </c:pt>
                <c:pt idx="256">
                  <c:v>105.68228083495647</c:v>
                </c:pt>
                <c:pt idx="257">
                  <c:v>105.72079358267597</c:v>
                </c:pt>
                <c:pt idx="258">
                  <c:v>105.66247427898644</c:v>
                </c:pt>
                <c:pt idx="259">
                  <c:v>105.84403437537834</c:v>
                </c:pt>
                <c:pt idx="260">
                  <c:v>106.88607929224584</c:v>
                </c:pt>
                <c:pt idx="261">
                  <c:v>106.31168916911508</c:v>
                </c:pt>
                <c:pt idx="262">
                  <c:v>106.41292267740634</c:v>
                </c:pt>
                <c:pt idx="263">
                  <c:v>107.03242773357994</c:v>
                </c:pt>
              </c:numCache>
            </c:numRef>
          </c:val>
          <c:smooth val="0"/>
          <c:extLst xmlns:c16r2="http://schemas.microsoft.com/office/drawing/2015/06/chart">
            <c:ext xmlns:c16="http://schemas.microsoft.com/office/drawing/2014/chart" uri="{C3380CC4-5D6E-409C-BE32-E72D297353CC}">
              <c16:uniqueId val="{00000001-3801-4424-8D6A-73CF653766E8}"/>
            </c:ext>
          </c:extLst>
        </c:ser>
        <c:ser>
          <c:idx val="11"/>
          <c:order val="11"/>
          <c:tx>
            <c:strRef>
              <c:f>'Currency Chart'!$AA$5</c:f>
              <c:strCache>
                <c:ptCount val="1"/>
                <c:pt idx="0">
                  <c:v>MSCI EM Currency Index</c:v>
                </c:pt>
              </c:strCache>
            </c:strRef>
          </c:tx>
          <c:spPr>
            <a:ln w="28575" cap="rnd">
              <a:solidFill>
                <a:schemeClr val="accent6">
                  <a:lumMod val="60000"/>
                </a:schemeClr>
              </a:solidFill>
              <a:round/>
            </a:ln>
            <a:effectLst/>
          </c:spPr>
          <c:marker>
            <c:symbol val="none"/>
          </c:marker>
          <c:cat>
            <c:numRef>
              <c:f>'Currency Chart'!$O$6:$O$291</c:f>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f>'Currency Chart'!$AA$6:$AA$291</c:f>
              <c:numCache>
                <c:formatCode>0</c:formatCode>
                <c:ptCount val="286"/>
                <c:pt idx="0" formatCode="General">
                  <c:v>100</c:v>
                </c:pt>
                <c:pt idx="1">
                  <c:v>101.24828972483573</c:v>
                </c:pt>
                <c:pt idx="2">
                  <c:v>101.53826230412773</c:v>
                </c:pt>
                <c:pt idx="3">
                  <c:v>103.10636644651271</c:v>
                </c:pt>
                <c:pt idx="4">
                  <c:v>100.82374734661012</c:v>
                </c:pt>
                <c:pt idx="5">
                  <c:v>100.29335090060414</c:v>
                </c:pt>
                <c:pt idx="6">
                  <c:v>98.355320574539832</c:v>
                </c:pt>
                <c:pt idx="7">
                  <c:v>98.691463545097776</c:v>
                </c:pt>
                <c:pt idx="8">
                  <c:v>100.13119147762144</c:v>
                </c:pt>
                <c:pt idx="9">
                  <c:v>101.78769502767408</c:v>
                </c:pt>
                <c:pt idx="10">
                  <c:v>101.25335720680393</c:v>
                </c:pt>
                <c:pt idx="11">
                  <c:v>100.50843735747705</c:v>
                </c:pt>
                <c:pt idx="12">
                  <c:v>101.4797047347173</c:v>
                </c:pt>
                <c:pt idx="13">
                  <c:v>101.17171444176053</c:v>
                </c:pt>
                <c:pt idx="14">
                  <c:v>101.32824332922301</c:v>
                </c:pt>
                <c:pt idx="15">
                  <c:v>100.85696750617949</c:v>
                </c:pt>
                <c:pt idx="16">
                  <c:v>100.95606493133559</c:v>
                </c:pt>
                <c:pt idx="17">
                  <c:v>100.52645507114178</c:v>
                </c:pt>
                <c:pt idx="18">
                  <c:v>99.328277112436126</c:v>
                </c:pt>
                <c:pt idx="19">
                  <c:v>98.489327319921372</c:v>
                </c:pt>
                <c:pt idx="20">
                  <c:v>99.99324335737569</c:v>
                </c:pt>
                <c:pt idx="21">
                  <c:v>99.893582878667559</c:v>
                </c:pt>
                <c:pt idx="22">
                  <c:v>101.09570221223737</c:v>
                </c:pt>
                <c:pt idx="23">
                  <c:v>100.8575305597315</c:v>
                </c:pt>
                <c:pt idx="24">
                  <c:v>101.94760223644867</c:v>
                </c:pt>
                <c:pt idx="25">
                  <c:v>102.28937574252684</c:v>
                </c:pt>
                <c:pt idx="26">
                  <c:v>102.24095313705283</c:v>
                </c:pt>
                <c:pt idx="27">
                  <c:v>102.59173549996336</c:v>
                </c:pt>
                <c:pt idx="28">
                  <c:v>101.89974268452669</c:v>
                </c:pt>
                <c:pt idx="29">
                  <c:v>102.84736181258197</c:v>
                </c:pt>
                <c:pt idx="30">
                  <c:v>101.86483336430125</c:v>
                </c:pt>
                <c:pt idx="31">
                  <c:v>100.39751580772844</c:v>
                </c:pt>
                <c:pt idx="32">
                  <c:v>99.895272039323629</c:v>
                </c:pt>
                <c:pt idx="33">
                  <c:v>100.80291436518523</c:v>
                </c:pt>
                <c:pt idx="34">
                  <c:v>101.39412059480973</c:v>
                </c:pt>
                <c:pt idx="35">
                  <c:v>102.39635591741126</c:v>
                </c:pt>
                <c:pt idx="36">
                  <c:v>102.25221420809328</c:v>
                </c:pt>
                <c:pt idx="37">
                  <c:v>102.2555925294054</c:v>
                </c:pt>
                <c:pt idx="38">
                  <c:v>101.45324121777216</c:v>
                </c:pt>
                <c:pt idx="39">
                  <c:v>101.60526567681846</c:v>
                </c:pt>
                <c:pt idx="40">
                  <c:v>102.43689577315693</c:v>
                </c:pt>
                <c:pt idx="41">
                  <c:v>102.43689577315693</c:v>
                </c:pt>
                <c:pt idx="42">
                  <c:v>102.98587298637969</c:v>
                </c:pt>
                <c:pt idx="43">
                  <c:v>103.20715303232485</c:v>
                </c:pt>
                <c:pt idx="44">
                  <c:v>103.60466884005331</c:v>
                </c:pt>
                <c:pt idx="45">
                  <c:v>103.61705601819783</c:v>
                </c:pt>
                <c:pt idx="46">
                  <c:v>102.74713828032178</c:v>
                </c:pt>
                <c:pt idx="47">
                  <c:v>102.38340568571469</c:v>
                </c:pt>
                <c:pt idx="48">
                  <c:v>102.26966886820598</c:v>
                </c:pt>
                <c:pt idx="49">
                  <c:v>101.81359549106709</c:v>
                </c:pt>
                <c:pt idx="50">
                  <c:v>102.22462458404412</c:v>
                </c:pt>
                <c:pt idx="51">
                  <c:v>102.4171888988361</c:v>
                </c:pt>
                <c:pt idx="52">
                  <c:v>102.24376840481293</c:v>
                </c:pt>
                <c:pt idx="53">
                  <c:v>101.14018344284719</c:v>
                </c:pt>
                <c:pt idx="54">
                  <c:v>100.88512018378063</c:v>
                </c:pt>
                <c:pt idx="55">
                  <c:v>100.23197806343357</c:v>
                </c:pt>
                <c:pt idx="56">
                  <c:v>101.21338040461023</c:v>
                </c:pt>
                <c:pt idx="57">
                  <c:v>101.86539641785325</c:v>
                </c:pt>
                <c:pt idx="58">
                  <c:v>103.31019183234513</c:v>
                </c:pt>
                <c:pt idx="59">
                  <c:v>102.92956763117736</c:v>
                </c:pt>
                <c:pt idx="60">
                  <c:v>102.72855751310505</c:v>
                </c:pt>
                <c:pt idx="61">
                  <c:v>103.19701806838845</c:v>
                </c:pt>
                <c:pt idx="62">
                  <c:v>103.48473843347237</c:v>
                </c:pt>
                <c:pt idx="63">
                  <c:v>105.261172390106</c:v>
                </c:pt>
                <c:pt idx="64">
                  <c:v>105.82816731699349</c:v>
                </c:pt>
                <c:pt idx="65">
                  <c:v>106.40079277940123</c:v>
                </c:pt>
                <c:pt idx="66">
                  <c:v>106.24482694549076</c:v>
                </c:pt>
                <c:pt idx="67">
                  <c:v>107.24481005388421</c:v>
                </c:pt>
                <c:pt idx="68">
                  <c:v>107.14458652162405</c:v>
                </c:pt>
                <c:pt idx="69">
                  <c:v>106.78310614122506</c:v>
                </c:pt>
                <c:pt idx="70">
                  <c:v>106.72680078602272</c:v>
                </c:pt>
                <c:pt idx="71">
                  <c:v>106.42106270727405</c:v>
                </c:pt>
                <c:pt idx="72">
                  <c:v>106.78761056964125</c:v>
                </c:pt>
                <c:pt idx="73">
                  <c:v>106.12996402087799</c:v>
                </c:pt>
                <c:pt idx="74">
                  <c:v>106.02974048861783</c:v>
                </c:pt>
                <c:pt idx="75">
                  <c:v>106.75607957072793</c:v>
                </c:pt>
                <c:pt idx="76">
                  <c:v>106.92724785054304</c:v>
                </c:pt>
                <c:pt idx="77">
                  <c:v>107.11587079047086</c:v>
                </c:pt>
                <c:pt idx="78">
                  <c:v>107.0032600800662</c:v>
                </c:pt>
                <c:pt idx="79">
                  <c:v>106.17782357279999</c:v>
                </c:pt>
                <c:pt idx="80">
                  <c:v>105.60745032460035</c:v>
                </c:pt>
                <c:pt idx="81">
                  <c:v>105.54607748742981</c:v>
                </c:pt>
                <c:pt idx="82">
                  <c:v>104.69248830256244</c:v>
                </c:pt>
                <c:pt idx="83">
                  <c:v>104.65476371457689</c:v>
                </c:pt>
                <c:pt idx="84">
                  <c:v>105.30790583492394</c:v>
                </c:pt>
                <c:pt idx="85">
                  <c:v>106.08998721868434</c:v>
                </c:pt>
                <c:pt idx="86">
                  <c:v>106.62207282534639</c:v>
                </c:pt>
                <c:pt idx="87">
                  <c:v>106.69977421552561</c:v>
                </c:pt>
                <c:pt idx="88">
                  <c:v>106.52297540019029</c:v>
                </c:pt>
                <c:pt idx="89">
                  <c:v>106.28536680123645</c:v>
                </c:pt>
                <c:pt idx="90">
                  <c:v>106.05338873780283</c:v>
                </c:pt>
                <c:pt idx="91">
                  <c:v>105.06016227203368</c:v>
                </c:pt>
                <c:pt idx="92">
                  <c:v>105.52862282731709</c:v>
                </c:pt>
                <c:pt idx="93">
                  <c:v>104.41377679431089</c:v>
                </c:pt>
                <c:pt idx="94">
                  <c:v>105.00836134524754</c:v>
                </c:pt>
                <c:pt idx="95">
                  <c:v>103.68800076575282</c:v>
                </c:pt>
                <c:pt idx="96">
                  <c:v>103.5669442520678</c:v>
                </c:pt>
                <c:pt idx="97">
                  <c:v>104.20150560519809</c:v>
                </c:pt>
                <c:pt idx="98">
                  <c:v>104.65926814299307</c:v>
                </c:pt>
                <c:pt idx="99">
                  <c:v>104.99090668513483</c:v>
                </c:pt>
                <c:pt idx="100">
                  <c:v>105.83999144158601</c:v>
                </c:pt>
                <c:pt idx="101">
                  <c:v>104.90138117036311</c:v>
                </c:pt>
                <c:pt idx="102">
                  <c:v>103.90533943683384</c:v>
                </c:pt>
                <c:pt idx="103">
                  <c:v>103.957703417172</c:v>
                </c:pt>
                <c:pt idx="104">
                  <c:v>104.21220362268654</c:v>
                </c:pt>
                <c:pt idx="105">
                  <c:v>104.74823060421275</c:v>
                </c:pt>
                <c:pt idx="106">
                  <c:v>103.88169118764885</c:v>
                </c:pt>
                <c:pt idx="107">
                  <c:v>102.99826016452424</c:v>
                </c:pt>
                <c:pt idx="108">
                  <c:v>101.46225007460458</c:v>
                </c:pt>
                <c:pt idx="109">
                  <c:v>102.35525300811358</c:v>
                </c:pt>
                <c:pt idx="110">
                  <c:v>103.53259798539437</c:v>
                </c:pt>
                <c:pt idx="111">
                  <c:v>102.20716992393145</c:v>
                </c:pt>
                <c:pt idx="112">
                  <c:v>103.6784288553684</c:v>
                </c:pt>
                <c:pt idx="113">
                  <c:v>104.73640647962026</c:v>
                </c:pt>
                <c:pt idx="114">
                  <c:v>105.34506736935748</c:v>
                </c:pt>
                <c:pt idx="115">
                  <c:v>105.26455071141814</c:v>
                </c:pt>
                <c:pt idx="116">
                  <c:v>104.21332972979057</c:v>
                </c:pt>
                <c:pt idx="117">
                  <c:v>104.16096574945242</c:v>
                </c:pt>
                <c:pt idx="118">
                  <c:v>104.71951487305955</c:v>
                </c:pt>
                <c:pt idx="119">
                  <c:v>104.43066840087158</c:v>
                </c:pt>
                <c:pt idx="120">
                  <c:v>104.36310197462878</c:v>
                </c:pt>
                <c:pt idx="121">
                  <c:v>104.42278565114323</c:v>
                </c:pt>
                <c:pt idx="122">
                  <c:v>104.3783044205334</c:v>
                </c:pt>
                <c:pt idx="123">
                  <c:v>104.19305980191771</c:v>
                </c:pt>
                <c:pt idx="124">
                  <c:v>104.27977004892929</c:v>
                </c:pt>
                <c:pt idx="125">
                  <c:v>102.97179664757908</c:v>
                </c:pt>
                <c:pt idx="126">
                  <c:v>102.00390759165097</c:v>
                </c:pt>
                <c:pt idx="127">
                  <c:v>103.25163426293467</c:v>
                </c:pt>
                <c:pt idx="128">
                  <c:v>104.05285946746389</c:v>
                </c:pt>
                <c:pt idx="129">
                  <c:v>104.46951909596115</c:v>
                </c:pt>
                <c:pt idx="130">
                  <c:v>103.34284893836247</c:v>
                </c:pt>
                <c:pt idx="131">
                  <c:v>103.87606065212856</c:v>
                </c:pt>
                <c:pt idx="132">
                  <c:v>104.85070635068097</c:v>
                </c:pt>
                <c:pt idx="133">
                  <c:v>105.85575694104261</c:v>
                </c:pt>
                <c:pt idx="134">
                  <c:v>106.22849839248208</c:v>
                </c:pt>
                <c:pt idx="135">
                  <c:v>106.42725629634631</c:v>
                </c:pt>
                <c:pt idx="136">
                  <c:v>107.10292055877431</c:v>
                </c:pt>
                <c:pt idx="137">
                  <c:v>107.51732797306347</c:v>
                </c:pt>
                <c:pt idx="138">
                  <c:v>106.95821579590429</c:v>
                </c:pt>
                <c:pt idx="139">
                  <c:v>105.91262534979697</c:v>
                </c:pt>
                <c:pt idx="140">
                  <c:v>106.05958232687507</c:v>
                </c:pt>
                <c:pt idx="141">
                  <c:v>106.57702854118452</c:v>
                </c:pt>
                <c:pt idx="142">
                  <c:v>105.99201590063228</c:v>
                </c:pt>
                <c:pt idx="143">
                  <c:v>105.71724576724489</c:v>
                </c:pt>
                <c:pt idx="144">
                  <c:v>105.43008845571299</c:v>
                </c:pt>
                <c:pt idx="145">
                  <c:v>104.60690416265487</c:v>
                </c:pt>
                <c:pt idx="146">
                  <c:v>104.76512221077344</c:v>
                </c:pt>
                <c:pt idx="147">
                  <c:v>103.69137908706493</c:v>
                </c:pt>
                <c:pt idx="148">
                  <c:v>104.31411631560273</c:v>
                </c:pt>
                <c:pt idx="149">
                  <c:v>104.08270130572113</c:v>
                </c:pt>
                <c:pt idx="150">
                  <c:v>104.38562411670969</c:v>
                </c:pt>
                <c:pt idx="151">
                  <c:v>104.33100792216342</c:v>
                </c:pt>
                <c:pt idx="152">
                  <c:v>104.01344571882225</c:v>
                </c:pt>
                <c:pt idx="153">
                  <c:v>102.74939049452986</c:v>
                </c:pt>
                <c:pt idx="154">
                  <c:v>102.26066001137362</c:v>
                </c:pt>
                <c:pt idx="155">
                  <c:v>102.76571904753855</c:v>
                </c:pt>
                <c:pt idx="156">
                  <c:v>102.30401513487942</c:v>
                </c:pt>
                <c:pt idx="157">
                  <c:v>101.9729396462897</c:v>
                </c:pt>
                <c:pt idx="158">
                  <c:v>102.30288902777538</c:v>
                </c:pt>
                <c:pt idx="159">
                  <c:v>101.3502024177519</c:v>
                </c:pt>
                <c:pt idx="160">
                  <c:v>103.02078230660513</c:v>
                </c:pt>
                <c:pt idx="161">
                  <c:v>103.26796281594336</c:v>
                </c:pt>
                <c:pt idx="162">
                  <c:v>102.85355540165421</c:v>
                </c:pt>
                <c:pt idx="163">
                  <c:v>102.54387594804136</c:v>
                </c:pt>
                <c:pt idx="164">
                  <c:v>103.27978694053586</c:v>
                </c:pt>
                <c:pt idx="165">
                  <c:v>103.68743771220076</c:v>
                </c:pt>
                <c:pt idx="166">
                  <c:v>104.37267388501316</c:v>
                </c:pt>
                <c:pt idx="167">
                  <c:v>103.84396659966323</c:v>
                </c:pt>
                <c:pt idx="168">
                  <c:v>105.01342882721571</c:v>
                </c:pt>
                <c:pt idx="169">
                  <c:v>104.92502941954805</c:v>
                </c:pt>
                <c:pt idx="170">
                  <c:v>103.88338034830488</c:v>
                </c:pt>
                <c:pt idx="171">
                  <c:v>104.11986284015468</c:v>
                </c:pt>
                <c:pt idx="172">
                  <c:v>103.5579353952354</c:v>
                </c:pt>
                <c:pt idx="173">
                  <c:v>103.67505053405625</c:v>
                </c:pt>
                <c:pt idx="174">
                  <c:v>103.03936307382192</c:v>
                </c:pt>
                <c:pt idx="175">
                  <c:v>102.40254950648352</c:v>
                </c:pt>
                <c:pt idx="176">
                  <c:v>101.93014757633594</c:v>
                </c:pt>
                <c:pt idx="177">
                  <c:v>102.38284263216271</c:v>
                </c:pt>
                <c:pt idx="178">
                  <c:v>102.25953390426962</c:v>
                </c:pt>
                <c:pt idx="179">
                  <c:v>102.22631374470024</c:v>
                </c:pt>
                <c:pt idx="180">
                  <c:v>102.85693372296637</c:v>
                </c:pt>
                <c:pt idx="181">
                  <c:v>103.26289533397521</c:v>
                </c:pt>
                <c:pt idx="182">
                  <c:v>103.97515807728473</c:v>
                </c:pt>
                <c:pt idx="183">
                  <c:v>104.1164845188426</c:v>
                </c:pt>
                <c:pt idx="184">
                  <c:v>103.89745668710552</c:v>
                </c:pt>
                <c:pt idx="185">
                  <c:v>104.40026350906236</c:v>
                </c:pt>
                <c:pt idx="186">
                  <c:v>104.92390331244405</c:v>
                </c:pt>
                <c:pt idx="187">
                  <c:v>105.28031621087482</c:v>
                </c:pt>
                <c:pt idx="188">
                  <c:v>105.55001886229398</c:v>
                </c:pt>
                <c:pt idx="189">
                  <c:v>105.32085606662049</c:v>
                </c:pt>
                <c:pt idx="190">
                  <c:v>104.4256009189034</c:v>
                </c:pt>
                <c:pt idx="191">
                  <c:v>104.51568948722712</c:v>
                </c:pt>
                <c:pt idx="192">
                  <c:v>103.82932720731068</c:v>
                </c:pt>
                <c:pt idx="193">
                  <c:v>103.60973632202159</c:v>
                </c:pt>
                <c:pt idx="194">
                  <c:v>103.43124834603019</c:v>
                </c:pt>
                <c:pt idx="195">
                  <c:v>103.69081603351295</c:v>
                </c:pt>
                <c:pt idx="196">
                  <c:v>101.96393078945739</c:v>
                </c:pt>
                <c:pt idx="197">
                  <c:v>102.02811889438804</c:v>
                </c:pt>
                <c:pt idx="198">
                  <c:v>101.75391181455268</c:v>
                </c:pt>
                <c:pt idx="199">
                  <c:v>102.50896662781595</c:v>
                </c:pt>
                <c:pt idx="200">
                  <c:v>103.68856381930485</c:v>
                </c:pt>
                <c:pt idx="201">
                  <c:v>102.93519816669763</c:v>
                </c:pt>
                <c:pt idx="202">
                  <c:v>102.05739767909324</c:v>
                </c:pt>
                <c:pt idx="203">
                  <c:v>103.04893498420633</c:v>
                </c:pt>
                <c:pt idx="204">
                  <c:v>104.29722470904204</c:v>
                </c:pt>
                <c:pt idx="205">
                  <c:v>104.93460132993246</c:v>
                </c:pt>
                <c:pt idx="206">
                  <c:v>104.51681559433115</c:v>
                </c:pt>
                <c:pt idx="207">
                  <c:v>104.06975107402462</c:v>
                </c:pt>
                <c:pt idx="208">
                  <c:v>103.9993693800217</c:v>
                </c:pt>
                <c:pt idx="209">
                  <c:v>103.15760431974682</c:v>
                </c:pt>
                <c:pt idx="210">
                  <c:v>104.32594044019525</c:v>
                </c:pt>
                <c:pt idx="211">
                  <c:v>103.92448325760263</c:v>
                </c:pt>
                <c:pt idx="212">
                  <c:v>102.15649510424936</c:v>
                </c:pt>
                <c:pt idx="213">
                  <c:v>103.54442210998688</c:v>
                </c:pt>
                <c:pt idx="214">
                  <c:v>104.27526562051317</c:v>
                </c:pt>
                <c:pt idx="215">
                  <c:v>105.03200959443252</c:v>
                </c:pt>
                <c:pt idx="216">
                  <c:v>105.4199534917766</c:v>
                </c:pt>
                <c:pt idx="217">
                  <c:v>105.58774345027956</c:v>
                </c:pt>
                <c:pt idx="218">
                  <c:v>106.15980585913526</c:v>
                </c:pt>
                <c:pt idx="219">
                  <c:v>105.43628204478527</c:v>
                </c:pt>
                <c:pt idx="220">
                  <c:v>106.14347730612658</c:v>
                </c:pt>
                <c:pt idx="221">
                  <c:v>106.59448320129728</c:v>
                </c:pt>
                <c:pt idx="222">
                  <c:v>106.71385055432623</c:v>
                </c:pt>
                <c:pt idx="223">
                  <c:v>106.41993660017005</c:v>
                </c:pt>
                <c:pt idx="224">
                  <c:v>105.84956335197042</c:v>
                </c:pt>
                <c:pt idx="225">
                  <c:v>104.73021289054802</c:v>
                </c:pt>
                <c:pt idx="226">
                  <c:v>105.02300073760016</c:v>
                </c:pt>
                <c:pt idx="227">
                  <c:v>105.33211713766097</c:v>
                </c:pt>
                <c:pt idx="228">
                  <c:v>105.79832547873629</c:v>
                </c:pt>
                <c:pt idx="229">
                  <c:v>107.10235750522234</c:v>
                </c:pt>
                <c:pt idx="230">
                  <c:v>106.38559033349664</c:v>
                </c:pt>
                <c:pt idx="231">
                  <c:v>106.15755364492719</c:v>
                </c:pt>
                <c:pt idx="232">
                  <c:v>105.89235542192419</c:v>
                </c:pt>
                <c:pt idx="233">
                  <c:v>105.1733360359904</c:v>
                </c:pt>
                <c:pt idx="234">
                  <c:v>104.91151613429955</c:v>
                </c:pt>
                <c:pt idx="235">
                  <c:v>105.27412262180259</c:v>
                </c:pt>
                <c:pt idx="236">
                  <c:v>104.5866342347821</c:v>
                </c:pt>
                <c:pt idx="237">
                  <c:v>102.53543014476108</c:v>
                </c:pt>
                <c:pt idx="238">
                  <c:v>101.99658789547475</c:v>
                </c:pt>
                <c:pt idx="239">
                  <c:v>102.01066423427532</c:v>
                </c:pt>
                <c:pt idx="240">
                  <c:v>100.5236398033817</c:v>
                </c:pt>
                <c:pt idx="241">
                  <c:v>100.06249894427459</c:v>
                </c:pt>
                <c:pt idx="242">
                  <c:v>101.20943902974611</c:v>
                </c:pt>
                <c:pt idx="243">
                  <c:v>102.28149299279852</c:v>
                </c:pt>
                <c:pt idx="244">
                  <c:v>102.59905519613969</c:v>
                </c:pt>
                <c:pt idx="245">
                  <c:v>102.14861235452102</c:v>
                </c:pt>
                <c:pt idx="246">
                  <c:v>102.77754317213108</c:v>
                </c:pt>
                <c:pt idx="247">
                  <c:v>102.62382955242872</c:v>
                </c:pt>
                <c:pt idx="248">
                  <c:v>102.58779412509922</c:v>
                </c:pt>
                <c:pt idx="249">
                  <c:v>104.10578650135413</c:v>
                </c:pt>
                <c:pt idx="250">
                  <c:v>105.23921330157708</c:v>
                </c:pt>
                <c:pt idx="251">
                  <c:v>103.87043011660836</c:v>
                </c:pt>
                <c:pt idx="252">
                  <c:v>102.6863284967033</c:v>
                </c:pt>
                <c:pt idx="253">
                  <c:v>104.05680084232809</c:v>
                </c:pt>
                <c:pt idx="254">
                  <c:v>105.02694211246428</c:v>
                </c:pt>
                <c:pt idx="255">
                  <c:v>104.48584764896987</c:v>
                </c:pt>
                <c:pt idx="256">
                  <c:v>104.16434407076454</c:v>
                </c:pt>
                <c:pt idx="257">
                  <c:v>103.83608384993495</c:v>
                </c:pt>
                <c:pt idx="258">
                  <c:v>102.80738501038833</c:v>
                </c:pt>
                <c:pt idx="259">
                  <c:v>102.89859968581611</c:v>
                </c:pt>
                <c:pt idx="260">
                  <c:v>98.681328581161338</c:v>
                </c:pt>
                <c:pt idx="261">
                  <c:v>100.88962461219685</c:v>
                </c:pt>
                <c:pt idx="262">
                  <c:v>101.30741034779817</c:v>
                </c:pt>
                <c:pt idx="263">
                  <c:v>100.06249894427458</c:v>
                </c:pt>
              </c:numCache>
            </c:numRef>
          </c:val>
          <c:smooth val="0"/>
          <c:extLst xmlns:c16r2="http://schemas.microsoft.com/office/drawing/2015/06/chart">
            <c:ext xmlns:c16="http://schemas.microsoft.com/office/drawing/2014/chart" uri="{C3380CC4-5D6E-409C-BE32-E72D297353CC}">
              <c16:uniqueId val="{00000002-3801-4424-8D6A-73CF653766E8}"/>
            </c:ext>
          </c:extLst>
        </c:ser>
        <c:dLbls>
          <c:showLegendKey val="0"/>
          <c:showVal val="0"/>
          <c:showCatName val="0"/>
          <c:showSerName val="0"/>
          <c:showPercent val="0"/>
          <c:showBubbleSize val="0"/>
        </c:dLbls>
        <c:smooth val="0"/>
        <c:axId val="437272840"/>
        <c:axId val="437271272"/>
        <c:extLst xmlns:c16r2="http://schemas.microsoft.com/office/drawing/2015/06/chart">
          <c:ext xmlns:c15="http://schemas.microsoft.com/office/drawing/2012/chart" uri="{02D57815-91ED-43cb-92C2-25804820EDAC}">
            <c15:filteredLineSeries>
              <c15:ser>
                <c:idx val="0"/>
                <c:order val="0"/>
                <c:tx>
                  <c:strRef>
                    <c:extLst xmlns:c16r2="http://schemas.microsoft.com/office/drawing/2015/06/chart">
                      <c:ext uri="{02D57815-91ED-43cb-92C2-25804820EDAC}">
                        <c15:formulaRef>
                          <c15:sqref>'Currency Chart'!$P$5</c15:sqref>
                        </c15:formulaRef>
                      </c:ext>
                    </c:extLst>
                    <c:strCache>
                      <c:ptCount val="1"/>
                      <c:pt idx="0">
                        <c:v>Real</c:v>
                      </c:pt>
                    </c:strCache>
                  </c:strRef>
                </c:tx>
                <c:spPr>
                  <a:ln w="28575" cap="rnd">
                    <a:solidFill>
                      <a:schemeClr val="accent1"/>
                    </a:solidFill>
                    <a:round/>
                  </a:ln>
                  <a:effectLst/>
                </c:spPr>
                <c:marker>
                  <c:symbol val="none"/>
                </c:marker>
                <c:cat>
                  <c:numRef>
                    <c:extLst xmlns:c16r2="http://schemas.microsoft.com/office/drawing/2015/06/chart">
                      <c:ex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6r2="http://schemas.microsoft.com/office/drawing/2015/06/chart">
                      <c:ext uri="{02D57815-91ED-43cb-92C2-25804820EDAC}">
                        <c15:formulaRef>
                          <c15:sqref>'Currency Chart'!$P$6:$P$291</c15:sqref>
                        </c15:formulaRef>
                      </c:ext>
                    </c:extLst>
                    <c:numCache>
                      <c:formatCode>0</c:formatCode>
                      <c:ptCount val="286"/>
                      <c:pt idx="0" formatCode="General">
                        <c:v>100</c:v>
                      </c:pt>
                      <c:pt idx="1">
                        <c:v>100.77162147679776</c:v>
                      </c:pt>
                      <c:pt idx="2">
                        <c:v>101.38427464008859</c:v>
                      </c:pt>
                      <c:pt idx="3">
                        <c:v>100.36973529096559</c:v>
                      </c:pt>
                      <c:pt idx="4">
                        <c:v>101.26281570392598</c:v>
                      </c:pt>
                      <c:pt idx="5">
                        <c:v>101.64684028149895</c:v>
                      </c:pt>
                      <c:pt idx="6">
                        <c:v>104.94587932697459</c:v>
                      </c:pt>
                      <c:pt idx="7">
                        <c:v>103.64198192405243</c:v>
                      </c:pt>
                      <c:pt idx="8">
                        <c:v>101.31104204622582</c:v>
                      </c:pt>
                      <c:pt idx="9">
                        <c:v>98.876504840495826</c:v>
                      </c:pt>
                      <c:pt idx="10">
                        <c:v>99.164076733469059</c:v>
                      </c:pt>
                      <c:pt idx="11">
                        <c:v>100.3036473404065</c:v>
                      </c:pt>
                      <c:pt idx="12">
                        <c:v>100.46440181473936</c:v>
                      </c:pt>
                      <c:pt idx="13">
                        <c:v>99.72493123280816</c:v>
                      </c:pt>
                      <c:pt idx="14">
                        <c:v>99.317686564498231</c:v>
                      </c:pt>
                      <c:pt idx="15">
                        <c:v>98.090594077090671</c:v>
                      </c:pt>
                      <c:pt idx="16">
                        <c:v>98.319222662808528</c:v>
                      </c:pt>
                      <c:pt idx="17">
                        <c:v>98.62108384238914</c:v>
                      </c:pt>
                      <c:pt idx="18">
                        <c:v>100.3983138641803</c:v>
                      </c:pt>
                      <c:pt idx="19">
                        <c:v>100.87343264387522</c:v>
                      </c:pt>
                      <c:pt idx="20">
                        <c:v>102.82213410495478</c:v>
                      </c:pt>
                      <c:pt idx="21">
                        <c:v>103.23830957739432</c:v>
                      </c:pt>
                      <c:pt idx="22">
                        <c:v>103.14185689279461</c:v>
                      </c:pt>
                      <c:pt idx="23">
                        <c:v>100.58764691172792</c:v>
                      </c:pt>
                      <c:pt idx="24">
                        <c:v>101.937984496124</c:v>
                      </c:pt>
                      <c:pt idx="25">
                        <c:v>101.94512913942769</c:v>
                      </c:pt>
                      <c:pt idx="26">
                        <c:v>101.15385989354479</c:v>
                      </c:pt>
                      <c:pt idx="27">
                        <c:v>99.853534812274475</c:v>
                      </c:pt>
                      <c:pt idx="28">
                        <c:v>100.28042724966954</c:v>
                      </c:pt>
                      <c:pt idx="29">
                        <c:v>99.524881220305062</c:v>
                      </c:pt>
                      <c:pt idx="30">
                        <c:v>101.49144428964382</c:v>
                      </c:pt>
                      <c:pt idx="31">
                        <c:v>102.40595863251525</c:v>
                      </c:pt>
                      <c:pt idx="32">
                        <c:v>102.10766977458648</c:v>
                      </c:pt>
                      <c:pt idx="33">
                        <c:v>100.96452684599718</c:v>
                      </c:pt>
                      <c:pt idx="34">
                        <c:v>100.31436430536203</c:v>
                      </c:pt>
                      <c:pt idx="35">
                        <c:v>99.81602543493014</c:v>
                      </c:pt>
                      <c:pt idx="36">
                        <c:v>99.062265566391574</c:v>
                      </c:pt>
                      <c:pt idx="37">
                        <c:v>99.465937913049672</c:v>
                      </c:pt>
                      <c:pt idx="38">
                        <c:v>99.471296395527432</c:v>
                      </c:pt>
                      <c:pt idx="39">
                        <c:v>97.252884649733829</c:v>
                      </c:pt>
                      <c:pt idx="40">
                        <c:v>97.794091379987833</c:v>
                      </c:pt>
                      <c:pt idx="41">
                        <c:v>97.794091379987833</c:v>
                      </c:pt>
                      <c:pt idx="42">
                        <c:v>97.102847140356488</c:v>
                      </c:pt>
                      <c:pt idx="43">
                        <c:v>97.327903404422514</c:v>
                      </c:pt>
                      <c:pt idx="44">
                        <c:v>95.434572928946508</c:v>
                      </c:pt>
                      <c:pt idx="45">
                        <c:v>95.336334083520867</c:v>
                      </c:pt>
                      <c:pt idx="46">
                        <c:v>97.106419462008347</c:v>
                      </c:pt>
                      <c:pt idx="47">
                        <c:v>97.202872146608073</c:v>
                      </c:pt>
                      <c:pt idx="48">
                        <c:v>97.229664558996873</c:v>
                      </c:pt>
                      <c:pt idx="49">
                        <c:v>95.634622941449621</c:v>
                      </c:pt>
                      <c:pt idx="50">
                        <c:v>94.237845175579579</c:v>
                      </c:pt>
                      <c:pt idx="51">
                        <c:v>93.537670131818643</c:v>
                      </c:pt>
                      <c:pt idx="52">
                        <c:v>93.366198692530247</c:v>
                      </c:pt>
                      <c:pt idx="53">
                        <c:v>93.251884399671312</c:v>
                      </c:pt>
                      <c:pt idx="54">
                        <c:v>94.775479584181724</c:v>
                      </c:pt>
                      <c:pt idx="55">
                        <c:v>94.827278248133425</c:v>
                      </c:pt>
                      <c:pt idx="56">
                        <c:v>94.180688029150105</c:v>
                      </c:pt>
                      <c:pt idx="57">
                        <c:v>94.182474189976034</c:v>
                      </c:pt>
                      <c:pt idx="58">
                        <c:v>93.960990247561867</c:v>
                      </c:pt>
                      <c:pt idx="59">
                        <c:v>94.834422891437114</c:v>
                      </c:pt>
                      <c:pt idx="60">
                        <c:v>94.35394562926443</c:v>
                      </c:pt>
                      <c:pt idx="61">
                        <c:v>95.768585003393667</c:v>
                      </c:pt>
                      <c:pt idx="62">
                        <c:v>94.979101918336696</c:v>
                      </c:pt>
                      <c:pt idx="63">
                        <c:v>95.223805951487833</c:v>
                      </c:pt>
                      <c:pt idx="64">
                        <c:v>94.871932268781435</c:v>
                      </c:pt>
                      <c:pt idx="65">
                        <c:v>93.56446254420743</c:v>
                      </c:pt>
                      <c:pt idx="66">
                        <c:v>93.316186189404448</c:v>
                      </c:pt>
                      <c:pt idx="67">
                        <c:v>93.187582609938161</c:v>
                      </c:pt>
                      <c:pt idx="68">
                        <c:v>92.003357982352696</c:v>
                      </c:pt>
                      <c:pt idx="69">
                        <c:v>90.654806558782525</c:v>
                      </c:pt>
                      <c:pt idx="70">
                        <c:v>90.692315936126846</c:v>
                      </c:pt>
                      <c:pt idx="71">
                        <c:v>90.192190904869037</c:v>
                      </c:pt>
                      <c:pt idx="72">
                        <c:v>90.113599828528521</c:v>
                      </c:pt>
                      <c:pt idx="73">
                        <c:v>89.888543564462509</c:v>
                      </c:pt>
                      <c:pt idx="74">
                        <c:v>90.417247168935063</c:v>
                      </c:pt>
                      <c:pt idx="75">
                        <c:v>90.294002071946537</c:v>
                      </c:pt>
                      <c:pt idx="76">
                        <c:v>91.399635623191486</c:v>
                      </c:pt>
                      <c:pt idx="77">
                        <c:v>90.381523952416657</c:v>
                      </c:pt>
                      <c:pt idx="78">
                        <c:v>90.08859357696565</c:v>
                      </c:pt>
                      <c:pt idx="79">
                        <c:v>90.281498946165087</c:v>
                      </c:pt>
                      <c:pt idx="80">
                        <c:v>89.413424784767585</c:v>
                      </c:pt>
                      <c:pt idx="81">
                        <c:v>90.904869074411423</c:v>
                      </c:pt>
                      <c:pt idx="82">
                        <c:v>89.540242203407942</c:v>
                      </c:pt>
                      <c:pt idx="83">
                        <c:v>88.547136784195985</c:v>
                      </c:pt>
                      <c:pt idx="84">
                        <c:v>88.713249741006621</c:v>
                      </c:pt>
                      <c:pt idx="85">
                        <c:v>87.766584503268618</c:v>
                      </c:pt>
                      <c:pt idx="86">
                        <c:v>88.120244346800931</c:v>
                      </c:pt>
                      <c:pt idx="87">
                        <c:v>87.957703711642139</c:v>
                      </c:pt>
                      <c:pt idx="88">
                        <c:v>88.52034437180717</c:v>
                      </c:pt>
                      <c:pt idx="89">
                        <c:v>88.747186796699125</c:v>
                      </c:pt>
                      <c:pt idx="90">
                        <c:v>90.158253849176518</c:v>
                      </c:pt>
                      <c:pt idx="91">
                        <c:v>90.335083770942688</c:v>
                      </c:pt>
                      <c:pt idx="92">
                        <c:v>90.933447647626139</c:v>
                      </c:pt>
                      <c:pt idx="93">
                        <c:v>92.824991962276215</c:v>
                      </c:pt>
                      <c:pt idx="94">
                        <c:v>93.443003608044791</c:v>
                      </c:pt>
                      <c:pt idx="95">
                        <c:v>93.91455006608787</c:v>
                      </c:pt>
                      <c:pt idx="96">
                        <c:v>93.91455006608787</c:v>
                      </c:pt>
                      <c:pt idx="97">
                        <c:v>92.398099524881133</c:v>
                      </c:pt>
                      <c:pt idx="98">
                        <c:v>92.205194155681696</c:v>
                      </c:pt>
                      <c:pt idx="99">
                        <c:v>90.569070839138263</c:v>
                      </c:pt>
                      <c:pt idx="100">
                        <c:v>91.272818204551058</c:v>
                      </c:pt>
                      <c:pt idx="101">
                        <c:v>91.356767763369319</c:v>
                      </c:pt>
                      <c:pt idx="102">
                        <c:v>93.807380416532595</c:v>
                      </c:pt>
                      <c:pt idx="103">
                        <c:v>93.24652591719348</c:v>
                      </c:pt>
                      <c:pt idx="104">
                        <c:v>92.655306683813706</c:v>
                      </c:pt>
                      <c:pt idx="105">
                        <c:v>92.885721430357492</c:v>
                      </c:pt>
                      <c:pt idx="106">
                        <c:v>92.891079912835252</c:v>
                      </c:pt>
                      <c:pt idx="107">
                        <c:v>92.453470510484664</c:v>
                      </c:pt>
                      <c:pt idx="108">
                        <c:v>92.326653091844278</c:v>
                      </c:pt>
                      <c:pt idx="109">
                        <c:v>91.374629371628529</c:v>
                      </c:pt>
                      <c:pt idx="110">
                        <c:v>90.758403886685855</c:v>
                      </c:pt>
                      <c:pt idx="111">
                        <c:v>93.10006072946797</c:v>
                      </c:pt>
                      <c:pt idx="112">
                        <c:v>92.428464258921764</c:v>
                      </c:pt>
                      <c:pt idx="113">
                        <c:v>92.821419640624342</c:v>
                      </c:pt>
                      <c:pt idx="114">
                        <c:v>92.317722287714687</c:v>
                      </c:pt>
                      <c:pt idx="115">
                        <c:v>93.752009430929064</c:v>
                      </c:pt>
                      <c:pt idx="116">
                        <c:v>93.417997356481877</c:v>
                      </c:pt>
                      <c:pt idx="117">
                        <c:v>93.471582181259492</c:v>
                      </c:pt>
                      <c:pt idx="118">
                        <c:v>92.692816061158027</c:v>
                      </c:pt>
                      <c:pt idx="119">
                        <c:v>93.210802700675046</c:v>
                      </c:pt>
                      <c:pt idx="120">
                        <c:v>93.8163112206622</c:v>
                      </c:pt>
                      <c:pt idx="121">
                        <c:v>93.712713892758799</c:v>
                      </c:pt>
                      <c:pt idx="122">
                        <c:v>93.943128639302586</c:v>
                      </c:pt>
                      <c:pt idx="123">
                        <c:v>94.573643410852625</c:v>
                      </c:pt>
                      <c:pt idx="124">
                        <c:v>96.084735469581588</c:v>
                      </c:pt>
                      <c:pt idx="125">
                        <c:v>96.706319437002008</c:v>
                      </c:pt>
                      <c:pt idx="126">
                        <c:v>96.041867609759478</c:v>
                      </c:pt>
                      <c:pt idx="127">
                        <c:v>96.099024756188953</c:v>
                      </c:pt>
                      <c:pt idx="128">
                        <c:v>93.707355410281039</c:v>
                      </c:pt>
                      <c:pt idx="129">
                        <c:v>93.089343764512464</c:v>
                      </c:pt>
                      <c:pt idx="130">
                        <c:v>93.81273889901037</c:v>
                      </c:pt>
                      <c:pt idx="131">
                        <c:v>92.873218304576042</c:v>
                      </c:pt>
                      <c:pt idx="132">
                        <c:v>92.5945772157324</c:v>
                      </c:pt>
                      <c:pt idx="133">
                        <c:v>91.97299324831198</c:v>
                      </c:pt>
                      <c:pt idx="134">
                        <c:v>92.626728110598989</c:v>
                      </c:pt>
                      <c:pt idx="135">
                        <c:v>92.557067838388065</c:v>
                      </c:pt>
                      <c:pt idx="136">
                        <c:v>92.716036151895011</c:v>
                      </c:pt>
                      <c:pt idx="137">
                        <c:v>92.332011574322038</c:v>
                      </c:pt>
                      <c:pt idx="138">
                        <c:v>92.330225413496123</c:v>
                      </c:pt>
                      <c:pt idx="139">
                        <c:v>95.048762190547521</c:v>
                      </c:pt>
                      <c:pt idx="140">
                        <c:v>92.837495088057622</c:v>
                      </c:pt>
                      <c:pt idx="141">
                        <c:v>93.69127996284773</c:v>
                      </c:pt>
                      <c:pt idx="142">
                        <c:v>93.137570106812305</c:v>
                      </c:pt>
                      <c:pt idx="143">
                        <c:v>93.59125495659616</c:v>
                      </c:pt>
                      <c:pt idx="144">
                        <c:v>93.271532168756352</c:v>
                      </c:pt>
                      <c:pt idx="145">
                        <c:v>93.835958989747311</c:v>
                      </c:pt>
                      <c:pt idx="146">
                        <c:v>94.457542957167718</c:v>
                      </c:pt>
                      <c:pt idx="147">
                        <c:v>95.095202372021433</c:v>
                      </c:pt>
                      <c:pt idx="148">
                        <c:v>94.12888936519829</c:v>
                      </c:pt>
                      <c:pt idx="149">
                        <c:v>94.466473761297323</c:v>
                      </c:pt>
                      <c:pt idx="150">
                        <c:v>94.720108598578065</c:v>
                      </c:pt>
                      <c:pt idx="151">
                        <c:v>95.280963097917166</c:v>
                      </c:pt>
                      <c:pt idx="152">
                        <c:v>96.299074768692009</c:v>
                      </c:pt>
                      <c:pt idx="153">
                        <c:v>96.976029721715975</c:v>
                      </c:pt>
                      <c:pt idx="154">
                        <c:v>96.724181045261147</c:v>
                      </c:pt>
                      <c:pt idx="155">
                        <c:v>97.217161433215296</c:v>
                      </c:pt>
                      <c:pt idx="156">
                        <c:v>95.788232772478679</c:v>
                      </c:pt>
                      <c:pt idx="157">
                        <c:v>97.408280641588817</c:v>
                      </c:pt>
                      <c:pt idx="158">
                        <c:v>97.788732897509945</c:v>
                      </c:pt>
                      <c:pt idx="159">
                        <c:v>98.081663272960952</c:v>
                      </c:pt>
                      <c:pt idx="160">
                        <c:v>98.574643660915086</c:v>
                      </c:pt>
                      <c:pt idx="161">
                        <c:v>98.385310613367494</c:v>
                      </c:pt>
                      <c:pt idx="162">
                        <c:v>98.894366448754894</c:v>
                      </c:pt>
                      <c:pt idx="163">
                        <c:v>98.819347694066224</c:v>
                      </c:pt>
                      <c:pt idx="164">
                        <c:v>98.476404815489445</c:v>
                      </c:pt>
                      <c:pt idx="165">
                        <c:v>98.47461865466353</c:v>
                      </c:pt>
                      <c:pt idx="166">
                        <c:v>97.544028864358808</c:v>
                      </c:pt>
                      <c:pt idx="167">
                        <c:v>98.447826242274715</c:v>
                      </c:pt>
                      <c:pt idx="168">
                        <c:v>99.746365162719101</c:v>
                      </c:pt>
                      <c:pt idx="169">
                        <c:v>99.980352230914733</c:v>
                      </c:pt>
                      <c:pt idx="170">
                        <c:v>101.05562104811904</c:v>
                      </c:pt>
                      <c:pt idx="171">
                        <c:v>100.8716464830492</c:v>
                      </c:pt>
                      <c:pt idx="172">
                        <c:v>99.244453970635391</c:v>
                      </c:pt>
                      <c:pt idx="173">
                        <c:v>99.428428535705237</c:v>
                      </c:pt>
                      <c:pt idx="174">
                        <c:v>98.917586539491893</c:v>
                      </c:pt>
                      <c:pt idx="175">
                        <c:v>100.85378487478999</c:v>
                      </c:pt>
                      <c:pt idx="176">
                        <c:v>100.68945807880529</c:v>
                      </c:pt>
                      <c:pt idx="177">
                        <c:v>101.48072732468819</c:v>
                      </c:pt>
                      <c:pt idx="178">
                        <c:v>101.44500410816977</c:v>
                      </c:pt>
                      <c:pt idx="179">
                        <c:v>99.17657985925041</c:v>
                      </c:pt>
                      <c:pt idx="180">
                        <c:v>100.06072946808118</c:v>
                      </c:pt>
                      <c:pt idx="181">
                        <c:v>99.003322259136084</c:v>
                      </c:pt>
                      <c:pt idx="182">
                        <c:v>99.024756189047125</c:v>
                      </c:pt>
                      <c:pt idx="183">
                        <c:v>97.88875790376153</c:v>
                      </c:pt>
                      <c:pt idx="184">
                        <c:v>98.078090951309107</c:v>
                      </c:pt>
                      <c:pt idx="185">
                        <c:v>96.433036830636098</c:v>
                      </c:pt>
                      <c:pt idx="186">
                        <c:v>97.502947165362627</c:v>
                      </c:pt>
                      <c:pt idx="187">
                        <c:v>97.479727074625657</c:v>
                      </c:pt>
                      <c:pt idx="188">
                        <c:v>98.288857928767769</c:v>
                      </c:pt>
                      <c:pt idx="189">
                        <c:v>98.760404386810862</c:v>
                      </c:pt>
                      <c:pt idx="190">
                        <c:v>99.267674061372347</c:v>
                      </c:pt>
                      <c:pt idx="191">
                        <c:v>100.26613796306205</c:v>
                      </c:pt>
                      <c:pt idx="192">
                        <c:v>99.783874540063437</c:v>
                      </c:pt>
                      <c:pt idx="193">
                        <c:v>99.510591933697555</c:v>
                      </c:pt>
                      <c:pt idx="194">
                        <c:v>100.1339620619439</c:v>
                      </c:pt>
                      <c:pt idx="195">
                        <c:v>99.424856214053364</c:v>
                      </c:pt>
                      <c:pt idx="196">
                        <c:v>100.19111920837338</c:v>
                      </c:pt>
                      <c:pt idx="197">
                        <c:v>100.0553709856034</c:v>
                      </c:pt>
                      <c:pt idx="198">
                        <c:v>100.45189868895781</c:v>
                      </c:pt>
                      <c:pt idx="199">
                        <c:v>101.73078984031707</c:v>
                      </c:pt>
                      <c:pt idx="200">
                        <c:v>100.85021255313815</c:v>
                      </c:pt>
                      <c:pt idx="201">
                        <c:v>100.97524381095259</c:v>
                      </c:pt>
                      <c:pt idx="202">
                        <c:v>101.61647554745814</c:v>
                      </c:pt>
                      <c:pt idx="203">
                        <c:v>100.2536348372806</c:v>
                      </c:pt>
                      <c:pt idx="204">
                        <c:v>98.822920015718068</c:v>
                      </c:pt>
                      <c:pt idx="205">
                        <c:v>99.53738434608637</c:v>
                      </c:pt>
                      <c:pt idx="206">
                        <c:v>100.25184867645467</c:v>
                      </c:pt>
                      <c:pt idx="207">
                        <c:v>101.46107955560302</c:v>
                      </c:pt>
                      <c:pt idx="208">
                        <c:v>101.48072732468815</c:v>
                      </c:pt>
                      <c:pt idx="209">
                        <c:v>101.46465187725487</c:v>
                      </c:pt>
                      <c:pt idx="210">
                        <c:v>101.60397242167667</c:v>
                      </c:pt>
                      <c:pt idx="211">
                        <c:v>101.73793448362073</c:v>
                      </c:pt>
                      <c:pt idx="212">
                        <c:v>102.5613546243702</c:v>
                      </c:pt>
                      <c:pt idx="213">
                        <c:v>102.61672560997373</c:v>
                      </c:pt>
                      <c:pt idx="214">
                        <c:v>100.98953309755991</c:v>
                      </c:pt>
                      <c:pt idx="215">
                        <c:v>101.36284071017735</c:v>
                      </c:pt>
                      <c:pt idx="216">
                        <c:v>101.36462687100327</c:v>
                      </c:pt>
                      <c:pt idx="217">
                        <c:v>100.46976029721698</c:v>
                      </c:pt>
                      <c:pt idx="218">
                        <c:v>100.5304897652983</c:v>
                      </c:pt>
                      <c:pt idx="219">
                        <c:v>101.86832422391294</c:v>
                      </c:pt>
                      <c:pt idx="220">
                        <c:v>99.507019612045681</c:v>
                      </c:pt>
                      <c:pt idx="221">
                        <c:v>99.494516486264232</c:v>
                      </c:pt>
                      <c:pt idx="222">
                        <c:v>101.48608580716588</c:v>
                      </c:pt>
                      <c:pt idx="223">
                        <c:v>101.40035008752167</c:v>
                      </c:pt>
                      <c:pt idx="224">
                        <c:v>101.96656306933856</c:v>
                      </c:pt>
                      <c:pt idx="225">
                        <c:v>101.51466438038059</c:v>
                      </c:pt>
                      <c:pt idx="226">
                        <c:v>100.65909334476456</c:v>
                      </c:pt>
                      <c:pt idx="227">
                        <c:v>101.15564605437052</c:v>
                      </c:pt>
                      <c:pt idx="228">
                        <c:v>99.464151752223572</c:v>
                      </c:pt>
                      <c:pt idx="229">
                        <c:v>98.842567784803151</c:v>
                      </c:pt>
                      <c:pt idx="230">
                        <c:v>98.74968742185527</c:v>
                      </c:pt>
                      <c:pt idx="231">
                        <c:v>98.853284749758672</c:v>
                      </c:pt>
                      <c:pt idx="232">
                        <c:v>98.533561961918849</c:v>
                      </c:pt>
                      <c:pt idx="233">
                        <c:v>99.428428535705166</c:v>
                      </c:pt>
                      <c:pt idx="234">
                        <c:v>97.136784196048822</c:v>
                      </c:pt>
                      <c:pt idx="235">
                        <c:v>96.793841317472044</c:v>
                      </c:pt>
                      <c:pt idx="236">
                        <c:v>97.49223020040705</c:v>
                      </c:pt>
                      <c:pt idx="237">
                        <c:v>98.019147644053675</c:v>
                      </c:pt>
                      <c:pt idx="238">
                        <c:v>97.233236880648533</c:v>
                      </c:pt>
                      <c:pt idx="239">
                        <c:v>97.031400707319492</c:v>
                      </c:pt>
                      <c:pt idx="240">
                        <c:v>96.568785053406003</c:v>
                      </c:pt>
                      <c:pt idx="241">
                        <c:v>95.870396170470983</c:v>
                      </c:pt>
                      <c:pt idx="242">
                        <c:v>94.739756367663148</c:v>
                      </c:pt>
                      <c:pt idx="243">
                        <c:v>94.050298288857746</c:v>
                      </c:pt>
                      <c:pt idx="244">
                        <c:v>93.987782659950497</c:v>
                      </c:pt>
                      <c:pt idx="245">
                        <c:v>94.378951880827145</c:v>
                      </c:pt>
                      <c:pt idx="246">
                        <c:v>95.164862644232272</c:v>
                      </c:pt>
                      <c:pt idx="247">
                        <c:v>94.016361233165227</c:v>
                      </c:pt>
                      <c:pt idx="248">
                        <c:v>93.939556317650627</c:v>
                      </c:pt>
                      <c:pt idx="249">
                        <c:v>93.512663880255573</c:v>
                      </c:pt>
                      <c:pt idx="250">
                        <c:v>93.766298717536301</c:v>
                      </c:pt>
                      <c:pt idx="251">
                        <c:v>93.821669703139847</c:v>
                      </c:pt>
                      <c:pt idx="252">
                        <c:v>93.146500910941796</c:v>
                      </c:pt>
                      <c:pt idx="253">
                        <c:v>92.148037009252079</c:v>
                      </c:pt>
                      <c:pt idx="254">
                        <c:v>91.74615082341991</c:v>
                      </c:pt>
                      <c:pt idx="255">
                        <c:v>92.376665594969936</c:v>
                      </c:pt>
                      <c:pt idx="256">
                        <c:v>91.781874039938316</c:v>
                      </c:pt>
                      <c:pt idx="257">
                        <c:v>91.15850391169198</c:v>
                      </c:pt>
                      <c:pt idx="258">
                        <c:v>90.349373057549869</c:v>
                      </c:pt>
                      <c:pt idx="259">
                        <c:v>89.481298896152367</c:v>
                      </c:pt>
                      <c:pt idx="260">
                        <c:v>91.506805272746519</c:v>
                      </c:pt>
                      <c:pt idx="261">
                        <c:v>92.206980316507469</c:v>
                      </c:pt>
                      <c:pt idx="262">
                        <c:v>92.164112456685373</c:v>
                      </c:pt>
                      <c:pt idx="263">
                        <c:v>95.87039617047094</c:v>
                      </c:pt>
                    </c:numCache>
                  </c:numRef>
                </c:val>
                <c:smooth val="0"/>
                <c:extLst xmlns:c16r2="http://schemas.microsoft.com/office/drawing/2015/06/chart">
                  <c:ext xmlns:c16="http://schemas.microsoft.com/office/drawing/2014/chart" uri="{C3380CC4-5D6E-409C-BE32-E72D297353CC}">
                    <c16:uniqueId val="{00000003-3801-4424-8D6A-73CF653766E8}"/>
                  </c:ext>
                </c:extLst>
              </c15:ser>
            </c15:filteredLineSeries>
            <c15:filteredLineSeries>
              <c15:ser>
                <c:idx val="1"/>
                <c:order val="1"/>
                <c:tx>
                  <c:strRef>
                    <c:extLst xmlns:c15="http://schemas.microsoft.com/office/drawing/2012/chart" xmlns:c16r2="http://schemas.microsoft.com/office/drawing/2015/06/chart">
                      <c:ext xmlns:c15="http://schemas.microsoft.com/office/drawing/2012/chart" uri="{02D57815-91ED-43cb-92C2-25804820EDAC}">
                        <c15:formulaRef>
                          <c15:sqref>'Currency Chart'!$Q$5</c15:sqref>
                        </c15:formulaRef>
                      </c:ext>
                    </c:extLst>
                    <c:strCache>
                      <c:ptCount val="1"/>
                      <c:pt idx="0">
                        <c:v>Rouble</c:v>
                      </c:pt>
                    </c:strCache>
                  </c:strRef>
                </c:tx>
                <c:spPr>
                  <a:ln w="28575" cap="rnd">
                    <a:solidFill>
                      <a:schemeClr val="accent2"/>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Chart'!$Q$6:$Q$291</c15:sqref>
                        </c15:formulaRef>
                      </c:ext>
                    </c:extLst>
                    <c:numCache>
                      <c:formatCode>0</c:formatCode>
                      <c:ptCount val="286"/>
                      <c:pt idx="0" formatCode="General">
                        <c:v>100</c:v>
                      </c:pt>
                      <c:pt idx="1">
                        <c:v>100.09439559846808</c:v>
                      </c:pt>
                      <c:pt idx="2">
                        <c:v>99.391822644155553</c:v>
                      </c:pt>
                      <c:pt idx="3">
                        <c:v>99.712767678947074</c:v>
                      </c:pt>
                      <c:pt idx="4">
                        <c:v>100.50798317061329</c:v>
                      </c:pt>
                      <c:pt idx="5">
                        <c:v>99.937968606720943</c:v>
                      </c:pt>
                      <c:pt idx="6">
                        <c:v>100.25823938723768</c:v>
                      </c:pt>
                      <c:pt idx="7">
                        <c:v>99.584659366740354</c:v>
                      </c:pt>
                      <c:pt idx="8">
                        <c:v>98.994012622039989</c:v>
                      </c:pt>
                      <c:pt idx="9">
                        <c:v>98.820055019148796</c:v>
                      </c:pt>
                      <c:pt idx="10">
                        <c:v>98.383812503371232</c:v>
                      </c:pt>
                      <c:pt idx="11">
                        <c:v>98.039942823237467</c:v>
                      </c:pt>
                      <c:pt idx="12">
                        <c:v>97.84697124979769</c:v>
                      </c:pt>
                      <c:pt idx="13">
                        <c:v>99.358109930416944</c:v>
                      </c:pt>
                      <c:pt idx="14">
                        <c:v>99.99528022007658</c:v>
                      </c:pt>
                      <c:pt idx="15">
                        <c:v>99.885376773288726</c:v>
                      </c:pt>
                      <c:pt idx="16">
                        <c:v>100.64189006958304</c:v>
                      </c:pt>
                      <c:pt idx="17">
                        <c:v>102.95121096067749</c:v>
                      </c:pt>
                      <c:pt idx="18">
                        <c:v>103.21039430389989</c:v>
                      </c:pt>
                      <c:pt idx="19">
                        <c:v>102.51577755002968</c:v>
                      </c:pt>
                      <c:pt idx="20">
                        <c:v>102.01197475591995</c:v>
                      </c:pt>
                      <c:pt idx="21">
                        <c:v>101.7908193537947</c:v>
                      </c:pt>
                      <c:pt idx="22">
                        <c:v>102.1121689411511</c:v>
                      </c:pt>
                      <c:pt idx="23">
                        <c:v>101.93510976859592</c:v>
                      </c:pt>
                      <c:pt idx="24">
                        <c:v>102.76309401801608</c:v>
                      </c:pt>
                      <c:pt idx="25">
                        <c:v>103.13393386914075</c:v>
                      </c:pt>
                      <c:pt idx="26">
                        <c:v>102.94972760127301</c:v>
                      </c:pt>
                      <c:pt idx="27">
                        <c:v>103.94303899886727</c:v>
                      </c:pt>
                      <c:pt idx="28">
                        <c:v>103.70030745994931</c:v>
                      </c:pt>
                      <c:pt idx="29">
                        <c:v>103.42521171584228</c:v>
                      </c:pt>
                      <c:pt idx="30">
                        <c:v>104.30713630724419</c:v>
                      </c:pt>
                      <c:pt idx="31">
                        <c:v>104.17498246938887</c:v>
                      </c:pt>
                      <c:pt idx="32">
                        <c:v>102.35179891040511</c:v>
                      </c:pt>
                      <c:pt idx="33">
                        <c:v>101.98500458492907</c:v>
                      </c:pt>
                      <c:pt idx="34">
                        <c:v>102.90199039861915</c:v>
                      </c:pt>
                      <c:pt idx="35">
                        <c:v>102.22031932682454</c:v>
                      </c:pt>
                      <c:pt idx="36">
                        <c:v>102.85209558228601</c:v>
                      </c:pt>
                      <c:pt idx="37">
                        <c:v>103.5169102972113</c:v>
                      </c:pt>
                      <c:pt idx="38">
                        <c:v>103.10022115540214</c:v>
                      </c:pt>
                      <c:pt idx="39">
                        <c:v>101.42807055396733</c:v>
                      </c:pt>
                      <c:pt idx="40">
                        <c:v>100.74437671934841</c:v>
                      </c:pt>
                      <c:pt idx="41">
                        <c:v>100.74437671934841</c:v>
                      </c:pt>
                      <c:pt idx="42">
                        <c:v>101.07071578833812</c:v>
                      </c:pt>
                      <c:pt idx="43">
                        <c:v>100.98575974971683</c:v>
                      </c:pt>
                      <c:pt idx="44">
                        <c:v>100.22735854145317</c:v>
                      </c:pt>
                      <c:pt idx="45">
                        <c:v>100.42680295593074</c:v>
                      </c:pt>
                      <c:pt idx="46">
                        <c:v>101.35390258374238</c:v>
                      </c:pt>
                      <c:pt idx="47">
                        <c:v>100.93856195048278</c:v>
                      </c:pt>
                      <c:pt idx="48">
                        <c:v>100.53805491126816</c:v>
                      </c:pt>
                      <c:pt idx="49">
                        <c:v>100.73628566805115</c:v>
                      </c:pt>
                      <c:pt idx="50">
                        <c:v>100.02427315389183</c:v>
                      </c:pt>
                      <c:pt idx="51">
                        <c:v>99.196288904471672</c:v>
                      </c:pt>
                      <c:pt idx="52">
                        <c:v>100.10316090404015</c:v>
                      </c:pt>
                      <c:pt idx="53">
                        <c:v>99.722207238793914</c:v>
                      </c:pt>
                      <c:pt idx="54">
                        <c:v>100.43691677005235</c:v>
                      </c:pt>
                      <c:pt idx="55">
                        <c:v>99.762662495280253</c:v>
                      </c:pt>
                      <c:pt idx="56">
                        <c:v>99.590053400938601</c:v>
                      </c:pt>
                      <c:pt idx="57">
                        <c:v>99.476778682776882</c:v>
                      </c:pt>
                      <c:pt idx="58">
                        <c:v>99.185500836075335</c:v>
                      </c:pt>
                      <c:pt idx="59">
                        <c:v>99.381439128324089</c:v>
                      </c:pt>
                      <c:pt idx="60">
                        <c:v>99.047952964021803</c:v>
                      </c:pt>
                      <c:pt idx="61">
                        <c:v>99.119423917147643</c:v>
                      </c:pt>
                      <c:pt idx="62">
                        <c:v>98.98322455364368</c:v>
                      </c:pt>
                      <c:pt idx="63">
                        <c:v>99.047413560601981</c:v>
                      </c:pt>
                      <c:pt idx="64">
                        <c:v>99.033119369976802</c:v>
                      </c:pt>
                      <c:pt idx="65">
                        <c:v>98.875343869680137</c:v>
                      </c:pt>
                      <c:pt idx="66">
                        <c:v>98.445169642375532</c:v>
                      </c:pt>
                      <c:pt idx="67">
                        <c:v>98.778251254112945</c:v>
                      </c:pt>
                      <c:pt idx="68">
                        <c:v>99.034467878526343</c:v>
                      </c:pt>
                      <c:pt idx="69">
                        <c:v>98.511246561303196</c:v>
                      </c:pt>
                      <c:pt idx="70">
                        <c:v>98.359674200334425</c:v>
                      </c:pt>
                      <c:pt idx="71">
                        <c:v>98.090511893845402</c:v>
                      </c:pt>
                      <c:pt idx="72">
                        <c:v>98.074734343815749</c:v>
                      </c:pt>
                      <c:pt idx="73">
                        <c:v>97.376881169426625</c:v>
                      </c:pt>
                      <c:pt idx="74">
                        <c:v>97.441879281514645</c:v>
                      </c:pt>
                      <c:pt idx="75">
                        <c:v>96.728518258805764</c:v>
                      </c:pt>
                      <c:pt idx="76">
                        <c:v>96.826959382922468</c:v>
                      </c:pt>
                      <c:pt idx="77">
                        <c:v>97.057554344894527</c:v>
                      </c:pt>
                      <c:pt idx="78">
                        <c:v>97.328604563352911</c:v>
                      </c:pt>
                      <c:pt idx="79">
                        <c:v>97.904957117428111</c:v>
                      </c:pt>
                      <c:pt idx="80">
                        <c:v>97.431091213118279</c:v>
                      </c:pt>
                      <c:pt idx="81">
                        <c:v>98.020389449269089</c:v>
                      </c:pt>
                      <c:pt idx="82">
                        <c:v>98.443821133825963</c:v>
                      </c:pt>
                      <c:pt idx="83">
                        <c:v>98.130967150331699</c:v>
                      </c:pt>
                      <c:pt idx="84">
                        <c:v>97.681913803333472</c:v>
                      </c:pt>
                      <c:pt idx="85">
                        <c:v>97.298263120988153</c:v>
                      </c:pt>
                      <c:pt idx="86">
                        <c:v>97.209935810993017</c:v>
                      </c:pt>
                      <c:pt idx="87">
                        <c:v>97.23286045633526</c:v>
                      </c:pt>
                      <c:pt idx="88">
                        <c:v>98.044662603160887</c:v>
                      </c:pt>
                      <c:pt idx="89">
                        <c:v>98.407411402988274</c:v>
                      </c:pt>
                      <c:pt idx="90">
                        <c:v>98.841496305086565</c:v>
                      </c:pt>
                      <c:pt idx="91">
                        <c:v>98.562489886185887</c:v>
                      </c:pt>
                      <c:pt idx="92">
                        <c:v>98.871298344031516</c:v>
                      </c:pt>
                      <c:pt idx="93">
                        <c:v>100.24138303036841</c:v>
                      </c:pt>
                      <c:pt idx="94">
                        <c:v>100.4571443982955</c:v>
                      </c:pt>
                      <c:pt idx="95">
                        <c:v>100.57176762500676</c:v>
                      </c:pt>
                      <c:pt idx="96">
                        <c:v>100.22034629699554</c:v>
                      </c:pt>
                      <c:pt idx="97">
                        <c:v>100.25311505474946</c:v>
                      </c:pt>
                      <c:pt idx="98">
                        <c:v>100.20497329953075</c:v>
                      </c:pt>
                      <c:pt idx="99">
                        <c:v>99.84492151680243</c:v>
                      </c:pt>
                      <c:pt idx="100">
                        <c:v>100.08401208263662</c:v>
                      </c:pt>
                      <c:pt idx="101">
                        <c:v>99.778844597874766</c:v>
                      </c:pt>
                      <c:pt idx="102">
                        <c:v>100.579858676304</c:v>
                      </c:pt>
                      <c:pt idx="103">
                        <c:v>100.11732024381033</c:v>
                      </c:pt>
                      <c:pt idx="104">
                        <c:v>99.614326554830356</c:v>
                      </c:pt>
                      <c:pt idx="105">
                        <c:v>99.190894870273468</c:v>
                      </c:pt>
                      <c:pt idx="106">
                        <c:v>99.39991369545281</c:v>
                      </c:pt>
                      <c:pt idx="107">
                        <c:v>99.226630346836373</c:v>
                      </c:pt>
                      <c:pt idx="108">
                        <c:v>99.386428609957349</c:v>
                      </c:pt>
                      <c:pt idx="109">
                        <c:v>98.946814822805948</c:v>
                      </c:pt>
                      <c:pt idx="110">
                        <c:v>98.552376072064263</c:v>
                      </c:pt>
                      <c:pt idx="111">
                        <c:v>98.53889098656883</c:v>
                      </c:pt>
                      <c:pt idx="112">
                        <c:v>98.205135120556633</c:v>
                      </c:pt>
                      <c:pt idx="113">
                        <c:v>98.34511030799932</c:v>
                      </c:pt>
                      <c:pt idx="114">
                        <c:v>98.53012568099679</c:v>
                      </c:pt>
                      <c:pt idx="115">
                        <c:v>98.513404174982441</c:v>
                      </c:pt>
                      <c:pt idx="116">
                        <c:v>99.108635848751263</c:v>
                      </c:pt>
                      <c:pt idx="117">
                        <c:v>99.254274772102036</c:v>
                      </c:pt>
                      <c:pt idx="118">
                        <c:v>99.610281029181721</c:v>
                      </c:pt>
                      <c:pt idx="119">
                        <c:v>98.964345433950044</c:v>
                      </c:pt>
                      <c:pt idx="120">
                        <c:v>99.158530665084385</c:v>
                      </c:pt>
                      <c:pt idx="121">
                        <c:v>98.646097416257589</c:v>
                      </c:pt>
                      <c:pt idx="122">
                        <c:v>98.629915313663062</c:v>
                      </c:pt>
                      <c:pt idx="123">
                        <c:v>99.076136792707231</c:v>
                      </c:pt>
                      <c:pt idx="124">
                        <c:v>99.057931927288394</c:v>
                      </c:pt>
                      <c:pt idx="125">
                        <c:v>99.718835967420006</c:v>
                      </c:pt>
                      <c:pt idx="126">
                        <c:v>100.1469874319003</c:v>
                      </c:pt>
                      <c:pt idx="127">
                        <c:v>99.651680241652713</c:v>
                      </c:pt>
                      <c:pt idx="128">
                        <c:v>99.20640271859321</c:v>
                      </c:pt>
                      <c:pt idx="129">
                        <c:v>99.459248071632743</c:v>
                      </c:pt>
                      <c:pt idx="130">
                        <c:v>99.9460596580182</c:v>
                      </c:pt>
                      <c:pt idx="131">
                        <c:v>99.043907438373139</c:v>
                      </c:pt>
                      <c:pt idx="132">
                        <c:v>98.983359404498614</c:v>
                      </c:pt>
                      <c:pt idx="133">
                        <c:v>98.599573871298333</c:v>
                      </c:pt>
                      <c:pt idx="134">
                        <c:v>98.387183774745111</c:v>
                      </c:pt>
                      <c:pt idx="135">
                        <c:v>98.214574680403459</c:v>
                      </c:pt>
                      <c:pt idx="136">
                        <c:v>98.097254436593133</c:v>
                      </c:pt>
                      <c:pt idx="137">
                        <c:v>98.372350180700138</c:v>
                      </c:pt>
                      <c:pt idx="138">
                        <c:v>98.797130373806553</c:v>
                      </c:pt>
                      <c:pt idx="139">
                        <c:v>98.599573871298347</c:v>
                      </c:pt>
                      <c:pt idx="140">
                        <c:v>98.373698689249693</c:v>
                      </c:pt>
                      <c:pt idx="141">
                        <c:v>98.553050326339061</c:v>
                      </c:pt>
                      <c:pt idx="142">
                        <c:v>97.787097470197963</c:v>
                      </c:pt>
                      <c:pt idx="143">
                        <c:v>98.317061330168841</c:v>
                      </c:pt>
                      <c:pt idx="144">
                        <c:v>97.318490749231358</c:v>
                      </c:pt>
                      <c:pt idx="145">
                        <c:v>97.35004584929068</c:v>
                      </c:pt>
                      <c:pt idx="146">
                        <c:v>98.171422406818053</c:v>
                      </c:pt>
                      <c:pt idx="147">
                        <c:v>98.851610119208146</c:v>
                      </c:pt>
                      <c:pt idx="148">
                        <c:v>98.528777172447263</c:v>
                      </c:pt>
                      <c:pt idx="149">
                        <c:v>98.252332919790703</c:v>
                      </c:pt>
                      <c:pt idx="150">
                        <c:v>98.062328065159917</c:v>
                      </c:pt>
                      <c:pt idx="151">
                        <c:v>97.898349425535343</c:v>
                      </c:pt>
                      <c:pt idx="152">
                        <c:v>97.845487890393215</c:v>
                      </c:pt>
                      <c:pt idx="153">
                        <c:v>98.050730891633833</c:v>
                      </c:pt>
                      <c:pt idx="154">
                        <c:v>98.219968714601634</c:v>
                      </c:pt>
                      <c:pt idx="155">
                        <c:v>97.871379254544465</c:v>
                      </c:pt>
                      <c:pt idx="156">
                        <c:v>97.871379254544465</c:v>
                      </c:pt>
                      <c:pt idx="157">
                        <c:v>97.497168132045942</c:v>
                      </c:pt>
                      <c:pt idx="158">
                        <c:v>97.409515076325576</c:v>
                      </c:pt>
                      <c:pt idx="159">
                        <c:v>97.584821187766323</c:v>
                      </c:pt>
                      <c:pt idx="160">
                        <c:v>96.684691730945573</c:v>
                      </c:pt>
                      <c:pt idx="161">
                        <c:v>96.790549652084778</c:v>
                      </c:pt>
                      <c:pt idx="162">
                        <c:v>96.545121096067732</c:v>
                      </c:pt>
                      <c:pt idx="163">
                        <c:v>96.685365985220329</c:v>
                      </c:pt>
                      <c:pt idx="164">
                        <c:v>96.983386374669607</c:v>
                      </c:pt>
                      <c:pt idx="165">
                        <c:v>96.128431954258588</c:v>
                      </c:pt>
                      <c:pt idx="166">
                        <c:v>95.513512055666425</c:v>
                      </c:pt>
                      <c:pt idx="167">
                        <c:v>95.905928043583799</c:v>
                      </c:pt>
                      <c:pt idx="168">
                        <c:v>95.447435136738761</c:v>
                      </c:pt>
                      <c:pt idx="169">
                        <c:v>95.245158854307121</c:v>
                      </c:pt>
                      <c:pt idx="170">
                        <c:v>95.771077188629363</c:v>
                      </c:pt>
                      <c:pt idx="171">
                        <c:v>94.793408490209828</c:v>
                      </c:pt>
                      <c:pt idx="172">
                        <c:v>94.034198176816432</c:v>
                      </c:pt>
                      <c:pt idx="173">
                        <c:v>93.481579373213208</c:v>
                      </c:pt>
                      <c:pt idx="174">
                        <c:v>95.18339716273799</c:v>
                      </c:pt>
                      <c:pt idx="175">
                        <c:v>94.479880252440779</c:v>
                      </c:pt>
                      <c:pt idx="176">
                        <c:v>95.558687092076141</c:v>
                      </c:pt>
                      <c:pt idx="177">
                        <c:v>96.307109337073186</c:v>
                      </c:pt>
                      <c:pt idx="178">
                        <c:v>96.232941366848237</c:v>
                      </c:pt>
                      <c:pt idx="179">
                        <c:v>96.64491072873399</c:v>
                      </c:pt>
                      <c:pt idx="180">
                        <c:v>96.152030853875573</c:v>
                      </c:pt>
                      <c:pt idx="181">
                        <c:v>95.763660391606848</c:v>
                      </c:pt>
                      <c:pt idx="182">
                        <c:v>96.063703543880422</c:v>
                      </c:pt>
                      <c:pt idx="183">
                        <c:v>95.122444576298577</c:v>
                      </c:pt>
                      <c:pt idx="184">
                        <c:v>95.946383300070096</c:v>
                      </c:pt>
                      <c:pt idx="185">
                        <c:v>96.286881708830009</c:v>
                      </c:pt>
                      <c:pt idx="186">
                        <c:v>98.101299962241725</c:v>
                      </c:pt>
                      <c:pt idx="187">
                        <c:v>97.605048816009443</c:v>
                      </c:pt>
                      <c:pt idx="188">
                        <c:v>98.361562112303744</c:v>
                      </c:pt>
                      <c:pt idx="189">
                        <c:v>97.53047629321965</c:v>
                      </c:pt>
                      <c:pt idx="190">
                        <c:v>98.451912185123192</c:v>
                      </c:pt>
                      <c:pt idx="191">
                        <c:v>98.731053454878861</c:v>
                      </c:pt>
                      <c:pt idx="192">
                        <c:v>100.90080371109548</c:v>
                      </c:pt>
                      <c:pt idx="193">
                        <c:v>100.14563892335072</c:v>
                      </c:pt>
                      <c:pt idx="194">
                        <c:v>100.83337828361827</c:v>
                      </c:pt>
                      <c:pt idx="195">
                        <c:v>100.49894816333131</c:v>
                      </c:pt>
                      <c:pt idx="196">
                        <c:v>101.50898106693991</c:v>
                      </c:pt>
                      <c:pt idx="197">
                        <c:v>100.13619936350391</c:v>
                      </c:pt>
                      <c:pt idx="198">
                        <c:v>99.580478990236728</c:v>
                      </c:pt>
                      <c:pt idx="199">
                        <c:v>100.09574410701758</c:v>
                      </c:pt>
                      <c:pt idx="200">
                        <c:v>99.159879173633897</c:v>
                      </c:pt>
                      <c:pt idx="201">
                        <c:v>99.371595015912334</c:v>
                      </c:pt>
                      <c:pt idx="202">
                        <c:v>99.81929985436102</c:v>
                      </c:pt>
                      <c:pt idx="203">
                        <c:v>99.591401909488027</c:v>
                      </c:pt>
                      <c:pt idx="204">
                        <c:v>98.923215923188891</c:v>
                      </c:pt>
                      <c:pt idx="205">
                        <c:v>98.906359566319594</c:v>
                      </c:pt>
                      <c:pt idx="206">
                        <c:v>98.724310912131116</c:v>
                      </c:pt>
                      <c:pt idx="207">
                        <c:v>98.965693942499527</c:v>
                      </c:pt>
                      <c:pt idx="208">
                        <c:v>99.424186849344565</c:v>
                      </c:pt>
                      <c:pt idx="209">
                        <c:v>99.114029882949396</c:v>
                      </c:pt>
                      <c:pt idx="210">
                        <c:v>99.331139759426009</c:v>
                      </c:pt>
                      <c:pt idx="211">
                        <c:v>99.827256054803343</c:v>
                      </c:pt>
                      <c:pt idx="212">
                        <c:v>99.877285721991413</c:v>
                      </c:pt>
                      <c:pt idx="213">
                        <c:v>99.645342251469813</c:v>
                      </c:pt>
                      <c:pt idx="214">
                        <c:v>99.096499271805328</c:v>
                      </c:pt>
                      <c:pt idx="215">
                        <c:v>98.79470305841734</c:v>
                      </c:pt>
                      <c:pt idx="216">
                        <c:v>99.267085603322656</c:v>
                      </c:pt>
                      <c:pt idx="217">
                        <c:v>98.642726144883696</c:v>
                      </c:pt>
                      <c:pt idx="218">
                        <c:v>99.186579642914865</c:v>
                      </c:pt>
                      <c:pt idx="219">
                        <c:v>99.306731754679248</c:v>
                      </c:pt>
                      <c:pt idx="220">
                        <c:v>100.43920923458646</c:v>
                      </c:pt>
                      <c:pt idx="221">
                        <c:v>100.54574141000045</c:v>
                      </c:pt>
                      <c:pt idx="222">
                        <c:v>100.01213657694581</c:v>
                      </c:pt>
                      <c:pt idx="223">
                        <c:v>101.46852581045354</c:v>
                      </c:pt>
                      <c:pt idx="224">
                        <c:v>103.43060575004034</c:v>
                      </c:pt>
                      <c:pt idx="225">
                        <c:v>102.77900641890059</c:v>
                      </c:pt>
                      <c:pt idx="226">
                        <c:v>101.70775122714267</c:v>
                      </c:pt>
                      <c:pt idx="227">
                        <c:v>100.80101407842915</c:v>
                      </c:pt>
                      <c:pt idx="228">
                        <c:v>100.10248664976524</c:v>
                      </c:pt>
                      <c:pt idx="229">
                        <c:v>100.34386968013366</c:v>
                      </c:pt>
                      <c:pt idx="230">
                        <c:v>102.91736339608383</c:v>
                      </c:pt>
                      <c:pt idx="231">
                        <c:v>102.72102055127019</c:v>
                      </c:pt>
                      <c:pt idx="232">
                        <c:v>102.54463563298982</c:v>
                      </c:pt>
                      <c:pt idx="233">
                        <c:v>103.68399050649973</c:v>
                      </c:pt>
                      <c:pt idx="234">
                        <c:v>102.56081773558437</c:v>
                      </c:pt>
                      <c:pt idx="235">
                        <c:v>103.42723447866651</c:v>
                      </c:pt>
                      <c:pt idx="236">
                        <c:v>104.35514321160787</c:v>
                      </c:pt>
                      <c:pt idx="237">
                        <c:v>105.94287717784121</c:v>
                      </c:pt>
                      <c:pt idx="238">
                        <c:v>105.86156211230369</c:v>
                      </c:pt>
                      <c:pt idx="239">
                        <c:v>106.59528561411068</c:v>
                      </c:pt>
                      <c:pt idx="240">
                        <c:v>105.00741679702237</c:v>
                      </c:pt>
                      <c:pt idx="241">
                        <c:v>105.28682776848792</c:v>
                      </c:pt>
                      <c:pt idx="242">
                        <c:v>104.16958843519058</c:v>
                      </c:pt>
                      <c:pt idx="243">
                        <c:v>103.46431846377894</c:v>
                      </c:pt>
                      <c:pt idx="244">
                        <c:v>102.5176654619989</c:v>
                      </c:pt>
                      <c:pt idx="245">
                        <c:v>102.41140298829481</c:v>
                      </c:pt>
                      <c:pt idx="246">
                        <c:v>101.92513080532919</c:v>
                      </c:pt>
                      <c:pt idx="247">
                        <c:v>101.51032957548938</c:v>
                      </c:pt>
                      <c:pt idx="248">
                        <c:v>101.09701170505407</c:v>
                      </c:pt>
                      <c:pt idx="249">
                        <c:v>100.65901612816212</c:v>
                      </c:pt>
                      <c:pt idx="250">
                        <c:v>101.01003290360848</c:v>
                      </c:pt>
                      <c:pt idx="251">
                        <c:v>103.93670100868425</c:v>
                      </c:pt>
                      <c:pt idx="252">
                        <c:v>102.77401693726723</c:v>
                      </c:pt>
                      <c:pt idx="253">
                        <c:v>101.38761529748085</c:v>
                      </c:pt>
                      <c:pt idx="254">
                        <c:v>101.10847402772519</c:v>
                      </c:pt>
                      <c:pt idx="255">
                        <c:v>102.56661632234733</c:v>
                      </c:pt>
                      <c:pt idx="256">
                        <c:v>104.05631371702881</c:v>
                      </c:pt>
                      <c:pt idx="257">
                        <c:v>107.90360860887841</c:v>
                      </c:pt>
                      <c:pt idx="258">
                        <c:v>105.99101893305988</c:v>
                      </c:pt>
                      <c:pt idx="259">
                        <c:v>109.42877177841292</c:v>
                      </c:pt>
                      <c:pt idx="260">
                        <c:v>113.33877231781635</c:v>
                      </c:pt>
                      <c:pt idx="261">
                        <c:v>113.13487782512526</c:v>
                      </c:pt>
                      <c:pt idx="262">
                        <c:v>136.25330384594622</c:v>
                      </c:pt>
                      <c:pt idx="263">
                        <c:v>105.28682776848792</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4-3801-4424-8D6A-73CF653766E8}"/>
                  </c:ext>
                </c:extLst>
              </c15:ser>
            </c15:filteredLineSeries>
            <c15:filteredLineSeries>
              <c15:ser>
                <c:idx val="3"/>
                <c:order val="3"/>
                <c:tx>
                  <c:strRef>
                    <c:extLst xmlns:c15="http://schemas.microsoft.com/office/drawing/2012/chart" xmlns:c16r2="http://schemas.microsoft.com/office/drawing/2015/06/chart">
                      <c:ext xmlns:c15="http://schemas.microsoft.com/office/drawing/2012/chart" uri="{02D57815-91ED-43cb-92C2-25804820EDAC}">
                        <c15:formulaRef>
                          <c15:sqref>'Currency Chart'!$S$5</c15:sqref>
                        </c15:formulaRef>
                      </c:ext>
                    </c:extLst>
                    <c:strCache>
                      <c:ptCount val="1"/>
                      <c:pt idx="0">
                        <c:v>Renminbi</c:v>
                      </c:pt>
                    </c:strCache>
                  </c:strRef>
                </c:tx>
                <c:spPr>
                  <a:ln w="28575" cap="rnd">
                    <a:solidFill>
                      <a:schemeClr val="accent4"/>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Chart'!$S$6:$S$291</c15:sqref>
                        </c15:formulaRef>
                      </c:ext>
                    </c:extLst>
                    <c:numCache>
                      <c:formatCode>0</c:formatCode>
                      <c:ptCount val="286"/>
                      <c:pt idx="0" formatCode="General">
                        <c:v>100</c:v>
                      </c:pt>
                      <c:pt idx="1">
                        <c:v>99.873319944384377</c:v>
                      </c:pt>
                      <c:pt idx="2">
                        <c:v>99.956743395643443</c:v>
                      </c:pt>
                      <c:pt idx="3">
                        <c:v>99.915031670013903</c:v>
                      </c:pt>
                      <c:pt idx="4">
                        <c:v>99.944384365827275</c:v>
                      </c:pt>
                      <c:pt idx="5">
                        <c:v>100.35532210721459</c:v>
                      </c:pt>
                      <c:pt idx="6">
                        <c:v>100.80333693805038</c:v>
                      </c:pt>
                      <c:pt idx="7">
                        <c:v>100.49436119264638</c:v>
                      </c:pt>
                      <c:pt idx="8">
                        <c:v>100.49436119264638</c:v>
                      </c:pt>
                      <c:pt idx="9">
                        <c:v>100.31206550285803</c:v>
                      </c:pt>
                      <c:pt idx="10">
                        <c:v>100.542252433184</c:v>
                      </c:pt>
                      <c:pt idx="11">
                        <c:v>100.41093774138731</c:v>
                      </c:pt>
                      <c:pt idx="12">
                        <c:v>100.49745095010043</c:v>
                      </c:pt>
                      <c:pt idx="13">
                        <c:v>100.46346361810599</c:v>
                      </c:pt>
                      <c:pt idx="14">
                        <c:v>100.50054070755446</c:v>
                      </c:pt>
                      <c:pt idx="15">
                        <c:v>100.52525876718677</c:v>
                      </c:pt>
                      <c:pt idx="16">
                        <c:v>100.52525876718677</c:v>
                      </c:pt>
                      <c:pt idx="17">
                        <c:v>100.66429785261856</c:v>
                      </c:pt>
                      <c:pt idx="18">
                        <c:v>100.77243936350995</c:v>
                      </c:pt>
                      <c:pt idx="19">
                        <c:v>101.11540244090838</c:v>
                      </c:pt>
                      <c:pt idx="20">
                        <c:v>101.05360729182757</c:v>
                      </c:pt>
                      <c:pt idx="21">
                        <c:v>101.46454503321489</c:v>
                      </c:pt>
                      <c:pt idx="22">
                        <c:v>101.52325042484165</c:v>
                      </c:pt>
                      <c:pt idx="23">
                        <c:v>101.21736443689171</c:v>
                      </c:pt>
                      <c:pt idx="24">
                        <c:v>101.41356403522325</c:v>
                      </c:pt>
                      <c:pt idx="25">
                        <c:v>101.41510891395028</c:v>
                      </c:pt>
                      <c:pt idx="26">
                        <c:v>101.41510891395028</c:v>
                      </c:pt>
                      <c:pt idx="27">
                        <c:v>100.98872238529277</c:v>
                      </c:pt>
                      <c:pt idx="28">
                        <c:v>101.05824192800867</c:v>
                      </c:pt>
                      <c:pt idx="29">
                        <c:v>101.19728101344046</c:v>
                      </c:pt>
                      <c:pt idx="30">
                        <c:v>101.22354395179978</c:v>
                      </c:pt>
                      <c:pt idx="31">
                        <c:v>101.10149853236521</c:v>
                      </c:pt>
                      <c:pt idx="32">
                        <c:v>101.08295998764098</c:v>
                      </c:pt>
                      <c:pt idx="33">
                        <c:v>100.86822184458521</c:v>
                      </c:pt>
                      <c:pt idx="34">
                        <c:v>100.75699057623977</c:v>
                      </c:pt>
                      <c:pt idx="35">
                        <c:v>100.73072763788042</c:v>
                      </c:pt>
                      <c:pt idx="36">
                        <c:v>100.54843194809207</c:v>
                      </c:pt>
                      <c:pt idx="37">
                        <c:v>100.387764560482</c:v>
                      </c:pt>
                      <c:pt idx="38">
                        <c:v>100.26726401977444</c:v>
                      </c:pt>
                      <c:pt idx="39">
                        <c:v>100.27807817086357</c:v>
                      </c:pt>
                      <c:pt idx="40">
                        <c:v>100.33214892630929</c:v>
                      </c:pt>
                      <c:pt idx="41">
                        <c:v>100.33214892630929</c:v>
                      </c:pt>
                      <c:pt idx="42">
                        <c:v>100.17611617488026</c:v>
                      </c:pt>
                      <c:pt idx="43">
                        <c:v>100.15448787270198</c:v>
                      </c:pt>
                      <c:pt idx="44">
                        <c:v>100.06334002780781</c:v>
                      </c:pt>
                      <c:pt idx="45">
                        <c:v>99.969102425459596</c:v>
                      </c:pt>
                      <c:pt idx="46">
                        <c:v>100</c:v>
                      </c:pt>
                      <c:pt idx="47">
                        <c:v>100</c:v>
                      </c:pt>
                      <c:pt idx="48">
                        <c:v>100</c:v>
                      </c:pt>
                      <c:pt idx="49">
                        <c:v>100</c:v>
                      </c:pt>
                      <c:pt idx="50">
                        <c:v>99.796076008033367</c:v>
                      </c:pt>
                      <c:pt idx="51">
                        <c:v>99.351150934651628</c:v>
                      </c:pt>
                      <c:pt idx="52">
                        <c:v>99.11323961069057</c:v>
                      </c:pt>
                      <c:pt idx="53">
                        <c:v>99.312528966476137</c:v>
                      </c:pt>
                      <c:pt idx="54">
                        <c:v>99.746639888768726</c:v>
                      </c:pt>
                      <c:pt idx="55">
                        <c:v>99.653947165147528</c:v>
                      </c:pt>
                      <c:pt idx="56">
                        <c:v>99.439209022091774</c:v>
                      </c:pt>
                      <c:pt idx="57">
                        <c:v>99.471651475359195</c:v>
                      </c:pt>
                      <c:pt idx="58">
                        <c:v>99.258458211030444</c:v>
                      </c:pt>
                      <c:pt idx="59">
                        <c:v>99.400587053916269</c:v>
                      </c:pt>
                      <c:pt idx="60">
                        <c:v>99.395952417735216</c:v>
                      </c:pt>
                      <c:pt idx="61">
                        <c:v>99.395952417735216</c:v>
                      </c:pt>
                      <c:pt idx="62">
                        <c:v>99.145682063957977</c:v>
                      </c:pt>
                      <c:pt idx="63">
                        <c:v>99.026726401977456</c:v>
                      </c:pt>
                      <c:pt idx="64">
                        <c:v>98.725475050208573</c:v>
                      </c:pt>
                      <c:pt idx="65">
                        <c:v>98.600339873319953</c:v>
                      </c:pt>
                      <c:pt idx="66">
                        <c:v>98.368608064266979</c:v>
                      </c:pt>
                      <c:pt idx="67">
                        <c:v>98.390236366445265</c:v>
                      </c:pt>
                      <c:pt idx="68">
                        <c:v>98.557083268963424</c:v>
                      </c:pt>
                      <c:pt idx="69">
                        <c:v>98.570987177506595</c:v>
                      </c:pt>
                      <c:pt idx="70">
                        <c:v>98.927854163448202</c:v>
                      </c:pt>
                      <c:pt idx="71">
                        <c:v>98.787270199289381</c:v>
                      </c:pt>
                      <c:pt idx="72">
                        <c:v>98.815078016375736</c:v>
                      </c:pt>
                      <c:pt idx="73">
                        <c:v>98.872238529275464</c:v>
                      </c:pt>
                      <c:pt idx="74">
                        <c:v>98.663679901127765</c:v>
                      </c:pt>
                      <c:pt idx="75">
                        <c:v>98.762552139657032</c:v>
                      </c:pt>
                      <c:pt idx="76">
                        <c:v>98.821257531283777</c:v>
                      </c:pt>
                      <c:pt idx="77">
                        <c:v>98.821257531283777</c:v>
                      </c:pt>
                      <c:pt idx="78">
                        <c:v>98.952572223080466</c:v>
                      </c:pt>
                      <c:pt idx="79">
                        <c:v>98.824347288737812</c:v>
                      </c:pt>
                      <c:pt idx="80">
                        <c:v>99.609145682063939</c:v>
                      </c:pt>
                      <c:pt idx="81">
                        <c:v>99.683299860960901</c:v>
                      </c:pt>
                      <c:pt idx="82">
                        <c:v>99.890313610381583</c:v>
                      </c:pt>
                      <c:pt idx="83">
                        <c:v>100.12513517688861</c:v>
                      </c:pt>
                      <c:pt idx="84">
                        <c:v>99.995365363818934</c:v>
                      </c:pt>
                      <c:pt idx="85">
                        <c:v>99.955198516916425</c:v>
                      </c:pt>
                      <c:pt idx="86">
                        <c:v>99.714197435501319</c:v>
                      </c:pt>
                      <c:pt idx="87">
                        <c:v>99.729646222771507</c:v>
                      </c:pt>
                      <c:pt idx="88">
                        <c:v>99.853236520933095</c:v>
                      </c:pt>
                      <c:pt idx="89">
                        <c:v>99.746639888768726</c:v>
                      </c:pt>
                      <c:pt idx="90">
                        <c:v>99.921211184921987</c:v>
                      </c:pt>
                      <c:pt idx="91">
                        <c:v>99.98609609145683</c:v>
                      </c:pt>
                      <c:pt idx="92">
                        <c:v>99.845512127298008</c:v>
                      </c:pt>
                      <c:pt idx="93">
                        <c:v>100.03398733199444</c:v>
                      </c:pt>
                      <c:pt idx="94">
                        <c:v>99.981461455275749</c:v>
                      </c:pt>
                      <c:pt idx="95">
                        <c:v>100.25953962613933</c:v>
                      </c:pt>
                      <c:pt idx="96">
                        <c:v>100.08960296616713</c:v>
                      </c:pt>
                      <c:pt idx="97">
                        <c:v>100.03244245326741</c:v>
                      </c:pt>
                      <c:pt idx="98">
                        <c:v>99.930480457284077</c:v>
                      </c:pt>
                      <c:pt idx="99">
                        <c:v>99.935115093465143</c:v>
                      </c:pt>
                      <c:pt idx="100">
                        <c:v>99.751274524949778</c:v>
                      </c:pt>
                      <c:pt idx="101">
                        <c:v>100.08496832998608</c:v>
                      </c:pt>
                      <c:pt idx="102">
                        <c:v>100.25181523250423</c:v>
                      </c:pt>
                      <c:pt idx="103">
                        <c:v>100.17766105360727</c:v>
                      </c:pt>
                      <c:pt idx="104">
                        <c:v>99.898038004016669</c:v>
                      </c:pt>
                      <c:pt idx="105">
                        <c:v>99.952108759462362</c:v>
                      </c:pt>
                      <c:pt idx="106">
                        <c:v>100.12050054070755</c:v>
                      </c:pt>
                      <c:pt idx="107">
                        <c:v>100.14676347906688</c:v>
                      </c:pt>
                      <c:pt idx="108">
                        <c:v>100.57778464390545</c:v>
                      </c:pt>
                      <c:pt idx="109">
                        <c:v>100.27035377722849</c:v>
                      </c:pt>
                      <c:pt idx="110">
                        <c:v>99.740460373860657</c:v>
                      </c:pt>
                      <c:pt idx="111">
                        <c:v>99.813069674030586</c:v>
                      </c:pt>
                      <c:pt idx="112">
                        <c:v>99.83006334002782</c:v>
                      </c:pt>
                      <c:pt idx="113">
                        <c:v>99.953653638189408</c:v>
                      </c:pt>
                      <c:pt idx="114">
                        <c:v>99.884134095473499</c:v>
                      </c:pt>
                      <c:pt idx="115">
                        <c:v>99.811524795303569</c:v>
                      </c:pt>
                      <c:pt idx="116">
                        <c:v>100.14676347906691</c:v>
                      </c:pt>
                      <c:pt idx="117">
                        <c:v>100.19619959833153</c:v>
                      </c:pt>
                      <c:pt idx="118">
                        <c:v>100.18847520469645</c:v>
                      </c:pt>
                      <c:pt idx="119">
                        <c:v>100.08187857253208</c:v>
                      </c:pt>
                      <c:pt idx="120">
                        <c:v>100.08033369380506</c:v>
                      </c:pt>
                      <c:pt idx="121">
                        <c:v>100.05870539162677</c:v>
                      </c:pt>
                      <c:pt idx="122">
                        <c:v>100.01853854472425</c:v>
                      </c:pt>
                      <c:pt idx="123">
                        <c:v>100.19156496215049</c:v>
                      </c:pt>
                      <c:pt idx="124">
                        <c:v>100.17148153869923</c:v>
                      </c:pt>
                      <c:pt idx="125">
                        <c:v>100.32751429012825</c:v>
                      </c:pt>
                      <c:pt idx="126">
                        <c:v>100.43565580101965</c:v>
                      </c:pt>
                      <c:pt idx="127">
                        <c:v>100.11586590452653</c:v>
                      </c:pt>
                      <c:pt idx="128">
                        <c:v>99.969102425459639</c:v>
                      </c:pt>
                      <c:pt idx="129">
                        <c:v>100.04016684690257</c:v>
                      </c:pt>
                      <c:pt idx="130">
                        <c:v>100.12204541943461</c:v>
                      </c:pt>
                      <c:pt idx="131">
                        <c:v>99.970647304186656</c:v>
                      </c:pt>
                      <c:pt idx="132">
                        <c:v>99.888768731654594</c:v>
                      </c:pt>
                      <c:pt idx="133">
                        <c:v>99.805345280395528</c:v>
                      </c:pt>
                      <c:pt idx="134">
                        <c:v>99.777537463309159</c:v>
                      </c:pt>
                      <c:pt idx="135">
                        <c:v>99.734280858952602</c:v>
                      </c:pt>
                      <c:pt idx="136">
                        <c:v>99.687934497141995</c:v>
                      </c:pt>
                      <c:pt idx="137">
                        <c:v>99.709562799320267</c:v>
                      </c:pt>
                      <c:pt idx="138">
                        <c:v>99.894948246562649</c:v>
                      </c:pt>
                      <c:pt idx="139">
                        <c:v>99.817704310211653</c:v>
                      </c:pt>
                      <c:pt idx="140">
                        <c:v>99.666306194963695</c:v>
                      </c:pt>
                      <c:pt idx="141">
                        <c:v>99.551985169164226</c:v>
                      </c:pt>
                      <c:pt idx="142">
                        <c:v>99.661671558782643</c:v>
                      </c:pt>
                      <c:pt idx="143">
                        <c:v>99.462382202997077</c:v>
                      </c:pt>
                      <c:pt idx="144">
                        <c:v>99.366599721921844</c:v>
                      </c:pt>
                      <c:pt idx="145">
                        <c:v>99.74663988876874</c:v>
                      </c:pt>
                      <c:pt idx="146">
                        <c:v>99.884134095473513</c:v>
                      </c:pt>
                      <c:pt idx="147">
                        <c:v>99.884134095473513</c:v>
                      </c:pt>
                      <c:pt idx="148">
                        <c:v>99.884134095473513</c:v>
                      </c:pt>
                      <c:pt idx="149">
                        <c:v>99.772902827128092</c:v>
                      </c:pt>
                      <c:pt idx="150">
                        <c:v>99.783716978217228</c:v>
                      </c:pt>
                      <c:pt idx="151">
                        <c:v>99.891858489108614</c:v>
                      </c:pt>
                      <c:pt idx="152">
                        <c:v>99.737370616406622</c:v>
                      </c:pt>
                      <c:pt idx="153">
                        <c:v>99.791441371852315</c:v>
                      </c:pt>
                      <c:pt idx="154">
                        <c:v>99.956743395643443</c:v>
                      </c:pt>
                      <c:pt idx="155">
                        <c:v>99.570523713888463</c:v>
                      </c:pt>
                      <c:pt idx="156">
                        <c:v>99.570523713888463</c:v>
                      </c:pt>
                      <c:pt idx="157">
                        <c:v>99.570523713888463</c:v>
                      </c:pt>
                      <c:pt idx="158">
                        <c:v>99.570523713888463</c:v>
                      </c:pt>
                      <c:pt idx="159">
                        <c:v>99.570523713888463</c:v>
                      </c:pt>
                      <c:pt idx="160">
                        <c:v>99.570523713888463</c:v>
                      </c:pt>
                      <c:pt idx="161">
                        <c:v>99.544260775529139</c:v>
                      </c:pt>
                      <c:pt idx="162">
                        <c:v>99.646222771512456</c:v>
                      </c:pt>
                      <c:pt idx="163">
                        <c:v>99.621504711880135</c:v>
                      </c:pt>
                      <c:pt idx="164">
                        <c:v>99.276996755754681</c:v>
                      </c:pt>
                      <c:pt idx="165">
                        <c:v>99.459292445543028</c:v>
                      </c:pt>
                      <c:pt idx="166">
                        <c:v>99.397497296462234</c:v>
                      </c:pt>
                      <c:pt idx="167">
                        <c:v>99.320253360111238</c:v>
                      </c:pt>
                      <c:pt idx="168">
                        <c:v>98.597250115865904</c:v>
                      </c:pt>
                      <c:pt idx="169">
                        <c:v>98.773366290746182</c:v>
                      </c:pt>
                      <c:pt idx="170">
                        <c:v>98.756372624748963</c:v>
                      </c:pt>
                      <c:pt idx="171">
                        <c:v>98.623513054225242</c:v>
                      </c:pt>
                      <c:pt idx="172">
                        <c:v>98.649775992584594</c:v>
                      </c:pt>
                      <c:pt idx="173">
                        <c:v>98.59416035841187</c:v>
                      </c:pt>
                      <c:pt idx="174">
                        <c:v>98.740923837478761</c:v>
                      </c:pt>
                      <c:pt idx="175">
                        <c:v>98.744013594932809</c:v>
                      </c:pt>
                      <c:pt idx="176">
                        <c:v>98.949482465626474</c:v>
                      </c:pt>
                      <c:pt idx="177">
                        <c:v>98.828981924918921</c:v>
                      </c:pt>
                      <c:pt idx="178">
                        <c:v>98.864514135640391</c:v>
                      </c:pt>
                      <c:pt idx="179">
                        <c:v>98.966476131623708</c:v>
                      </c:pt>
                      <c:pt idx="180">
                        <c:v>98.8258921674649</c:v>
                      </c:pt>
                      <c:pt idx="181">
                        <c:v>98.841340954735088</c:v>
                      </c:pt>
                      <c:pt idx="182">
                        <c:v>98.720840414027535</c:v>
                      </c:pt>
                      <c:pt idx="183">
                        <c:v>98.742468716205821</c:v>
                      </c:pt>
                      <c:pt idx="184">
                        <c:v>98.689942839487145</c:v>
                      </c:pt>
                      <c:pt idx="185">
                        <c:v>98.714660899119465</c:v>
                      </c:pt>
                      <c:pt idx="186">
                        <c:v>98.543179360420254</c:v>
                      </c:pt>
                      <c:pt idx="187">
                        <c:v>98.600339873319982</c:v>
                      </c:pt>
                      <c:pt idx="188">
                        <c:v>98.747103352386873</c:v>
                      </c:pt>
                      <c:pt idx="189">
                        <c:v>98.524640815696003</c:v>
                      </c:pt>
                      <c:pt idx="190">
                        <c:v>98.642051598949507</c:v>
                      </c:pt>
                      <c:pt idx="191">
                        <c:v>98.660590143673744</c:v>
                      </c:pt>
                      <c:pt idx="192">
                        <c:v>98.628147690406308</c:v>
                      </c:pt>
                      <c:pt idx="193">
                        <c:v>98.73319944384366</c:v>
                      </c:pt>
                      <c:pt idx="194">
                        <c:v>98.744013594932809</c:v>
                      </c:pt>
                      <c:pt idx="195">
                        <c:v>98.655955507492664</c:v>
                      </c:pt>
                      <c:pt idx="196">
                        <c:v>98.754827746021931</c:v>
                      </c:pt>
                      <c:pt idx="197">
                        <c:v>98.679128688397952</c:v>
                      </c:pt>
                      <c:pt idx="198">
                        <c:v>98.316082187548261</c:v>
                      </c:pt>
                      <c:pt idx="199">
                        <c:v>98.367063185539934</c:v>
                      </c:pt>
                      <c:pt idx="200">
                        <c:v>98.506102270971724</c:v>
                      </c:pt>
                      <c:pt idx="201">
                        <c:v>98.498377877336623</c:v>
                      </c:pt>
                      <c:pt idx="202">
                        <c:v>98.495288119882602</c:v>
                      </c:pt>
                      <c:pt idx="203">
                        <c:v>98.342345125907627</c:v>
                      </c:pt>
                      <c:pt idx="204">
                        <c:v>97.99938204850919</c:v>
                      </c:pt>
                      <c:pt idx="205">
                        <c:v>98.520006179514908</c:v>
                      </c:pt>
                      <c:pt idx="206">
                        <c:v>98.38560173026417</c:v>
                      </c:pt>
                      <c:pt idx="207">
                        <c:v>98.300633400278087</c:v>
                      </c:pt>
                      <c:pt idx="208">
                        <c:v>98.363973428085899</c:v>
                      </c:pt>
                      <c:pt idx="209">
                        <c:v>98.367063185539948</c:v>
                      </c:pt>
                      <c:pt idx="210">
                        <c:v>98.368608064266965</c:v>
                      </c:pt>
                      <c:pt idx="211">
                        <c:v>98.482929090066435</c:v>
                      </c:pt>
                      <c:pt idx="212">
                        <c:v>98.495288119882616</c:v>
                      </c:pt>
                      <c:pt idx="213">
                        <c:v>98.433492970801822</c:v>
                      </c:pt>
                      <c:pt idx="214">
                        <c:v>98.401050517534415</c:v>
                      </c:pt>
                      <c:pt idx="215">
                        <c:v>98.402595396261432</c:v>
                      </c:pt>
                      <c:pt idx="216">
                        <c:v>98.365518306812959</c:v>
                      </c:pt>
                      <c:pt idx="217">
                        <c:v>98.416499304804617</c:v>
                      </c:pt>
                      <c:pt idx="218">
                        <c:v>98.38405685153721</c:v>
                      </c:pt>
                      <c:pt idx="219">
                        <c:v>98.37787733662914</c:v>
                      </c:pt>
                      <c:pt idx="220">
                        <c:v>98.39487100262636</c:v>
                      </c:pt>
                      <c:pt idx="221">
                        <c:v>98.132241619032968</c:v>
                      </c:pt>
                      <c:pt idx="222">
                        <c:v>98.132241619032968</c:v>
                      </c:pt>
                      <c:pt idx="223">
                        <c:v>98.441217364436937</c:v>
                      </c:pt>
                      <c:pt idx="224">
                        <c:v>98.316082187548318</c:v>
                      </c:pt>
                      <c:pt idx="225">
                        <c:v>98.597250115865947</c:v>
                      </c:pt>
                      <c:pt idx="226">
                        <c:v>98.515371543333885</c:v>
                      </c:pt>
                      <c:pt idx="227">
                        <c:v>98.49528811988263</c:v>
                      </c:pt>
                      <c:pt idx="228">
                        <c:v>98.462845666615209</c:v>
                      </c:pt>
                      <c:pt idx="229">
                        <c:v>98.22338946392712</c:v>
                      </c:pt>
                      <c:pt idx="230">
                        <c:v>98.246562644832409</c:v>
                      </c:pt>
                      <c:pt idx="231">
                        <c:v>98.136876255214005</c:v>
                      </c:pt>
                      <c:pt idx="232">
                        <c:v>98.071991348679163</c:v>
                      </c:pt>
                      <c:pt idx="233">
                        <c:v>98.138421133941009</c:v>
                      </c:pt>
                      <c:pt idx="234">
                        <c:v>98.017920593233441</c:v>
                      </c:pt>
                      <c:pt idx="235">
                        <c:v>97.95458056542563</c:v>
                      </c:pt>
                      <c:pt idx="236">
                        <c:v>97.922138112158208</c:v>
                      </c:pt>
                      <c:pt idx="237">
                        <c:v>97.797002935269589</c:v>
                      </c:pt>
                      <c:pt idx="238">
                        <c:v>97.724393635099659</c:v>
                      </c:pt>
                      <c:pt idx="239">
                        <c:v>97.645604820021632</c:v>
                      </c:pt>
                      <c:pt idx="240">
                        <c:v>98.320716823729356</c:v>
                      </c:pt>
                      <c:pt idx="241">
                        <c:v>98.262011432102597</c:v>
                      </c:pt>
                      <c:pt idx="242">
                        <c:v>98.262011432102597</c:v>
                      </c:pt>
                      <c:pt idx="243">
                        <c:v>98.262011432102597</c:v>
                      </c:pt>
                      <c:pt idx="244">
                        <c:v>98.262011432102597</c:v>
                      </c:pt>
                      <c:pt idx="245">
                        <c:v>98.262011432102597</c:v>
                      </c:pt>
                      <c:pt idx="246">
                        <c:v>98.262011432102597</c:v>
                      </c:pt>
                      <c:pt idx="247">
                        <c:v>98.228024100108158</c:v>
                      </c:pt>
                      <c:pt idx="248">
                        <c:v>98.346979762088694</c:v>
                      </c:pt>
                      <c:pt idx="249">
                        <c:v>98.283639734280882</c:v>
                      </c:pt>
                      <c:pt idx="250">
                        <c:v>98.139966012668026</c:v>
                      </c:pt>
                      <c:pt idx="251">
                        <c:v>98.161594314846326</c:v>
                      </c:pt>
                      <c:pt idx="252">
                        <c:v>98.203306040475852</c:v>
                      </c:pt>
                      <c:pt idx="253">
                        <c:v>97.922138112158223</c:v>
                      </c:pt>
                      <c:pt idx="254">
                        <c:v>97.84025953962616</c:v>
                      </c:pt>
                      <c:pt idx="255">
                        <c:v>97.915958597250139</c:v>
                      </c:pt>
                      <c:pt idx="256">
                        <c:v>97.715124362737555</c:v>
                      </c:pt>
                      <c:pt idx="257">
                        <c:v>97.860342963077429</c:v>
                      </c:pt>
                      <c:pt idx="258">
                        <c:v>97.729028271280725</c:v>
                      </c:pt>
                      <c:pt idx="259">
                        <c:v>97.534373551676225</c:v>
                      </c:pt>
                      <c:pt idx="260">
                        <c:v>97.764560482002196</c:v>
                      </c:pt>
                      <c:pt idx="261">
                        <c:v>97.588444307121947</c:v>
                      </c:pt>
                      <c:pt idx="262">
                        <c:v>97.457129615325243</c:v>
                      </c:pt>
                      <c:pt idx="263">
                        <c:v>98.262011432102625</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5-3801-4424-8D6A-73CF653766E8}"/>
                  </c:ext>
                </c:extLst>
              </c15:ser>
            </c15:filteredLineSeries>
            <c15:filteredLineSeries>
              <c15:ser>
                <c:idx val="4"/>
                <c:order val="4"/>
                <c:tx>
                  <c:strRef>
                    <c:extLst xmlns:c15="http://schemas.microsoft.com/office/drawing/2012/chart" xmlns:c16r2="http://schemas.microsoft.com/office/drawing/2015/06/chart">
                      <c:ext xmlns:c15="http://schemas.microsoft.com/office/drawing/2012/chart" uri="{02D57815-91ED-43cb-92C2-25804820EDAC}">
                        <c15:formulaRef>
                          <c15:sqref>'Currency Chart'!$T$5</c15:sqref>
                        </c15:formulaRef>
                      </c:ext>
                    </c:extLst>
                    <c:strCache>
                      <c:ptCount val="1"/>
                      <c:pt idx="0">
                        <c:v>Rand</c:v>
                      </c:pt>
                    </c:strCache>
                  </c:strRef>
                </c:tx>
                <c:spPr>
                  <a:ln w="28575" cap="rnd">
                    <a:solidFill>
                      <a:schemeClr val="accent5"/>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Chart'!$T$6:$T$291</c15:sqref>
                        </c15:formulaRef>
                      </c:ext>
                    </c:extLst>
                    <c:numCache>
                      <c:formatCode>0</c:formatCode>
                      <c:ptCount val="286"/>
                      <c:pt idx="0" formatCode="General">
                        <c:v>100</c:v>
                      </c:pt>
                      <c:pt idx="1">
                        <c:v>99.452711925049357</c:v>
                      </c:pt>
                      <c:pt idx="2">
                        <c:v>98.939877820918866</c:v>
                      </c:pt>
                      <c:pt idx="3">
                        <c:v>99.906576732968475</c:v>
                      </c:pt>
                      <c:pt idx="4">
                        <c:v>101.31985211295601</c:v>
                      </c:pt>
                      <c:pt idx="5">
                        <c:v>101.69155745199633</c:v>
                      </c:pt>
                      <c:pt idx="6">
                        <c:v>102.90871022885386</c:v>
                      </c:pt>
                      <c:pt idx="7">
                        <c:v>101.34105455653764</c:v>
                      </c:pt>
                      <c:pt idx="8">
                        <c:v>99.816466347746584</c:v>
                      </c:pt>
                      <c:pt idx="9">
                        <c:v>98.21303155188636</c:v>
                      </c:pt>
                      <c:pt idx="10">
                        <c:v>98.937890091833083</c:v>
                      </c:pt>
                      <c:pt idx="11">
                        <c:v>98.431019174959914</c:v>
                      </c:pt>
                      <c:pt idx="12">
                        <c:v>98.434332056769534</c:v>
                      </c:pt>
                      <c:pt idx="13">
                        <c:v>97.042921696725543</c:v>
                      </c:pt>
                      <c:pt idx="14">
                        <c:v>97.844639094655662</c:v>
                      </c:pt>
                      <c:pt idx="15">
                        <c:v>97.400050355803515</c:v>
                      </c:pt>
                      <c:pt idx="16">
                        <c:v>97.457031922929119</c:v>
                      </c:pt>
                      <c:pt idx="17">
                        <c:v>98.739117183255374</c:v>
                      </c:pt>
                      <c:pt idx="18">
                        <c:v>99.187018803917155</c:v>
                      </c:pt>
                      <c:pt idx="19">
                        <c:v>99.516319255794244</c:v>
                      </c:pt>
                      <c:pt idx="20">
                        <c:v>99.366576997999033</c:v>
                      </c:pt>
                      <c:pt idx="21">
                        <c:v>98.751706134131965</c:v>
                      </c:pt>
                      <c:pt idx="22">
                        <c:v>98.809350277619515</c:v>
                      </c:pt>
                      <c:pt idx="23">
                        <c:v>97.839338483760272</c:v>
                      </c:pt>
                      <c:pt idx="24">
                        <c:v>96.832222413633176</c:v>
                      </c:pt>
                      <c:pt idx="25">
                        <c:v>97.20790321084506</c:v>
                      </c:pt>
                      <c:pt idx="26">
                        <c:v>96.376369876628289</c:v>
                      </c:pt>
                      <c:pt idx="27">
                        <c:v>96.184885308031753</c:v>
                      </c:pt>
                      <c:pt idx="28">
                        <c:v>96.43533917283969</c:v>
                      </c:pt>
                      <c:pt idx="29">
                        <c:v>96.100738110067198</c:v>
                      </c:pt>
                      <c:pt idx="30">
                        <c:v>96.694406530352651</c:v>
                      </c:pt>
                      <c:pt idx="31">
                        <c:v>96.504909690841899</c:v>
                      </c:pt>
                      <c:pt idx="32">
                        <c:v>96.227952771556957</c:v>
                      </c:pt>
                      <c:pt idx="33">
                        <c:v>95.326186342976058</c:v>
                      </c:pt>
                      <c:pt idx="34">
                        <c:v>93.79165948875611</c:v>
                      </c:pt>
                      <c:pt idx="35">
                        <c:v>94.754382942634166</c:v>
                      </c:pt>
                      <c:pt idx="36">
                        <c:v>94.181254389568423</c:v>
                      </c:pt>
                      <c:pt idx="37">
                        <c:v>94.729205040880984</c:v>
                      </c:pt>
                      <c:pt idx="38">
                        <c:v>94.356174549116801</c:v>
                      </c:pt>
                      <c:pt idx="39">
                        <c:v>94.731855346328672</c:v>
                      </c:pt>
                      <c:pt idx="40">
                        <c:v>94.539708201370217</c:v>
                      </c:pt>
                      <c:pt idx="41">
                        <c:v>94.539708201370217</c:v>
                      </c:pt>
                      <c:pt idx="42">
                        <c:v>94.564223526761467</c:v>
                      </c:pt>
                      <c:pt idx="43">
                        <c:v>95.165180287028079</c:v>
                      </c:pt>
                      <c:pt idx="44">
                        <c:v>94.268051892980665</c:v>
                      </c:pt>
                      <c:pt idx="45">
                        <c:v>94.753720366272233</c:v>
                      </c:pt>
                      <c:pt idx="46">
                        <c:v>96.032492744788854</c:v>
                      </c:pt>
                      <c:pt idx="47">
                        <c:v>95.353351973814995</c:v>
                      </c:pt>
                      <c:pt idx="48">
                        <c:v>95.769449929104354</c:v>
                      </c:pt>
                      <c:pt idx="49">
                        <c:v>95.157229370685002</c:v>
                      </c:pt>
                      <c:pt idx="50">
                        <c:v>94.35153651458333</c:v>
                      </c:pt>
                      <c:pt idx="51">
                        <c:v>93.119144481401506</c:v>
                      </c:pt>
                      <c:pt idx="52">
                        <c:v>93.019095450750726</c:v>
                      </c:pt>
                      <c:pt idx="53">
                        <c:v>92.722923816969939</c:v>
                      </c:pt>
                      <c:pt idx="54">
                        <c:v>93.51470256947114</c:v>
                      </c:pt>
                      <c:pt idx="55">
                        <c:v>93.472960258669829</c:v>
                      </c:pt>
                      <c:pt idx="56">
                        <c:v>93.494825278613376</c:v>
                      </c:pt>
                      <c:pt idx="57">
                        <c:v>93.475610564117545</c:v>
                      </c:pt>
                      <c:pt idx="58">
                        <c:v>92.677868624358993</c:v>
                      </c:pt>
                      <c:pt idx="59">
                        <c:v>93.426579913335047</c:v>
                      </c:pt>
                      <c:pt idx="60">
                        <c:v>92.556617150126584</c:v>
                      </c:pt>
                      <c:pt idx="61">
                        <c:v>92.469157070352381</c:v>
                      </c:pt>
                      <c:pt idx="62">
                        <c:v>92.208764560115583</c:v>
                      </c:pt>
                      <c:pt idx="63">
                        <c:v>91.793991757550089</c:v>
                      </c:pt>
                      <c:pt idx="64">
                        <c:v>91.207611677245822</c:v>
                      </c:pt>
                      <c:pt idx="65">
                        <c:v>91.117501292023945</c:v>
                      </c:pt>
                      <c:pt idx="66">
                        <c:v>91.156593297377555</c:v>
                      </c:pt>
                      <c:pt idx="67">
                        <c:v>90.894213058054973</c:v>
                      </c:pt>
                      <c:pt idx="68">
                        <c:v>91.077084133946485</c:v>
                      </c:pt>
                      <c:pt idx="69">
                        <c:v>89.525330294316461</c:v>
                      </c:pt>
                      <c:pt idx="70">
                        <c:v>90.309820706836518</c:v>
                      </c:pt>
                      <c:pt idx="71">
                        <c:v>89.01448391927174</c:v>
                      </c:pt>
                      <c:pt idx="72">
                        <c:v>89.381551223778587</c:v>
                      </c:pt>
                      <c:pt idx="73">
                        <c:v>89.882458953394419</c:v>
                      </c:pt>
                      <c:pt idx="74">
                        <c:v>91.108225222956989</c:v>
                      </c:pt>
                      <c:pt idx="75">
                        <c:v>90.075268674714806</c:v>
                      </c:pt>
                      <c:pt idx="76">
                        <c:v>90.61261810423656</c:v>
                      </c:pt>
                      <c:pt idx="77">
                        <c:v>91.203636219074298</c:v>
                      </c:pt>
                      <c:pt idx="78">
                        <c:v>91.175145435511496</c:v>
                      </c:pt>
                      <c:pt idx="79">
                        <c:v>92.821647694896896</c:v>
                      </c:pt>
                      <c:pt idx="80">
                        <c:v>93.237745650186241</c:v>
                      </c:pt>
                      <c:pt idx="81">
                        <c:v>95.282456303088992</c:v>
                      </c:pt>
                      <c:pt idx="82">
                        <c:v>94.281965996581164</c:v>
                      </c:pt>
                      <c:pt idx="83">
                        <c:v>94.499953619654718</c:v>
                      </c:pt>
                      <c:pt idx="84">
                        <c:v>94.135536620595573</c:v>
                      </c:pt>
                      <c:pt idx="85">
                        <c:v>94.028199249963606</c:v>
                      </c:pt>
                      <c:pt idx="86">
                        <c:v>93.696248492638816</c:v>
                      </c:pt>
                      <c:pt idx="87">
                        <c:v>94.317745120125139</c:v>
                      </c:pt>
                      <c:pt idx="88">
                        <c:v>95.05718034003425</c:v>
                      </c:pt>
                      <c:pt idx="89">
                        <c:v>94.533745014112938</c:v>
                      </c:pt>
                      <c:pt idx="90">
                        <c:v>95.526284404277661</c:v>
                      </c:pt>
                      <c:pt idx="91">
                        <c:v>94.419119303499784</c:v>
                      </c:pt>
                      <c:pt idx="92">
                        <c:v>94.470800259729998</c:v>
                      </c:pt>
                      <c:pt idx="93">
                        <c:v>95.272517657660103</c:v>
                      </c:pt>
                      <c:pt idx="94">
                        <c:v>94.778898268025458</c:v>
                      </c:pt>
                      <c:pt idx="95">
                        <c:v>94.958456462107307</c:v>
                      </c:pt>
                      <c:pt idx="96">
                        <c:v>93.917548997522019</c:v>
                      </c:pt>
                      <c:pt idx="97">
                        <c:v>95.44942554629425</c:v>
                      </c:pt>
                      <c:pt idx="98">
                        <c:v>97.583584008056988</c:v>
                      </c:pt>
                      <c:pt idx="99">
                        <c:v>96.120615400925018</c:v>
                      </c:pt>
                      <c:pt idx="100">
                        <c:v>96.451241005525958</c:v>
                      </c:pt>
                      <c:pt idx="101">
                        <c:v>95.31691027390913</c:v>
                      </c:pt>
                      <c:pt idx="102">
                        <c:v>96.502921961756172</c:v>
                      </c:pt>
                      <c:pt idx="103">
                        <c:v>96.738799146601721</c:v>
                      </c:pt>
                      <c:pt idx="104">
                        <c:v>96.708320633953136</c:v>
                      </c:pt>
                      <c:pt idx="105">
                        <c:v>97.286087221552364</c:v>
                      </c:pt>
                      <c:pt idx="106">
                        <c:v>98.342896518823878</c:v>
                      </c:pt>
                      <c:pt idx="107">
                        <c:v>98.107019333978329</c:v>
                      </c:pt>
                      <c:pt idx="108">
                        <c:v>97.922823105362966</c:v>
                      </c:pt>
                      <c:pt idx="109">
                        <c:v>97.89234459271438</c:v>
                      </c:pt>
                      <c:pt idx="110">
                        <c:v>96.400885202019595</c:v>
                      </c:pt>
                      <c:pt idx="111">
                        <c:v>96.485694976346082</c:v>
                      </c:pt>
                      <c:pt idx="112">
                        <c:v>95.772762810914003</c:v>
                      </c:pt>
                      <c:pt idx="113">
                        <c:v>94.806726475226313</c:v>
                      </c:pt>
                      <c:pt idx="114">
                        <c:v>95.1804195433524</c:v>
                      </c:pt>
                      <c:pt idx="115">
                        <c:v>96.092787193724121</c:v>
                      </c:pt>
                      <c:pt idx="116">
                        <c:v>96.687780766733411</c:v>
                      </c:pt>
                      <c:pt idx="117">
                        <c:v>97.917522494467519</c:v>
                      </c:pt>
                      <c:pt idx="118">
                        <c:v>98.005645150603641</c:v>
                      </c:pt>
                      <c:pt idx="119">
                        <c:v>97.074725362098008</c:v>
                      </c:pt>
                      <c:pt idx="120">
                        <c:v>97.915534765381736</c:v>
                      </c:pt>
                      <c:pt idx="121">
                        <c:v>97.535878509998312</c:v>
                      </c:pt>
                      <c:pt idx="122">
                        <c:v>98.272000848097761</c:v>
                      </c:pt>
                      <c:pt idx="123">
                        <c:v>98.679485310682068</c:v>
                      </c:pt>
                      <c:pt idx="124">
                        <c:v>98.97896982627249</c:v>
                      </c:pt>
                      <c:pt idx="125">
                        <c:v>100.72022050541327</c:v>
                      </c:pt>
                      <c:pt idx="126">
                        <c:v>101.33641652200419</c:v>
                      </c:pt>
                      <c:pt idx="127">
                        <c:v>100.15968090322413</c:v>
                      </c:pt>
                      <c:pt idx="128">
                        <c:v>99.397055510647633</c:v>
                      </c:pt>
                      <c:pt idx="129">
                        <c:v>99.051190649722415</c:v>
                      </c:pt>
                      <c:pt idx="130">
                        <c:v>98.865669268383215</c:v>
                      </c:pt>
                      <c:pt idx="131">
                        <c:v>97.506725150073578</c:v>
                      </c:pt>
                      <c:pt idx="132">
                        <c:v>97.148271338271769</c:v>
                      </c:pt>
                      <c:pt idx="133">
                        <c:v>96.147781031763941</c:v>
                      </c:pt>
                      <c:pt idx="134">
                        <c:v>95.46598995534238</c:v>
                      </c:pt>
                      <c:pt idx="135">
                        <c:v>95.752885520056211</c:v>
                      </c:pt>
                      <c:pt idx="136">
                        <c:v>94.813352238845553</c:v>
                      </c:pt>
                      <c:pt idx="137">
                        <c:v>94.24817460212293</c:v>
                      </c:pt>
                      <c:pt idx="138">
                        <c:v>94.76299643533919</c:v>
                      </c:pt>
                      <c:pt idx="139">
                        <c:v>93.957303579237532</c:v>
                      </c:pt>
                      <c:pt idx="140">
                        <c:v>94.084518240727277</c:v>
                      </c:pt>
                      <c:pt idx="141">
                        <c:v>94.074579595298388</c:v>
                      </c:pt>
                      <c:pt idx="142">
                        <c:v>93.751904907040569</c:v>
                      </c:pt>
                      <c:pt idx="143">
                        <c:v>94.875634416866589</c:v>
                      </c:pt>
                      <c:pt idx="144">
                        <c:v>95.455388733551587</c:v>
                      </c:pt>
                      <c:pt idx="145">
                        <c:v>96.679829850390306</c:v>
                      </c:pt>
                      <c:pt idx="146">
                        <c:v>97.282774339742687</c:v>
                      </c:pt>
                      <c:pt idx="147">
                        <c:v>97.961915110716546</c:v>
                      </c:pt>
                      <c:pt idx="148">
                        <c:v>98.224295350039128</c:v>
                      </c:pt>
                      <c:pt idx="149">
                        <c:v>97.996369081536685</c:v>
                      </c:pt>
                      <c:pt idx="150">
                        <c:v>97.655804831506856</c:v>
                      </c:pt>
                      <c:pt idx="151">
                        <c:v>99.000172269854147</c:v>
                      </c:pt>
                      <c:pt idx="152">
                        <c:v>99.096908418695293</c:v>
                      </c:pt>
                      <c:pt idx="153">
                        <c:v>99.999337423638096</c:v>
                      </c:pt>
                      <c:pt idx="154">
                        <c:v>100.54993838039837</c:v>
                      </c:pt>
                      <c:pt idx="155">
                        <c:v>99.972171792799159</c:v>
                      </c:pt>
                      <c:pt idx="156">
                        <c:v>98.513178643838742</c:v>
                      </c:pt>
                      <c:pt idx="157">
                        <c:v>99.544147462995141</c:v>
                      </c:pt>
                      <c:pt idx="158">
                        <c:v>99.309595430873443</c:v>
                      </c:pt>
                      <c:pt idx="159">
                        <c:v>99.146601645839723</c:v>
                      </c:pt>
                      <c:pt idx="160">
                        <c:v>98.922650835508833</c:v>
                      </c:pt>
                      <c:pt idx="161">
                        <c:v>99.076368551475611</c:v>
                      </c:pt>
                      <c:pt idx="162">
                        <c:v>99.746233253382485</c:v>
                      </c:pt>
                      <c:pt idx="163">
                        <c:v>99.224123080185024</c:v>
                      </c:pt>
                      <c:pt idx="164">
                        <c:v>98.087142043120508</c:v>
                      </c:pt>
                      <c:pt idx="165">
                        <c:v>97.959264805268845</c:v>
                      </c:pt>
                      <c:pt idx="166">
                        <c:v>96.698381988524218</c:v>
                      </c:pt>
                      <c:pt idx="167">
                        <c:v>97.276811152485365</c:v>
                      </c:pt>
                      <c:pt idx="168">
                        <c:v>96.221989584299621</c:v>
                      </c:pt>
                      <c:pt idx="169">
                        <c:v>95.361302890158115</c:v>
                      </c:pt>
                      <c:pt idx="170">
                        <c:v>97.18338788545384</c:v>
                      </c:pt>
                      <c:pt idx="171">
                        <c:v>98.177252428342399</c:v>
                      </c:pt>
                      <c:pt idx="172">
                        <c:v>97.429203715728264</c:v>
                      </c:pt>
                      <c:pt idx="173">
                        <c:v>98.068589904986581</c:v>
                      </c:pt>
                      <c:pt idx="174">
                        <c:v>99.899950969349263</c:v>
                      </c:pt>
                      <c:pt idx="175">
                        <c:v>100.25774220478915</c:v>
                      </c:pt>
                      <c:pt idx="176">
                        <c:v>100.73678491446142</c:v>
                      </c:pt>
                      <c:pt idx="177">
                        <c:v>102.1507228708109</c:v>
                      </c:pt>
                      <c:pt idx="178">
                        <c:v>102.24745901965206</c:v>
                      </c:pt>
                      <c:pt idx="179">
                        <c:v>101.1018644898825</c:v>
                      </c:pt>
                      <c:pt idx="180">
                        <c:v>100.76130023985267</c:v>
                      </c:pt>
                      <c:pt idx="181">
                        <c:v>99.720392775267385</c:v>
                      </c:pt>
                      <c:pt idx="182">
                        <c:v>98.778871764970958</c:v>
                      </c:pt>
                      <c:pt idx="183">
                        <c:v>99.447411314153996</c:v>
                      </c:pt>
                      <c:pt idx="184">
                        <c:v>102.13150815631506</c:v>
                      </c:pt>
                      <c:pt idx="185">
                        <c:v>101.36026927103353</c:v>
                      </c:pt>
                      <c:pt idx="186">
                        <c:v>101.59217099770754</c:v>
                      </c:pt>
                      <c:pt idx="187">
                        <c:v>100.90309158130479</c:v>
                      </c:pt>
                      <c:pt idx="188">
                        <c:v>102.73312749294362</c:v>
                      </c:pt>
                      <c:pt idx="189">
                        <c:v>102.65494348223638</c:v>
                      </c:pt>
                      <c:pt idx="190">
                        <c:v>103.18169168996732</c:v>
                      </c:pt>
                      <c:pt idx="191">
                        <c:v>104.14176483839768</c:v>
                      </c:pt>
                      <c:pt idx="192">
                        <c:v>105.02034109431118</c:v>
                      </c:pt>
                      <c:pt idx="193">
                        <c:v>104.87523687104944</c:v>
                      </c:pt>
                      <c:pt idx="194">
                        <c:v>105.30458635357731</c:v>
                      </c:pt>
                      <c:pt idx="195">
                        <c:v>105.73393583610516</c:v>
                      </c:pt>
                      <c:pt idx="196">
                        <c:v>108.01783655566311</c:v>
                      </c:pt>
                      <c:pt idx="197">
                        <c:v>106.95373891841039</c:v>
                      </c:pt>
                      <c:pt idx="198">
                        <c:v>105.17405881027794</c:v>
                      </c:pt>
                      <c:pt idx="199">
                        <c:v>106.20834051124396</c:v>
                      </c:pt>
                      <c:pt idx="200">
                        <c:v>105.53980096206092</c:v>
                      </c:pt>
                      <c:pt idx="201">
                        <c:v>106.52107655407289</c:v>
                      </c:pt>
                      <c:pt idx="202">
                        <c:v>105.23104037740353</c:v>
                      </c:pt>
                      <c:pt idx="203">
                        <c:v>104.94944542358512</c:v>
                      </c:pt>
                      <c:pt idx="204">
                        <c:v>103.9900348515167</c:v>
                      </c:pt>
                      <c:pt idx="205">
                        <c:v>105.48215681857339</c:v>
                      </c:pt>
                      <c:pt idx="206">
                        <c:v>105.84061063037518</c:v>
                      </c:pt>
                      <c:pt idx="207">
                        <c:v>106.15467182592796</c:v>
                      </c:pt>
                      <c:pt idx="208">
                        <c:v>106.60323602295169</c:v>
                      </c:pt>
                      <c:pt idx="209">
                        <c:v>105.81609530498393</c:v>
                      </c:pt>
                      <c:pt idx="210">
                        <c:v>105.57690523832875</c:v>
                      </c:pt>
                      <c:pt idx="211">
                        <c:v>105.17737169208755</c:v>
                      </c:pt>
                      <c:pt idx="212">
                        <c:v>104.39950704318676</c:v>
                      </c:pt>
                      <c:pt idx="213">
                        <c:v>104.97396074897635</c:v>
                      </c:pt>
                      <c:pt idx="214">
                        <c:v>103.93835389528647</c:v>
                      </c:pt>
                      <c:pt idx="215">
                        <c:v>103.72831718855602</c:v>
                      </c:pt>
                      <c:pt idx="216">
                        <c:v>103.05381445211565</c:v>
                      </c:pt>
                      <c:pt idx="217">
                        <c:v>102.92328690881628</c:v>
                      </c:pt>
                      <c:pt idx="218">
                        <c:v>104.39155612684365</c:v>
                      </c:pt>
                      <c:pt idx="219">
                        <c:v>105.54775187840403</c:v>
                      </c:pt>
                      <c:pt idx="220">
                        <c:v>105.4954083458119</c:v>
                      </c:pt>
                      <c:pt idx="221">
                        <c:v>105.95987437552182</c:v>
                      </c:pt>
                      <c:pt idx="222">
                        <c:v>105.16942077574444</c:v>
                      </c:pt>
                      <c:pt idx="223">
                        <c:v>106.04335899712444</c:v>
                      </c:pt>
                      <c:pt idx="224">
                        <c:v>105.32446364443504</c:v>
                      </c:pt>
                      <c:pt idx="225">
                        <c:v>104.20669732186636</c:v>
                      </c:pt>
                      <c:pt idx="226">
                        <c:v>103.27909041517037</c:v>
                      </c:pt>
                      <c:pt idx="227">
                        <c:v>103.75216993758532</c:v>
                      </c:pt>
                      <c:pt idx="228">
                        <c:v>102.8649801889668</c:v>
                      </c:pt>
                      <c:pt idx="229">
                        <c:v>101.3344287929184</c:v>
                      </c:pt>
                      <c:pt idx="230">
                        <c:v>102.03410943111194</c:v>
                      </c:pt>
                      <c:pt idx="231">
                        <c:v>101.9347229768231</c:v>
                      </c:pt>
                      <c:pt idx="232">
                        <c:v>101.90225673508874</c:v>
                      </c:pt>
                      <c:pt idx="233">
                        <c:v>102.7132502020858</c:v>
                      </c:pt>
                      <c:pt idx="234">
                        <c:v>101.5484409578204</c:v>
                      </c:pt>
                      <c:pt idx="235">
                        <c:v>100.72220823449904</c:v>
                      </c:pt>
                      <c:pt idx="236">
                        <c:v>100.0099386454289</c:v>
                      </c:pt>
                      <c:pt idx="237">
                        <c:v>101.13764361342646</c:v>
                      </c:pt>
                      <c:pt idx="238">
                        <c:v>100.83285848694062</c:v>
                      </c:pt>
                      <c:pt idx="239">
                        <c:v>101.58024462319281</c:v>
                      </c:pt>
                      <c:pt idx="240">
                        <c:v>102.43165524826735</c:v>
                      </c:pt>
                      <c:pt idx="241">
                        <c:v>103.23204749347362</c:v>
                      </c:pt>
                      <c:pt idx="242">
                        <c:v>101.9095450750699</c:v>
                      </c:pt>
                      <c:pt idx="243">
                        <c:v>101.09457614990127</c:v>
                      </c:pt>
                      <c:pt idx="244">
                        <c:v>101.59945933768867</c:v>
                      </c:pt>
                      <c:pt idx="245">
                        <c:v>101.07006082451002</c:v>
                      </c:pt>
                      <c:pt idx="246">
                        <c:v>102.59067357512953</c:v>
                      </c:pt>
                      <c:pt idx="247">
                        <c:v>102.76559373467791</c:v>
                      </c:pt>
                      <c:pt idx="248">
                        <c:v>101.62927527397531</c:v>
                      </c:pt>
                      <c:pt idx="249">
                        <c:v>100.75666220531915</c:v>
                      </c:pt>
                      <c:pt idx="250">
                        <c:v>100.45585253700487</c:v>
                      </c:pt>
                      <c:pt idx="251">
                        <c:v>100.71624504724167</c:v>
                      </c:pt>
                      <c:pt idx="252">
                        <c:v>100.17160727773873</c:v>
                      </c:pt>
                      <c:pt idx="253">
                        <c:v>100.10269933609847</c:v>
                      </c:pt>
                      <c:pt idx="254">
                        <c:v>99.305619972701834</c:v>
                      </c:pt>
                      <c:pt idx="255">
                        <c:v>99.302969667254118</c:v>
                      </c:pt>
                      <c:pt idx="256">
                        <c:v>99.905914156606528</c:v>
                      </c:pt>
                      <c:pt idx="257">
                        <c:v>100.20274836674925</c:v>
                      </c:pt>
                      <c:pt idx="258">
                        <c:v>99.756171898811303</c:v>
                      </c:pt>
                      <c:pt idx="259">
                        <c:v>100.0960735724792</c:v>
                      </c:pt>
                      <c:pt idx="260">
                        <c:v>101.74125067914073</c:v>
                      </c:pt>
                      <c:pt idx="261">
                        <c:v>100.30147224467616</c:v>
                      </c:pt>
                      <c:pt idx="262">
                        <c:v>101.78100526085626</c:v>
                      </c:pt>
                      <c:pt idx="263">
                        <c:v>103.23204749347357</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6-3801-4424-8D6A-73CF653766E8}"/>
                  </c:ext>
                </c:extLst>
              </c15:ser>
            </c15:filteredLineSeries>
            <c15:filteredLineSeries>
              <c15:ser>
                <c:idx val="5"/>
                <c:order val="5"/>
                <c:tx>
                  <c:strRef>
                    <c:extLst xmlns:c15="http://schemas.microsoft.com/office/drawing/2012/chart" xmlns:c16r2="http://schemas.microsoft.com/office/drawing/2015/06/chart">
                      <c:ext xmlns:c15="http://schemas.microsoft.com/office/drawing/2012/chart" uri="{02D57815-91ED-43cb-92C2-25804820EDAC}">
                        <c15:formulaRef>
                          <c15:sqref>'Currency Chart'!$U$5</c15:sqref>
                        </c15:formulaRef>
                      </c:ext>
                    </c:extLst>
                    <c:strCache>
                      <c:ptCount val="1"/>
                      <c:pt idx="0">
                        <c:v>Won</c:v>
                      </c:pt>
                    </c:strCache>
                  </c:strRef>
                </c:tx>
                <c:spPr>
                  <a:ln w="28575" cap="rnd">
                    <a:solidFill>
                      <a:schemeClr val="accent6"/>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Chart'!$U$6:$U$291</c15:sqref>
                        </c15:formulaRef>
                      </c:ext>
                    </c:extLst>
                    <c:numCache>
                      <c:formatCode>0</c:formatCode>
                      <c:ptCount val="286"/>
                      <c:pt idx="0" formatCode="General">
                        <c:v>100</c:v>
                      </c:pt>
                      <c:pt idx="1">
                        <c:v>99.060406267517266</c:v>
                      </c:pt>
                      <c:pt idx="2">
                        <c:v>100.09965388071787</c:v>
                      </c:pt>
                      <c:pt idx="3">
                        <c:v>100.19218962709874</c:v>
                      </c:pt>
                      <c:pt idx="4">
                        <c:v>100.6210572209024</c:v>
                      </c:pt>
                      <c:pt idx="5">
                        <c:v>100.36569415156289</c:v>
                      </c:pt>
                      <c:pt idx="6">
                        <c:v>101.5072649458577</c:v>
                      </c:pt>
                      <c:pt idx="7">
                        <c:v>100.98052300492043</c:v>
                      </c:pt>
                      <c:pt idx="8">
                        <c:v>101.06949968413279</c:v>
                      </c:pt>
                      <c:pt idx="9">
                        <c:v>100.57478934771196</c:v>
                      </c:pt>
                      <c:pt idx="10">
                        <c:v>101.07750758526191</c:v>
                      </c:pt>
                      <c:pt idx="11">
                        <c:v>100.75274270613673</c:v>
                      </c:pt>
                      <c:pt idx="12">
                        <c:v>100.45467083077527</c:v>
                      </c:pt>
                      <c:pt idx="13">
                        <c:v>99.761542499710842</c:v>
                      </c:pt>
                      <c:pt idx="14">
                        <c:v>100.3434499817598</c:v>
                      </c:pt>
                      <c:pt idx="15">
                        <c:v>100.46534803228076</c:v>
                      </c:pt>
                      <c:pt idx="16">
                        <c:v>100.18774079313815</c:v>
                      </c:pt>
                      <c:pt idx="17">
                        <c:v>100.80167987970357</c:v>
                      </c:pt>
                      <c:pt idx="18">
                        <c:v>100.97963323812833</c:v>
                      </c:pt>
                      <c:pt idx="19">
                        <c:v>100.99920810755503</c:v>
                      </c:pt>
                      <c:pt idx="20">
                        <c:v>100.41196202475334</c:v>
                      </c:pt>
                      <c:pt idx="21">
                        <c:v>100.68245112955897</c:v>
                      </c:pt>
                      <c:pt idx="22">
                        <c:v>100.77409710914772</c:v>
                      </c:pt>
                      <c:pt idx="23">
                        <c:v>100.29184350781664</c:v>
                      </c:pt>
                      <c:pt idx="24">
                        <c:v>100.42975736059581</c:v>
                      </c:pt>
                      <c:pt idx="25">
                        <c:v>100.42263922625884</c:v>
                      </c:pt>
                      <c:pt idx="26">
                        <c:v>100.02580323697163</c:v>
                      </c:pt>
                      <c:pt idx="27">
                        <c:v>99.580030074117616</c:v>
                      </c:pt>
                      <c:pt idx="28">
                        <c:v>99.567573339027874</c:v>
                      </c:pt>
                      <c:pt idx="29">
                        <c:v>99.282847965548257</c:v>
                      </c:pt>
                      <c:pt idx="30">
                        <c:v>99.741077863492023</c:v>
                      </c:pt>
                      <c:pt idx="31">
                        <c:v>100.03825997206135</c:v>
                      </c:pt>
                      <c:pt idx="32">
                        <c:v>99.775778768384839</c:v>
                      </c:pt>
                      <c:pt idx="33">
                        <c:v>99.305092135351359</c:v>
                      </c:pt>
                      <c:pt idx="34">
                        <c:v>99.358478142878809</c:v>
                      </c:pt>
                      <c:pt idx="35">
                        <c:v>99.342462340620571</c:v>
                      </c:pt>
                      <c:pt idx="36">
                        <c:v>99.238359625942081</c:v>
                      </c:pt>
                      <c:pt idx="37">
                        <c:v>99.411864150406231</c:v>
                      </c:pt>
                      <c:pt idx="38">
                        <c:v>99.329115838738716</c:v>
                      </c:pt>
                      <c:pt idx="39">
                        <c:v>99.546218936016913</c:v>
                      </c:pt>
                      <c:pt idx="40">
                        <c:v>99.184083851622546</c:v>
                      </c:pt>
                      <c:pt idx="41">
                        <c:v>99.184083851622546</c:v>
                      </c:pt>
                      <c:pt idx="42">
                        <c:v>98.788137629127448</c:v>
                      </c:pt>
                      <c:pt idx="43">
                        <c:v>99.060406267517322</c:v>
                      </c:pt>
                      <c:pt idx="44">
                        <c:v>98.753436724234632</c:v>
                      </c:pt>
                      <c:pt idx="45">
                        <c:v>98.553239196006786</c:v>
                      </c:pt>
                      <c:pt idx="46">
                        <c:v>99.401186948900758</c:v>
                      </c:pt>
                      <c:pt idx="47">
                        <c:v>99.684132788796106</c:v>
                      </c:pt>
                      <c:pt idx="48">
                        <c:v>100.16727615691931</c:v>
                      </c:pt>
                      <c:pt idx="49">
                        <c:v>100.07385064374633</c:v>
                      </c:pt>
                      <c:pt idx="50">
                        <c:v>99.678794188043369</c:v>
                      </c:pt>
                      <c:pt idx="51">
                        <c:v>98.873555241171346</c:v>
                      </c:pt>
                      <c:pt idx="52">
                        <c:v>99.358478142878809</c:v>
                      </c:pt>
                      <c:pt idx="53">
                        <c:v>99.616510512594687</c:v>
                      </c:pt>
                      <c:pt idx="54">
                        <c:v>100.78655384423747</c:v>
                      </c:pt>
                      <c:pt idx="55">
                        <c:v>100.2526937689632</c:v>
                      </c:pt>
                      <c:pt idx="56">
                        <c:v>100.16905569050355</c:v>
                      </c:pt>
                      <c:pt idx="57">
                        <c:v>101.14246056108698</c:v>
                      </c:pt>
                      <c:pt idx="58">
                        <c:v>100.27048910480568</c:v>
                      </c:pt>
                      <c:pt idx="59">
                        <c:v>100.64863999145828</c:v>
                      </c:pt>
                      <c:pt idx="60">
                        <c:v>100.33544208063071</c:v>
                      </c:pt>
                      <c:pt idx="61">
                        <c:v>100.33277278025434</c:v>
                      </c:pt>
                      <c:pt idx="62">
                        <c:v>99.963519561522972</c:v>
                      </c:pt>
                      <c:pt idx="63">
                        <c:v>99.863865680805091</c:v>
                      </c:pt>
                      <c:pt idx="64">
                        <c:v>99.352249775333917</c:v>
                      </c:pt>
                      <c:pt idx="65">
                        <c:v>99.524864533005939</c:v>
                      </c:pt>
                      <c:pt idx="66">
                        <c:v>99.038162097714221</c:v>
                      </c:pt>
                      <c:pt idx="67">
                        <c:v>98.459813682833769</c:v>
                      </c:pt>
                      <c:pt idx="68">
                        <c:v>98.619971705416063</c:v>
                      </c:pt>
                      <c:pt idx="69">
                        <c:v>98.845972470615507</c:v>
                      </c:pt>
                      <c:pt idx="70">
                        <c:v>99.338903273452075</c:v>
                      </c:pt>
                      <c:pt idx="71">
                        <c:v>98.81038179893055</c:v>
                      </c:pt>
                      <c:pt idx="72">
                        <c:v>98.819279466851782</c:v>
                      </c:pt>
                      <c:pt idx="73">
                        <c:v>99.451013889259684</c:v>
                      </c:pt>
                      <c:pt idx="74">
                        <c:v>99.263273096121551</c:v>
                      </c:pt>
                      <c:pt idx="75">
                        <c:v>98.97053982151283</c:v>
                      </c:pt>
                      <c:pt idx="76">
                        <c:v>99.333564672699339</c:v>
                      </c:pt>
                      <c:pt idx="77">
                        <c:v>99.327336305154461</c:v>
                      </c:pt>
                      <c:pt idx="78">
                        <c:v>99.39495858135588</c:v>
                      </c:pt>
                      <c:pt idx="79">
                        <c:v>100.78210501027687</c:v>
                      </c:pt>
                      <c:pt idx="80">
                        <c:v>100.92624723060091</c:v>
                      </c:pt>
                      <c:pt idx="81">
                        <c:v>100.98319230529684</c:v>
                      </c:pt>
                      <c:pt idx="82">
                        <c:v>100.66821486088503</c:v>
                      </c:pt>
                      <c:pt idx="83">
                        <c:v>100.86129425477588</c:v>
                      </c:pt>
                      <c:pt idx="84">
                        <c:v>101.06416108338011</c:v>
                      </c:pt>
                      <c:pt idx="85">
                        <c:v>100.61304931977335</c:v>
                      </c:pt>
                      <c:pt idx="86">
                        <c:v>100.28739467385604</c:v>
                      </c:pt>
                      <c:pt idx="87">
                        <c:v>100.54720657715619</c:v>
                      </c:pt>
                      <c:pt idx="88">
                        <c:v>100.68778973031174</c:v>
                      </c:pt>
                      <c:pt idx="89">
                        <c:v>100.58635631600964</c:v>
                      </c:pt>
                      <c:pt idx="90">
                        <c:v>100.92891653097728</c:v>
                      </c:pt>
                      <c:pt idx="91">
                        <c:v>100.59080514997025</c:v>
                      </c:pt>
                      <c:pt idx="92">
                        <c:v>100.58101771525691</c:v>
                      </c:pt>
                      <c:pt idx="93">
                        <c:v>101.14424009467126</c:v>
                      </c:pt>
                      <c:pt idx="94">
                        <c:v>101.56687932093006</c:v>
                      </c:pt>
                      <c:pt idx="95">
                        <c:v>102.01977061812106</c:v>
                      </c:pt>
                      <c:pt idx="96">
                        <c:v>101.76529731557366</c:v>
                      </c:pt>
                      <c:pt idx="97">
                        <c:v>102.04290455471627</c:v>
                      </c:pt>
                      <c:pt idx="98">
                        <c:v>102.31784249348253</c:v>
                      </c:pt>
                      <c:pt idx="99">
                        <c:v>101.80889588838772</c:v>
                      </c:pt>
                      <c:pt idx="100">
                        <c:v>101.57488722205916</c:v>
                      </c:pt>
                      <c:pt idx="101">
                        <c:v>101.56776908772218</c:v>
                      </c:pt>
                      <c:pt idx="102">
                        <c:v>102.39703173798154</c:v>
                      </c:pt>
                      <c:pt idx="103">
                        <c:v>102.09807009582795</c:v>
                      </c:pt>
                      <c:pt idx="104">
                        <c:v>102.26178718557871</c:v>
                      </c:pt>
                      <c:pt idx="105">
                        <c:v>102.37211826780207</c:v>
                      </c:pt>
                      <c:pt idx="106">
                        <c:v>102.45842564663808</c:v>
                      </c:pt>
                      <c:pt idx="107">
                        <c:v>102.54918185943471</c:v>
                      </c:pt>
                      <c:pt idx="108">
                        <c:v>102.70133198088789</c:v>
                      </c:pt>
                      <c:pt idx="109">
                        <c:v>102.34720479762261</c:v>
                      </c:pt>
                      <c:pt idx="110">
                        <c:v>101.7110215412541</c:v>
                      </c:pt>
                      <c:pt idx="111">
                        <c:v>102.44863821192473</c:v>
                      </c:pt>
                      <c:pt idx="112">
                        <c:v>102.3391968964935</c:v>
                      </c:pt>
                      <c:pt idx="113">
                        <c:v>102.18437747466396</c:v>
                      </c:pt>
                      <c:pt idx="114">
                        <c:v>101.85694329516241</c:v>
                      </c:pt>
                      <c:pt idx="115">
                        <c:v>101.66386390127154</c:v>
                      </c:pt>
                      <c:pt idx="116">
                        <c:v>101.87206933062852</c:v>
                      </c:pt>
                      <c:pt idx="117">
                        <c:v>102.0464636218848</c:v>
                      </c:pt>
                      <c:pt idx="118">
                        <c:v>102.56341812810871</c:v>
                      </c:pt>
                      <c:pt idx="119">
                        <c:v>102.67730827750056</c:v>
                      </c:pt>
                      <c:pt idx="120">
                        <c:v>103.47809839041197</c:v>
                      </c:pt>
                      <c:pt idx="121">
                        <c:v>103.33484593688003</c:v>
                      </c:pt>
                      <c:pt idx="122">
                        <c:v>103.68274475260043</c:v>
                      </c:pt>
                      <c:pt idx="123">
                        <c:v>104.75224443673321</c:v>
                      </c:pt>
                      <c:pt idx="124">
                        <c:v>104.10538397885922</c:v>
                      </c:pt>
                      <c:pt idx="125">
                        <c:v>104.66148822393657</c:v>
                      </c:pt>
                      <c:pt idx="126">
                        <c:v>104.56094457642659</c:v>
                      </c:pt>
                      <c:pt idx="127">
                        <c:v>104.04576960378691</c:v>
                      </c:pt>
                      <c:pt idx="128">
                        <c:v>103.53771276548424</c:v>
                      </c:pt>
                      <c:pt idx="129">
                        <c:v>103.55728763491095</c:v>
                      </c:pt>
                      <c:pt idx="130">
                        <c:v>104.1498723184654</c:v>
                      </c:pt>
                      <c:pt idx="131">
                        <c:v>103.32238920179029</c:v>
                      </c:pt>
                      <c:pt idx="132">
                        <c:v>103.59910667414077</c:v>
                      </c:pt>
                      <c:pt idx="133">
                        <c:v>103.09994750375934</c:v>
                      </c:pt>
                      <c:pt idx="134">
                        <c:v>102.80988352952699</c:v>
                      </c:pt>
                      <c:pt idx="135">
                        <c:v>103.03944336189493</c:v>
                      </c:pt>
                      <c:pt idx="136">
                        <c:v>102.70400128126427</c:v>
                      </c:pt>
                      <c:pt idx="137">
                        <c:v>102.94957691589043</c:v>
                      </c:pt>
                      <c:pt idx="138">
                        <c:v>103.38912171119959</c:v>
                      </c:pt>
                      <c:pt idx="139">
                        <c:v>103.79485536840804</c:v>
                      </c:pt>
                      <c:pt idx="140">
                        <c:v>104.07068307396644</c:v>
                      </c:pt>
                      <c:pt idx="141">
                        <c:v>104.12317931470173</c:v>
                      </c:pt>
                      <c:pt idx="142">
                        <c:v>104.3545186806539</c:v>
                      </c:pt>
                      <c:pt idx="143">
                        <c:v>104.30113267312647</c:v>
                      </c:pt>
                      <c:pt idx="144">
                        <c:v>103.7672725978522</c:v>
                      </c:pt>
                      <c:pt idx="145">
                        <c:v>104.56450364359512</c:v>
                      </c:pt>
                      <c:pt idx="146">
                        <c:v>105.05387537926319</c:v>
                      </c:pt>
                      <c:pt idx="147">
                        <c:v>105.49697924174085</c:v>
                      </c:pt>
                      <c:pt idx="148">
                        <c:v>105.34482912028767</c:v>
                      </c:pt>
                      <c:pt idx="149">
                        <c:v>105.14819065922831</c:v>
                      </c:pt>
                      <c:pt idx="150">
                        <c:v>104.51467670323618</c:v>
                      </c:pt>
                      <c:pt idx="151">
                        <c:v>104.96400893325868</c:v>
                      </c:pt>
                      <c:pt idx="152">
                        <c:v>104.80918951142914</c:v>
                      </c:pt>
                      <c:pt idx="153">
                        <c:v>105.62955449376727</c:v>
                      </c:pt>
                      <c:pt idx="154">
                        <c:v>105.62510565980664</c:v>
                      </c:pt>
                      <c:pt idx="155">
                        <c:v>105.368852823675</c:v>
                      </c:pt>
                      <c:pt idx="156">
                        <c:v>105.02362330833095</c:v>
                      </c:pt>
                      <c:pt idx="157">
                        <c:v>105.35906538896162</c:v>
                      </c:pt>
                      <c:pt idx="158">
                        <c:v>105.56905035190285</c:v>
                      </c:pt>
                      <c:pt idx="159">
                        <c:v>105.90093336536502</c:v>
                      </c:pt>
                      <c:pt idx="160">
                        <c:v>105.96054774043732</c:v>
                      </c:pt>
                      <c:pt idx="161">
                        <c:v>106.48639991458246</c:v>
                      </c:pt>
                      <c:pt idx="162">
                        <c:v>106.35382466255602</c:v>
                      </c:pt>
                      <c:pt idx="163">
                        <c:v>106.53088825418865</c:v>
                      </c:pt>
                      <c:pt idx="164">
                        <c:v>105.54235734813913</c:v>
                      </c:pt>
                      <c:pt idx="165">
                        <c:v>105.14285205847555</c:v>
                      </c:pt>
                      <c:pt idx="166">
                        <c:v>105.17666319657626</c:v>
                      </c:pt>
                      <c:pt idx="167">
                        <c:v>105.47918390589835</c:v>
                      </c:pt>
                      <c:pt idx="168">
                        <c:v>104.55916504284237</c:v>
                      </c:pt>
                      <c:pt idx="169">
                        <c:v>104.60365338244856</c:v>
                      </c:pt>
                      <c:pt idx="170">
                        <c:v>104.79495324275516</c:v>
                      </c:pt>
                      <c:pt idx="171">
                        <c:v>104.76826023899145</c:v>
                      </c:pt>
                      <c:pt idx="172">
                        <c:v>103.92654085364235</c:v>
                      </c:pt>
                      <c:pt idx="173">
                        <c:v>103.9203124860975</c:v>
                      </c:pt>
                      <c:pt idx="174">
                        <c:v>104.28511687086824</c:v>
                      </c:pt>
                      <c:pt idx="175">
                        <c:v>103.96391105891156</c:v>
                      </c:pt>
                      <c:pt idx="176">
                        <c:v>104.50044043456219</c:v>
                      </c:pt>
                      <c:pt idx="177">
                        <c:v>104.76559093861509</c:v>
                      </c:pt>
                      <c:pt idx="178">
                        <c:v>104.85723691820382</c:v>
                      </c:pt>
                      <c:pt idx="179">
                        <c:v>104.88392992196752</c:v>
                      </c:pt>
                      <c:pt idx="180">
                        <c:v>105.50409737607779</c:v>
                      </c:pt>
                      <c:pt idx="181">
                        <c:v>105.08590698377961</c:v>
                      </c:pt>
                      <c:pt idx="182">
                        <c:v>105.067221881145</c:v>
                      </c:pt>
                      <c:pt idx="183">
                        <c:v>104.85011878386682</c:v>
                      </c:pt>
                      <c:pt idx="184">
                        <c:v>105.440923933837</c:v>
                      </c:pt>
                      <c:pt idx="185">
                        <c:v>105.20513573392421</c:v>
                      </c:pt>
                      <c:pt idx="186">
                        <c:v>104.92130012723672</c:v>
                      </c:pt>
                      <c:pt idx="187">
                        <c:v>105.29678171351297</c:v>
                      </c:pt>
                      <c:pt idx="188">
                        <c:v>105.33504168557428</c:v>
                      </c:pt>
                      <c:pt idx="189">
                        <c:v>105.03341074304433</c:v>
                      </c:pt>
                      <c:pt idx="190">
                        <c:v>105.20335620033995</c:v>
                      </c:pt>
                      <c:pt idx="191">
                        <c:v>105.62421589301451</c:v>
                      </c:pt>
                      <c:pt idx="192">
                        <c:v>105.88936639706739</c:v>
                      </c:pt>
                      <c:pt idx="193">
                        <c:v>105.80038971785501</c:v>
                      </c:pt>
                      <c:pt idx="194">
                        <c:v>105.77280694729917</c:v>
                      </c:pt>
                      <c:pt idx="195">
                        <c:v>105.89648453140438</c:v>
                      </c:pt>
                      <c:pt idx="196">
                        <c:v>106.27641495164124</c:v>
                      </c:pt>
                      <c:pt idx="197">
                        <c:v>105.94364217138694</c:v>
                      </c:pt>
                      <c:pt idx="198">
                        <c:v>105.23360827127215</c:v>
                      </c:pt>
                      <c:pt idx="199">
                        <c:v>104.7193230654246</c:v>
                      </c:pt>
                      <c:pt idx="200">
                        <c:v>104.70241749637425</c:v>
                      </c:pt>
                      <c:pt idx="201">
                        <c:v>104.99248147060661</c:v>
                      </c:pt>
                      <c:pt idx="202">
                        <c:v>105.04052887738129</c:v>
                      </c:pt>
                      <c:pt idx="203">
                        <c:v>104.70152772958214</c:v>
                      </c:pt>
                      <c:pt idx="204">
                        <c:v>104.56450364359509</c:v>
                      </c:pt>
                      <c:pt idx="205">
                        <c:v>104.82787461406373</c:v>
                      </c:pt>
                      <c:pt idx="206">
                        <c:v>105.06900141472926</c:v>
                      </c:pt>
                      <c:pt idx="207">
                        <c:v>105.42935696553941</c:v>
                      </c:pt>
                      <c:pt idx="208">
                        <c:v>105.45427043571887</c:v>
                      </c:pt>
                      <c:pt idx="209">
                        <c:v>105.39910489460719</c:v>
                      </c:pt>
                      <c:pt idx="210">
                        <c:v>105.55214478285248</c:v>
                      </c:pt>
                      <c:pt idx="211">
                        <c:v>105.67760190054194</c:v>
                      </c:pt>
                      <c:pt idx="212">
                        <c:v>105.84042922350059</c:v>
                      </c:pt>
                      <c:pt idx="213">
                        <c:v>105.94186263780271</c:v>
                      </c:pt>
                      <c:pt idx="214">
                        <c:v>105.90093336536502</c:v>
                      </c:pt>
                      <c:pt idx="215">
                        <c:v>105.48630204023533</c:v>
                      </c:pt>
                      <c:pt idx="216">
                        <c:v>105.52545177908878</c:v>
                      </c:pt>
                      <c:pt idx="217">
                        <c:v>105.49164064098807</c:v>
                      </c:pt>
                      <c:pt idx="218">
                        <c:v>105.71230280543477</c:v>
                      </c:pt>
                      <c:pt idx="219">
                        <c:v>105.41067186290482</c:v>
                      </c:pt>
                      <c:pt idx="220">
                        <c:v>105.8253031880345</c:v>
                      </c:pt>
                      <c:pt idx="221">
                        <c:v>105.70073583713719</c:v>
                      </c:pt>
                      <c:pt idx="222">
                        <c:v>106.14917830036757</c:v>
                      </c:pt>
                      <c:pt idx="223">
                        <c:v>106.54868359003115</c:v>
                      </c:pt>
                      <c:pt idx="224">
                        <c:v>106.61185703227193</c:v>
                      </c:pt>
                      <c:pt idx="225">
                        <c:v>107.21244961695548</c:v>
                      </c:pt>
                      <c:pt idx="226">
                        <c:v>106.56114032512087</c:v>
                      </c:pt>
                      <c:pt idx="227">
                        <c:v>106.59762076359794</c:v>
                      </c:pt>
                      <c:pt idx="228">
                        <c:v>106.08778439171101</c:v>
                      </c:pt>
                      <c:pt idx="229">
                        <c:v>105.5147745775833</c:v>
                      </c:pt>
                      <c:pt idx="230">
                        <c:v>105.53612898059426</c:v>
                      </c:pt>
                      <c:pt idx="231">
                        <c:v>105.88847663027529</c:v>
                      </c:pt>
                      <c:pt idx="232">
                        <c:v>105.8813584959383</c:v>
                      </c:pt>
                      <c:pt idx="233">
                        <c:v>106.12159552981173</c:v>
                      </c:pt>
                      <c:pt idx="234">
                        <c:v>105.71586187260328</c:v>
                      </c:pt>
                      <c:pt idx="235">
                        <c:v>106.09757182642439</c:v>
                      </c:pt>
                      <c:pt idx="236">
                        <c:v>106.10557972755349</c:v>
                      </c:pt>
                      <c:pt idx="237">
                        <c:v>106.37962789952762</c:v>
                      </c:pt>
                      <c:pt idx="238">
                        <c:v>106.44725017572904</c:v>
                      </c:pt>
                      <c:pt idx="239">
                        <c:v>106.50775431759345</c:v>
                      </c:pt>
                      <c:pt idx="240">
                        <c:v>107.10745713548489</c:v>
                      </c:pt>
                      <c:pt idx="241">
                        <c:v>107.62263210812458</c:v>
                      </c:pt>
                      <c:pt idx="242">
                        <c:v>107.18397707960757</c:v>
                      </c:pt>
                      <c:pt idx="243">
                        <c:v>106.97755118383485</c:v>
                      </c:pt>
                      <c:pt idx="244">
                        <c:v>106.72396764807958</c:v>
                      </c:pt>
                      <c:pt idx="245">
                        <c:v>106.72485741487171</c:v>
                      </c:pt>
                      <c:pt idx="246">
                        <c:v>106.61630586623261</c:v>
                      </c:pt>
                      <c:pt idx="247">
                        <c:v>106.49351804891953</c:v>
                      </c:pt>
                      <c:pt idx="248">
                        <c:v>106.4472501757291</c:v>
                      </c:pt>
                      <c:pt idx="249">
                        <c:v>106.24260381354063</c:v>
                      </c:pt>
                      <c:pt idx="250">
                        <c:v>106.75688901938817</c:v>
                      </c:pt>
                      <c:pt idx="251">
                        <c:v>106.72574718166385</c:v>
                      </c:pt>
                      <c:pt idx="252">
                        <c:v>106.53355755456511</c:v>
                      </c:pt>
                      <c:pt idx="253">
                        <c:v>106.48373061420618</c:v>
                      </c:pt>
                      <c:pt idx="254">
                        <c:v>106.46326597798733</c:v>
                      </c:pt>
                      <c:pt idx="255">
                        <c:v>106.65011700433334</c:v>
                      </c:pt>
                      <c:pt idx="256">
                        <c:v>106.37962789952769</c:v>
                      </c:pt>
                      <c:pt idx="257">
                        <c:v>106.20968244223207</c:v>
                      </c:pt>
                      <c:pt idx="258">
                        <c:v>106.05130395323404</c:v>
                      </c:pt>
                      <c:pt idx="259">
                        <c:v>106.09935136000871</c:v>
                      </c:pt>
                      <c:pt idx="260">
                        <c:v>107.31032396408916</c:v>
                      </c:pt>
                      <c:pt idx="261">
                        <c:v>106.55580172436819</c:v>
                      </c:pt>
                      <c:pt idx="262">
                        <c:v>106.78269225635975</c:v>
                      </c:pt>
                      <c:pt idx="263">
                        <c:v>107.62263210812461</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7-3801-4424-8D6A-73CF653766E8}"/>
                  </c:ext>
                </c:extLst>
              </c15:ser>
            </c15:filteredLineSeries>
            <c15:filteredLineSeries>
              <c15:ser>
                <c:idx val="6"/>
                <c:order val="6"/>
                <c:tx>
                  <c:strRef>
                    <c:extLst xmlns:c15="http://schemas.microsoft.com/office/drawing/2012/chart" xmlns:c16r2="http://schemas.microsoft.com/office/drawing/2015/06/chart">
                      <c:ext xmlns:c15="http://schemas.microsoft.com/office/drawing/2012/chart" uri="{02D57815-91ED-43cb-92C2-25804820EDAC}">
                        <c15:formulaRef>
                          <c15:sqref>'Currency Chart'!$V$5</c15:sqref>
                        </c15:formulaRef>
                      </c:ext>
                    </c:extLst>
                    <c:strCache>
                      <c:ptCount val="1"/>
                      <c:pt idx="0">
                        <c:v>Pound</c:v>
                      </c:pt>
                    </c:strCache>
                  </c:strRef>
                </c:tx>
                <c:spPr>
                  <a:ln w="28575" cap="rnd">
                    <a:solidFill>
                      <a:schemeClr val="accent1">
                        <a:lumMod val="60000"/>
                      </a:schemeClr>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Chart'!$V$6:$V$291</c15:sqref>
                        </c15:formulaRef>
                      </c:ext>
                    </c:extLst>
                    <c:numCache>
                      <c:formatCode>0</c:formatCode>
                      <c:ptCount val="286"/>
                      <c:pt idx="0" formatCode="General">
                        <c:v>100</c:v>
                      </c:pt>
                      <c:pt idx="1">
                        <c:v>100.05574136008919</c:v>
                      </c:pt>
                      <c:pt idx="2">
                        <c:v>99.846711259754741</c:v>
                      </c:pt>
                      <c:pt idx="3">
                        <c:v>99.846711259754741</c:v>
                      </c:pt>
                      <c:pt idx="4">
                        <c:v>100.26477146042363</c:v>
                      </c:pt>
                      <c:pt idx="5">
                        <c:v>100.65496098104794</c:v>
                      </c:pt>
                      <c:pt idx="6">
                        <c:v>100.78037904124858</c:v>
                      </c:pt>
                      <c:pt idx="7">
                        <c:v>100.27870680044592</c:v>
                      </c:pt>
                      <c:pt idx="8">
                        <c:v>100.01393534002229</c:v>
                      </c:pt>
                      <c:pt idx="9">
                        <c:v>99.581939799331096</c:v>
                      </c:pt>
                      <c:pt idx="10">
                        <c:v>100.05574136008919</c:v>
                      </c:pt>
                      <c:pt idx="11">
                        <c:v>100.27870680044593</c:v>
                      </c:pt>
                      <c:pt idx="12">
                        <c:v>100.29264214046823</c:v>
                      </c:pt>
                      <c:pt idx="13">
                        <c:v>99.777034559643255</c:v>
                      </c:pt>
                      <c:pt idx="14">
                        <c:v>100.06967670011147</c:v>
                      </c:pt>
                      <c:pt idx="15">
                        <c:v>100.44593088071349</c:v>
                      </c:pt>
                      <c:pt idx="16">
                        <c:v>100.50167224080268</c:v>
                      </c:pt>
                      <c:pt idx="17">
                        <c:v>101.32385730211817</c:v>
                      </c:pt>
                      <c:pt idx="18">
                        <c:v>101.78372352285396</c:v>
                      </c:pt>
                      <c:pt idx="19">
                        <c:v>101.44927536231883</c:v>
                      </c:pt>
                      <c:pt idx="20">
                        <c:v>101.05908584169453</c:v>
                      </c:pt>
                      <c:pt idx="21">
                        <c:v>101.2263099219621</c:v>
                      </c:pt>
                      <c:pt idx="22">
                        <c:v>101.39353400222964</c:v>
                      </c:pt>
                      <c:pt idx="23">
                        <c:v>101.08695652173913</c:v>
                      </c:pt>
                      <c:pt idx="24">
                        <c:v>100.72463768115941</c:v>
                      </c:pt>
                      <c:pt idx="25">
                        <c:v>100.72463768115941</c:v>
                      </c:pt>
                      <c:pt idx="26">
                        <c:v>100.25083612040133</c:v>
                      </c:pt>
                      <c:pt idx="27">
                        <c:v>100.78037904124858</c:v>
                      </c:pt>
                      <c:pt idx="28">
                        <c:v>101.43534002229653</c:v>
                      </c:pt>
                      <c:pt idx="29">
                        <c:v>101.44927536231882</c:v>
                      </c:pt>
                      <c:pt idx="30">
                        <c:v>101.63043478260867</c:v>
                      </c:pt>
                      <c:pt idx="31">
                        <c:v>101.39353400222964</c:v>
                      </c:pt>
                      <c:pt idx="32">
                        <c:v>101.33779264214046</c:v>
                      </c:pt>
                      <c:pt idx="33">
                        <c:v>101.11482720178371</c:v>
                      </c:pt>
                      <c:pt idx="34">
                        <c:v>101.05908584169451</c:v>
                      </c:pt>
                      <c:pt idx="35">
                        <c:v>100.73857302118169</c:v>
                      </c:pt>
                      <c:pt idx="36">
                        <c:v>99.609810479375682</c:v>
                      </c:pt>
                      <c:pt idx="37">
                        <c:v>99.972129319955414</c:v>
                      </c:pt>
                      <c:pt idx="38">
                        <c:v>100.02787068004459</c:v>
                      </c:pt>
                      <c:pt idx="39">
                        <c:v>100.68283166109254</c:v>
                      </c:pt>
                      <c:pt idx="40">
                        <c:v>100.4180602006689</c:v>
                      </c:pt>
                      <c:pt idx="41">
                        <c:v>100.4180602006689</c:v>
                      </c:pt>
                      <c:pt idx="42">
                        <c:v>100.23690078037905</c:v>
                      </c:pt>
                      <c:pt idx="43">
                        <c:v>100.13935340022296</c:v>
                      </c:pt>
                      <c:pt idx="44">
                        <c:v>100</c:v>
                      </c:pt>
                      <c:pt idx="45">
                        <c:v>99.9442586399108</c:v>
                      </c:pt>
                      <c:pt idx="46">
                        <c:v>100.85005574136008</c:v>
                      </c:pt>
                      <c:pt idx="47">
                        <c:v>100.16722408026754</c:v>
                      </c:pt>
                      <c:pt idx="48">
                        <c:v>100.3344481605351</c:v>
                      </c:pt>
                      <c:pt idx="49">
                        <c:v>100.20903010033443</c:v>
                      </c:pt>
                      <c:pt idx="50">
                        <c:v>100.3205128205128</c:v>
                      </c:pt>
                      <c:pt idx="51">
                        <c:v>99.707357859531768</c:v>
                      </c:pt>
                      <c:pt idx="52">
                        <c:v>98.634336677814929</c:v>
                      </c:pt>
                      <c:pt idx="53">
                        <c:v>98.522853957636542</c:v>
                      </c:pt>
                      <c:pt idx="54">
                        <c:v>99.136008918617591</c:v>
                      </c:pt>
                      <c:pt idx="55">
                        <c:v>99.149944258639891</c:v>
                      </c:pt>
                      <c:pt idx="56">
                        <c:v>98.829431438127074</c:v>
                      </c:pt>
                      <c:pt idx="57">
                        <c:v>98.564659977703442</c:v>
                      </c:pt>
                      <c:pt idx="58">
                        <c:v>98.202341137123724</c:v>
                      </c:pt>
                      <c:pt idx="59">
                        <c:v>98.717948717948701</c:v>
                      </c:pt>
                      <c:pt idx="60">
                        <c:v>98.188405797101439</c:v>
                      </c:pt>
                      <c:pt idx="61">
                        <c:v>98.48104793756967</c:v>
                      </c:pt>
                      <c:pt idx="62">
                        <c:v>98.425306577480484</c:v>
                      </c:pt>
                      <c:pt idx="63">
                        <c:v>98.439241917502784</c:v>
                      </c:pt>
                      <c:pt idx="64">
                        <c:v>98.676142697881815</c:v>
                      </c:pt>
                      <c:pt idx="65">
                        <c:v>98.076923076923066</c:v>
                      </c:pt>
                      <c:pt idx="66">
                        <c:v>98.202341137123739</c:v>
                      </c:pt>
                      <c:pt idx="67">
                        <c:v>98.035117056856194</c:v>
                      </c:pt>
                      <c:pt idx="68">
                        <c:v>98.46711259754737</c:v>
                      </c:pt>
                      <c:pt idx="69">
                        <c:v>98.327759197324397</c:v>
                      </c:pt>
                      <c:pt idx="70">
                        <c:v>98.773690078037887</c:v>
                      </c:pt>
                      <c:pt idx="71">
                        <c:v>98.425306577480484</c:v>
                      </c:pt>
                      <c:pt idx="72">
                        <c:v>98.258082497212911</c:v>
                      </c:pt>
                      <c:pt idx="73">
                        <c:v>98.425306577480484</c:v>
                      </c:pt>
                      <c:pt idx="74">
                        <c:v>98.676142697881801</c:v>
                      </c:pt>
                      <c:pt idx="75">
                        <c:v>98.272017837235211</c:v>
                      </c:pt>
                      <c:pt idx="76">
                        <c:v>98.773690078037873</c:v>
                      </c:pt>
                      <c:pt idx="77">
                        <c:v>98.745819397993273</c:v>
                      </c:pt>
                      <c:pt idx="78">
                        <c:v>98.926978818283132</c:v>
                      </c:pt>
                      <c:pt idx="79">
                        <c:v>99.609810479375668</c:v>
                      </c:pt>
                      <c:pt idx="80">
                        <c:v>100.08361204013374</c:v>
                      </c:pt>
                      <c:pt idx="81">
                        <c:v>100.89186176142694</c:v>
                      </c:pt>
                      <c:pt idx="82">
                        <c:v>99.986064659977671</c:v>
                      </c:pt>
                      <c:pt idx="83">
                        <c:v>99.888517279821599</c:v>
                      </c:pt>
                      <c:pt idx="84">
                        <c:v>99.777034559643212</c:v>
                      </c:pt>
                      <c:pt idx="85">
                        <c:v>100.06967670011143</c:v>
                      </c:pt>
                      <c:pt idx="86">
                        <c:v>100.40412486064655</c:v>
                      </c:pt>
                      <c:pt idx="87">
                        <c:v>100.34838350055735</c:v>
                      </c:pt>
                      <c:pt idx="88">
                        <c:v>100.69676700111476</c:v>
                      </c:pt>
                      <c:pt idx="89">
                        <c:v>100.75250836120394</c:v>
                      </c:pt>
                      <c:pt idx="90">
                        <c:v>101.19843924191743</c:v>
                      </c:pt>
                      <c:pt idx="91">
                        <c:v>100.73857302118165</c:v>
                      </c:pt>
                      <c:pt idx="92">
                        <c:v>100.62709030100328</c:v>
                      </c:pt>
                      <c:pt idx="93">
                        <c:v>100.94760312151612</c:v>
                      </c:pt>
                      <c:pt idx="94">
                        <c:v>100.94760312151612</c:v>
                      </c:pt>
                      <c:pt idx="95">
                        <c:v>101.07302118171678</c:v>
                      </c:pt>
                      <c:pt idx="96">
                        <c:v>100.23690078037902</c:v>
                      </c:pt>
                      <c:pt idx="97">
                        <c:v>100.37625418060198</c:v>
                      </c:pt>
                      <c:pt idx="98">
                        <c:v>100.86399108138235</c:v>
                      </c:pt>
                      <c:pt idx="99">
                        <c:v>100.52954292084725</c:v>
                      </c:pt>
                      <c:pt idx="100">
                        <c:v>100.75250836120398</c:v>
                      </c:pt>
                      <c:pt idx="101">
                        <c:v>101.19843924191747</c:v>
                      </c:pt>
                      <c:pt idx="102">
                        <c:v>101.89520624303229</c:v>
                      </c:pt>
                      <c:pt idx="103">
                        <c:v>102.24358974358971</c:v>
                      </c:pt>
                      <c:pt idx="104">
                        <c:v>101.61649944258636</c:v>
                      </c:pt>
                      <c:pt idx="105">
                        <c:v>101.18450390189517</c:v>
                      </c:pt>
                      <c:pt idx="106">
                        <c:v>101.37959866220733</c:v>
                      </c:pt>
                      <c:pt idx="107">
                        <c:v>100.82218506131547</c:v>
                      </c:pt>
                      <c:pt idx="108">
                        <c:v>100.39018952062428</c:v>
                      </c:pt>
                      <c:pt idx="109">
                        <c:v>100.23690078037902</c:v>
                      </c:pt>
                      <c:pt idx="110">
                        <c:v>99.790969899665512</c:v>
                      </c:pt>
                      <c:pt idx="111">
                        <c:v>100.2229654403567</c:v>
                      </c:pt>
                      <c:pt idx="112">
                        <c:v>100.36231884057966</c:v>
                      </c:pt>
                      <c:pt idx="113">
                        <c:v>100.12541806020063</c:v>
                      </c:pt>
                      <c:pt idx="114">
                        <c:v>100.30657748049047</c:v>
                      </c:pt>
                      <c:pt idx="115">
                        <c:v>100.02787068004454</c:v>
                      </c:pt>
                      <c:pt idx="116">
                        <c:v>100.43199554069115</c:v>
                      </c:pt>
                      <c:pt idx="117">
                        <c:v>100.62709030100331</c:v>
                      </c:pt>
                      <c:pt idx="118">
                        <c:v>100.64102564102559</c:v>
                      </c:pt>
                      <c:pt idx="119">
                        <c:v>100.43199554069115</c:v>
                      </c:pt>
                      <c:pt idx="120">
                        <c:v>100.91973244147151</c:v>
                      </c:pt>
                      <c:pt idx="121">
                        <c:v>100.48773690078032</c:v>
                      </c:pt>
                      <c:pt idx="122">
                        <c:v>100.58528428093641</c:v>
                      </c:pt>
                      <c:pt idx="123">
                        <c:v>101.4074693422519</c:v>
                      </c:pt>
                      <c:pt idx="124">
                        <c:v>101.28205128205123</c:v>
                      </c:pt>
                      <c:pt idx="125">
                        <c:v>102.14604236343362</c:v>
                      </c:pt>
                      <c:pt idx="126">
                        <c:v>102.2853957636566</c:v>
                      </c:pt>
                      <c:pt idx="127">
                        <c:v>101.56075808249717</c:v>
                      </c:pt>
                      <c:pt idx="128">
                        <c:v>101.49108138238569</c:v>
                      </c:pt>
                      <c:pt idx="129">
                        <c:v>101.25418060200666</c:v>
                      </c:pt>
                      <c:pt idx="130">
                        <c:v>101.70011148272015</c:v>
                      </c:pt>
                      <c:pt idx="131">
                        <c:v>101.26811594202896</c:v>
                      </c:pt>
                      <c:pt idx="132">
                        <c:v>101.25418060200666</c:v>
                      </c:pt>
                      <c:pt idx="133">
                        <c:v>101.28205128205124</c:v>
                      </c:pt>
                      <c:pt idx="134">
                        <c:v>101.18450390189516</c:v>
                      </c:pt>
                      <c:pt idx="135">
                        <c:v>100.71070234113708</c:v>
                      </c:pt>
                      <c:pt idx="136">
                        <c:v>100.48773690078033</c:v>
                      </c:pt>
                      <c:pt idx="137">
                        <c:v>100.69676700111479</c:v>
                      </c:pt>
                      <c:pt idx="138">
                        <c:v>101.0590858416945</c:v>
                      </c:pt>
                      <c:pt idx="139">
                        <c:v>101.17056856187287</c:v>
                      </c:pt>
                      <c:pt idx="140">
                        <c:v>100.69676700111479</c:v>
                      </c:pt>
                      <c:pt idx="141">
                        <c:v>100.66889632107021</c:v>
                      </c:pt>
                      <c:pt idx="142">
                        <c:v>100.68283166109251</c:v>
                      </c:pt>
                      <c:pt idx="143">
                        <c:v>100.89186176142695</c:v>
                      </c:pt>
                      <c:pt idx="144">
                        <c:v>100.69676700111481</c:v>
                      </c:pt>
                      <c:pt idx="145">
                        <c:v>101.04515050167221</c:v>
                      </c:pt>
                      <c:pt idx="146">
                        <c:v>101.37959866220734</c:v>
                      </c:pt>
                      <c:pt idx="147">
                        <c:v>102.00668896321068</c:v>
                      </c:pt>
                      <c:pt idx="148">
                        <c:v>101.99275362318839</c:v>
                      </c:pt>
                      <c:pt idx="149">
                        <c:v>102.24358974358974</c:v>
                      </c:pt>
                      <c:pt idx="150">
                        <c:v>101.5746934225195</c:v>
                      </c:pt>
                      <c:pt idx="151">
                        <c:v>101.89520624303232</c:v>
                      </c:pt>
                      <c:pt idx="152">
                        <c:v>101.71404682274247</c:v>
                      </c:pt>
                      <c:pt idx="153">
                        <c:v>102.94035674470457</c:v>
                      </c:pt>
                      <c:pt idx="154">
                        <c:v>103.74860646599778</c:v>
                      </c:pt>
                      <c:pt idx="155">
                        <c:v>103.41415830546266</c:v>
                      </c:pt>
                      <c:pt idx="156">
                        <c:v>102.8567447045708</c:v>
                      </c:pt>
                      <c:pt idx="157">
                        <c:v>102.36900780379044</c:v>
                      </c:pt>
                      <c:pt idx="158">
                        <c:v>102.21571906354518</c:v>
                      </c:pt>
                      <c:pt idx="159">
                        <c:v>102.59197324414718</c:v>
                      </c:pt>
                      <c:pt idx="160">
                        <c:v>102.31326644370125</c:v>
                      </c:pt>
                      <c:pt idx="161">
                        <c:v>102.35507246376815</c:v>
                      </c:pt>
                      <c:pt idx="162">
                        <c:v>102.48049052396883</c:v>
                      </c:pt>
                      <c:pt idx="163">
                        <c:v>102.53623188405801</c:v>
                      </c:pt>
                      <c:pt idx="164">
                        <c:v>102.00668896321073</c:v>
                      </c:pt>
                      <c:pt idx="165">
                        <c:v>101.89520624303236</c:v>
                      </c:pt>
                      <c:pt idx="166">
                        <c:v>101.32385730211821</c:v>
                      </c:pt>
                      <c:pt idx="167">
                        <c:v>101.50501672240807</c:v>
                      </c:pt>
                      <c:pt idx="168">
                        <c:v>100.9894091415831</c:v>
                      </c:pt>
                      <c:pt idx="169">
                        <c:v>100.79431438127095</c:v>
                      </c:pt>
                      <c:pt idx="170">
                        <c:v>101.0172798216277</c:v>
                      </c:pt>
                      <c:pt idx="171">
                        <c:v>101.30992196209593</c:v>
                      </c:pt>
                      <c:pt idx="172">
                        <c:v>101.19843924191755</c:v>
                      </c:pt>
                      <c:pt idx="173">
                        <c:v>101.19843924191755</c:v>
                      </c:pt>
                      <c:pt idx="174">
                        <c:v>101.33779264214053</c:v>
                      </c:pt>
                      <c:pt idx="175">
                        <c:v>101.04515050167231</c:v>
                      </c:pt>
                      <c:pt idx="176">
                        <c:v>101.75585284280943</c:v>
                      </c:pt>
                      <c:pt idx="177">
                        <c:v>101.96488294314389</c:v>
                      </c:pt>
                      <c:pt idx="178">
                        <c:v>102.32720178372359</c:v>
                      </c:pt>
                      <c:pt idx="179">
                        <c:v>101.81159420289863</c:v>
                      </c:pt>
                      <c:pt idx="180">
                        <c:v>103.21906354515058</c:v>
                      </c:pt>
                      <c:pt idx="181">
                        <c:v>103.21906354515058</c:v>
                      </c:pt>
                      <c:pt idx="182">
                        <c:v>102.74526198439249</c:v>
                      </c:pt>
                      <c:pt idx="183">
                        <c:v>102.78706800445939</c:v>
                      </c:pt>
                      <c:pt idx="184">
                        <c:v>103.94370122631</c:v>
                      </c:pt>
                      <c:pt idx="185">
                        <c:v>104.19453734671133</c:v>
                      </c:pt>
                      <c:pt idx="186">
                        <c:v>103.86008918617621</c:v>
                      </c:pt>
                      <c:pt idx="187">
                        <c:v>103.81828316610932</c:v>
                      </c:pt>
                      <c:pt idx="188">
                        <c:v>103.74860646599785</c:v>
                      </c:pt>
                      <c:pt idx="189">
                        <c:v>103.34448160535125</c:v>
                      </c:pt>
                      <c:pt idx="190">
                        <c:v>103.26086956521746</c:v>
                      </c:pt>
                      <c:pt idx="191">
                        <c:v>103.56744704570798</c:v>
                      </c:pt>
                      <c:pt idx="192">
                        <c:v>104.01337792642147</c:v>
                      </c:pt>
                      <c:pt idx="193">
                        <c:v>104.13879598662214</c:v>
                      </c:pt>
                      <c:pt idx="194">
                        <c:v>104.52898550724645</c:v>
                      </c:pt>
                      <c:pt idx="195">
                        <c:v>104.58472686733563</c:v>
                      </c:pt>
                      <c:pt idx="196">
                        <c:v>104.45930880713499</c:v>
                      </c:pt>
                      <c:pt idx="197">
                        <c:v>104.65440356744713</c:v>
                      </c:pt>
                      <c:pt idx="198">
                        <c:v>104.76588628762551</c:v>
                      </c:pt>
                      <c:pt idx="199">
                        <c:v>104.91917502787076</c:v>
                      </c:pt>
                      <c:pt idx="200">
                        <c:v>104.69620958751402</c:v>
                      </c:pt>
                      <c:pt idx="201">
                        <c:v>105.29542920847278</c:v>
                      </c:pt>
                      <c:pt idx="202">
                        <c:v>105.03065774804915</c:v>
                      </c:pt>
                      <c:pt idx="203">
                        <c:v>105.19788182831671</c:v>
                      </c:pt>
                      <c:pt idx="204">
                        <c:v>105.46265328874036</c:v>
                      </c:pt>
                      <c:pt idx="205">
                        <c:v>105.39297658862887</c:v>
                      </c:pt>
                      <c:pt idx="206">
                        <c:v>104.97491638795998</c:v>
                      </c:pt>
                      <c:pt idx="207">
                        <c:v>105.40691192865118</c:v>
                      </c:pt>
                      <c:pt idx="208">
                        <c:v>105.23968784838362</c:v>
                      </c:pt>
                      <c:pt idx="209">
                        <c:v>105.04459308807148</c:v>
                      </c:pt>
                      <c:pt idx="210">
                        <c:v>104.59866220735799</c:v>
                      </c:pt>
                      <c:pt idx="211">
                        <c:v>105.23968784838364</c:v>
                      </c:pt>
                      <c:pt idx="212">
                        <c:v>105.50445930880727</c:v>
                      </c:pt>
                      <c:pt idx="213">
                        <c:v>105.00278706800458</c:v>
                      </c:pt>
                      <c:pt idx="214">
                        <c:v>104.34782608695666</c:v>
                      </c:pt>
                      <c:pt idx="215">
                        <c:v>103.91583054626545</c:v>
                      </c:pt>
                      <c:pt idx="216">
                        <c:v>104.08305462653301</c:v>
                      </c:pt>
                      <c:pt idx="217">
                        <c:v>103.65105908584182</c:v>
                      </c:pt>
                      <c:pt idx="218">
                        <c:v>103.70680044593099</c:v>
                      </c:pt>
                      <c:pt idx="219">
                        <c:v>103.28874024526209</c:v>
                      </c:pt>
                      <c:pt idx="220">
                        <c:v>103.2469342251952</c:v>
                      </c:pt>
                      <c:pt idx="221">
                        <c:v>102.96822742474927</c:v>
                      </c:pt>
                      <c:pt idx="222">
                        <c:v>103.41415830546276</c:v>
                      </c:pt>
                      <c:pt idx="223">
                        <c:v>102.98216276477157</c:v>
                      </c:pt>
                      <c:pt idx="224">
                        <c:v>102.78706800445943</c:v>
                      </c:pt>
                      <c:pt idx="225">
                        <c:v>102.95429208472699</c:v>
                      </c:pt>
                      <c:pt idx="226">
                        <c:v>102.5222965440358</c:v>
                      </c:pt>
                      <c:pt idx="227">
                        <c:v>102.61984392419188</c:v>
                      </c:pt>
                      <c:pt idx="228">
                        <c:v>102.18784838350066</c:v>
                      </c:pt>
                      <c:pt idx="229">
                        <c:v>101.68617614269799</c:v>
                      </c:pt>
                      <c:pt idx="230">
                        <c:v>101.6583054626534</c:v>
                      </c:pt>
                      <c:pt idx="231">
                        <c:v>101.89520624303243</c:v>
                      </c:pt>
                      <c:pt idx="232">
                        <c:v>102.10423634336689</c:v>
                      </c:pt>
                      <c:pt idx="233">
                        <c:v>102.4944258639912</c:v>
                      </c:pt>
                      <c:pt idx="234">
                        <c:v>102.39687848383511</c:v>
                      </c:pt>
                      <c:pt idx="235">
                        <c:v>102.438684503902</c:v>
                      </c:pt>
                      <c:pt idx="236">
                        <c:v>102.78706800445941</c:v>
                      </c:pt>
                      <c:pt idx="237">
                        <c:v>103.30267558528438</c:v>
                      </c:pt>
                      <c:pt idx="238">
                        <c:v>103.1633221850614</c:v>
                      </c:pt>
                      <c:pt idx="239">
                        <c:v>103.49777034559652</c:v>
                      </c:pt>
                      <c:pt idx="240">
                        <c:v>104.08305462653298</c:v>
                      </c:pt>
                      <c:pt idx="241">
                        <c:v>103.94370122631003</c:v>
                      </c:pt>
                      <c:pt idx="242">
                        <c:v>103.59531772575261</c:v>
                      </c:pt>
                      <c:pt idx="243">
                        <c:v>103.05183946488306</c:v>
                      </c:pt>
                      <c:pt idx="244">
                        <c:v>102.60590858416955</c:v>
                      </c:pt>
                      <c:pt idx="245">
                        <c:v>102.4665551839466</c:v>
                      </c:pt>
                      <c:pt idx="246">
                        <c:v>102.98216276477157</c:v>
                      </c:pt>
                      <c:pt idx="247">
                        <c:v>102.94035674470469</c:v>
                      </c:pt>
                      <c:pt idx="248">
                        <c:v>102.88461538461549</c:v>
                      </c:pt>
                      <c:pt idx="249">
                        <c:v>102.95429208472699</c:v>
                      </c:pt>
                      <c:pt idx="250">
                        <c:v>102.78706800445944</c:v>
                      </c:pt>
                      <c:pt idx="251">
                        <c:v>102.73132664437024</c:v>
                      </c:pt>
                      <c:pt idx="252">
                        <c:v>102.99609810479387</c:v>
                      </c:pt>
                      <c:pt idx="253">
                        <c:v>102.9124860646601</c:v>
                      </c:pt>
                      <c:pt idx="254">
                        <c:v>102.55016722408038</c:v>
                      </c:pt>
                      <c:pt idx="255">
                        <c:v>102.29933110367905</c:v>
                      </c:pt>
                      <c:pt idx="256">
                        <c:v>102.50836120401353</c:v>
                      </c:pt>
                      <c:pt idx="257">
                        <c:v>102.45261984392432</c:v>
                      </c:pt>
                      <c:pt idx="258">
                        <c:v>102.5362318840581</c:v>
                      </c:pt>
                      <c:pt idx="259">
                        <c:v>102.87068004459321</c:v>
                      </c:pt>
                      <c:pt idx="260">
                        <c:v>104.1527313266445</c:v>
                      </c:pt>
                      <c:pt idx="261">
                        <c:v>103.92976588628777</c:v>
                      </c:pt>
                      <c:pt idx="262">
                        <c:v>103.81828316610938</c:v>
                      </c:pt>
                      <c:pt idx="263">
                        <c:v>103.94370122631004</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8-3801-4424-8D6A-73CF653766E8}"/>
                  </c:ext>
                </c:extLst>
              </c15:ser>
            </c15:filteredLineSeries>
            <c15:filteredLineSeries>
              <c15:ser>
                <c:idx val="7"/>
                <c:order val="7"/>
                <c:tx>
                  <c:strRef>
                    <c:extLst xmlns:c15="http://schemas.microsoft.com/office/drawing/2012/chart" xmlns:c16r2="http://schemas.microsoft.com/office/drawing/2015/06/chart">
                      <c:ext xmlns:c15="http://schemas.microsoft.com/office/drawing/2012/chart" uri="{02D57815-91ED-43cb-92C2-25804820EDAC}">
                        <c15:formulaRef>
                          <c15:sqref>'Currency Chart'!$W$5</c15:sqref>
                        </c15:formulaRef>
                      </c:ext>
                    </c:extLst>
                    <c:strCache>
                      <c:ptCount val="1"/>
                      <c:pt idx="0">
                        <c:v>Euro</c:v>
                      </c:pt>
                    </c:strCache>
                  </c:strRef>
                </c:tx>
                <c:spPr>
                  <a:ln w="28575" cap="rnd">
                    <a:solidFill>
                      <a:schemeClr val="accent2">
                        <a:lumMod val="60000"/>
                      </a:schemeClr>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Chart'!$W$6:$W$291</c15:sqref>
                        </c15:formulaRef>
                      </c:ext>
                    </c:extLst>
                    <c:numCache>
                      <c:formatCode>0</c:formatCode>
                      <c:ptCount val="286"/>
                      <c:pt idx="0" formatCode="General">
                        <c:v>100</c:v>
                      </c:pt>
                      <c:pt idx="1">
                        <c:v>100.21739130434784</c:v>
                      </c:pt>
                      <c:pt idx="2">
                        <c:v>99.867149758454119</c:v>
                      </c:pt>
                      <c:pt idx="3">
                        <c:v>100.09661835748794</c:v>
                      </c:pt>
                      <c:pt idx="4">
                        <c:v>100.8937198067633</c:v>
                      </c:pt>
                      <c:pt idx="5">
                        <c:v>101.32850241545894</c:v>
                      </c:pt>
                      <c:pt idx="6">
                        <c:v>101.94444444444444</c:v>
                      </c:pt>
                      <c:pt idx="7">
                        <c:v>101.47342995169082</c:v>
                      </c:pt>
                      <c:pt idx="8">
                        <c:v>101.24396135265701</c:v>
                      </c:pt>
                      <c:pt idx="9">
                        <c:v>100.74879227053141</c:v>
                      </c:pt>
                      <c:pt idx="10">
                        <c:v>101.01449275362319</c:v>
                      </c:pt>
                      <c:pt idx="11">
                        <c:v>101.21980676328502</c:v>
                      </c:pt>
                      <c:pt idx="12">
                        <c:v>101.46135265700482</c:v>
                      </c:pt>
                      <c:pt idx="13">
                        <c:v>100.80917874396134</c:v>
                      </c:pt>
                      <c:pt idx="14">
                        <c:v>101.3526570048309</c:v>
                      </c:pt>
                      <c:pt idx="15">
                        <c:v>101.44927536231882</c:v>
                      </c:pt>
                      <c:pt idx="16">
                        <c:v>101.17149758454104</c:v>
                      </c:pt>
                      <c:pt idx="17">
                        <c:v>101.89613526570047</c:v>
                      </c:pt>
                      <c:pt idx="18">
                        <c:v>102.23429951690819</c:v>
                      </c:pt>
                      <c:pt idx="19">
                        <c:v>102.65700483091784</c:v>
                      </c:pt>
                      <c:pt idx="20">
                        <c:v>102.39130434782605</c:v>
                      </c:pt>
                      <c:pt idx="21">
                        <c:v>102.64492753623185</c:v>
                      </c:pt>
                      <c:pt idx="22">
                        <c:v>103.06763285024152</c:v>
                      </c:pt>
                      <c:pt idx="23">
                        <c:v>102.94685990338162</c:v>
                      </c:pt>
                      <c:pt idx="24">
                        <c:v>102.53623188405794</c:v>
                      </c:pt>
                      <c:pt idx="25">
                        <c:v>102.64492753623186</c:v>
                      </c:pt>
                      <c:pt idx="26">
                        <c:v>102.2222222222222</c:v>
                      </c:pt>
                      <c:pt idx="27">
                        <c:v>101.67874396135262</c:v>
                      </c:pt>
                      <c:pt idx="28">
                        <c:v>101.71497584541059</c:v>
                      </c:pt>
                      <c:pt idx="29">
                        <c:v>101.36473429951688</c:v>
                      </c:pt>
                      <c:pt idx="30">
                        <c:v>101.44927536231882</c:v>
                      </c:pt>
                      <c:pt idx="31">
                        <c:v>101.37681159420288</c:v>
                      </c:pt>
                      <c:pt idx="32">
                        <c:v>101.06280193236712</c:v>
                      </c:pt>
                      <c:pt idx="33">
                        <c:v>100.79710144927533</c:v>
                      </c:pt>
                      <c:pt idx="34">
                        <c:v>100.90579710144925</c:v>
                      </c:pt>
                      <c:pt idx="35">
                        <c:v>100.74879227053138</c:v>
                      </c:pt>
                      <c:pt idx="36">
                        <c:v>100.3381642512077</c:v>
                      </c:pt>
                      <c:pt idx="37">
                        <c:v>100.3381642512077</c:v>
                      </c:pt>
                      <c:pt idx="38">
                        <c:v>100.3381642512077</c:v>
                      </c:pt>
                      <c:pt idx="39">
                        <c:v>100.50724637681157</c:v>
                      </c:pt>
                      <c:pt idx="40">
                        <c:v>99.806763285024118</c:v>
                      </c:pt>
                      <c:pt idx="41">
                        <c:v>99.806763285024118</c:v>
                      </c:pt>
                      <c:pt idx="42">
                        <c:v>99.951690821256008</c:v>
                      </c:pt>
                      <c:pt idx="43">
                        <c:v>99.867149758454076</c:v>
                      </c:pt>
                      <c:pt idx="44">
                        <c:v>99.589371980676304</c:v>
                      </c:pt>
                      <c:pt idx="45">
                        <c:v>99.625603864734259</c:v>
                      </c:pt>
                      <c:pt idx="46">
                        <c:v>100.45893719806759</c:v>
                      </c:pt>
                      <c:pt idx="47">
                        <c:v>100.09661835748788</c:v>
                      </c:pt>
                      <c:pt idx="48">
                        <c:v>100.50724637681157</c:v>
                      </c:pt>
                      <c:pt idx="49">
                        <c:v>100.5797101449275</c:v>
                      </c:pt>
                      <c:pt idx="50">
                        <c:v>100.07246376811591</c:v>
                      </c:pt>
                      <c:pt idx="51">
                        <c:v>99.275362318840536</c:v>
                      </c:pt>
                      <c:pt idx="52">
                        <c:v>99.553140096618321</c:v>
                      </c:pt>
                      <c:pt idx="53">
                        <c:v>99.396135265700437</c:v>
                      </c:pt>
                      <c:pt idx="54">
                        <c:v>100.02415458937195</c:v>
                      </c:pt>
                      <c:pt idx="55">
                        <c:v>99.963768115941988</c:v>
                      </c:pt>
                      <c:pt idx="56">
                        <c:v>99.456521739130395</c:v>
                      </c:pt>
                      <c:pt idx="57">
                        <c:v>99.359903381642468</c:v>
                      </c:pt>
                      <c:pt idx="58">
                        <c:v>98.804347826086925</c:v>
                      </c:pt>
                      <c:pt idx="59">
                        <c:v>99.190821256038603</c:v>
                      </c:pt>
                      <c:pt idx="60">
                        <c:v>98.756038647342947</c:v>
                      </c:pt>
                      <c:pt idx="61">
                        <c:v>99.130434782608646</c:v>
                      </c:pt>
                      <c:pt idx="62">
                        <c:v>98.864734299516869</c:v>
                      </c:pt>
                      <c:pt idx="63">
                        <c:v>98.562801932367123</c:v>
                      </c:pt>
                      <c:pt idx="64">
                        <c:v>99.045893719806742</c:v>
                      </c:pt>
                      <c:pt idx="65">
                        <c:v>99.021739130434753</c:v>
                      </c:pt>
                      <c:pt idx="66">
                        <c:v>99.033816425120733</c:v>
                      </c:pt>
                      <c:pt idx="67">
                        <c:v>98.756038647342962</c:v>
                      </c:pt>
                      <c:pt idx="68">
                        <c:v>98.876811594202863</c:v>
                      </c:pt>
                      <c:pt idx="69">
                        <c:v>98.888888888888857</c:v>
                      </c:pt>
                      <c:pt idx="70">
                        <c:v>99.57729468599031</c:v>
                      </c:pt>
                      <c:pt idx="71">
                        <c:v>99.251207729468575</c:v>
                      </c:pt>
                      <c:pt idx="72">
                        <c:v>99.070048309178716</c:v>
                      </c:pt>
                      <c:pt idx="73">
                        <c:v>99.202898550724612</c:v>
                      </c:pt>
                      <c:pt idx="74">
                        <c:v>99.142512077294654</c:v>
                      </c:pt>
                      <c:pt idx="75">
                        <c:v>99.214975845410592</c:v>
                      </c:pt>
                      <c:pt idx="76">
                        <c:v>99.73429951690818</c:v>
                      </c:pt>
                      <c:pt idx="77">
                        <c:v>99.637681159420254</c:v>
                      </c:pt>
                      <c:pt idx="78">
                        <c:v>99.57729468599031</c:v>
                      </c:pt>
                      <c:pt idx="79">
                        <c:v>100.68840579710141</c:v>
                      </c:pt>
                      <c:pt idx="80">
                        <c:v>101.40096618357484</c:v>
                      </c:pt>
                      <c:pt idx="81">
                        <c:v>101.79951690821252</c:v>
                      </c:pt>
                      <c:pt idx="82">
                        <c:v>101.34057971014488</c:v>
                      </c:pt>
                      <c:pt idx="83">
                        <c:v>101.13526570048306</c:v>
                      </c:pt>
                      <c:pt idx="84">
                        <c:v>101.25603864734296</c:v>
                      </c:pt>
                      <c:pt idx="85">
                        <c:v>101.195652173913</c:v>
                      </c:pt>
                      <c:pt idx="86">
                        <c:v>101.17149758454102</c:v>
                      </c:pt>
                      <c:pt idx="87">
                        <c:v>101.25603864734296</c:v>
                      </c:pt>
                      <c:pt idx="88">
                        <c:v>101.49758454106278</c:v>
                      </c:pt>
                      <c:pt idx="89">
                        <c:v>101.8478260869565</c:v>
                      </c:pt>
                      <c:pt idx="90">
                        <c:v>101.89613526570047</c:v>
                      </c:pt>
                      <c:pt idx="91">
                        <c:v>101.76328502415457</c:v>
                      </c:pt>
                      <c:pt idx="92">
                        <c:v>101.78743961352654</c:v>
                      </c:pt>
                      <c:pt idx="93">
                        <c:v>102.12560386473429</c:v>
                      </c:pt>
                      <c:pt idx="94">
                        <c:v>102.41545893719805</c:v>
                      </c:pt>
                      <c:pt idx="95">
                        <c:v>101.95652173913042</c:v>
                      </c:pt>
                      <c:pt idx="96">
                        <c:v>101.69082125603863</c:v>
                      </c:pt>
                      <c:pt idx="97">
                        <c:v>101.81159420289852</c:v>
                      </c:pt>
                      <c:pt idx="98">
                        <c:v>102.53623188405794</c:v>
                      </c:pt>
                      <c:pt idx="99">
                        <c:v>102.01690821256035</c:v>
                      </c:pt>
                      <c:pt idx="100">
                        <c:v>102.21014492753621</c:v>
                      </c:pt>
                      <c:pt idx="101">
                        <c:v>102.27053140096615</c:v>
                      </c:pt>
                      <c:pt idx="102">
                        <c:v>102.33091787439611</c:v>
                      </c:pt>
                      <c:pt idx="103">
                        <c:v>102.49999999999997</c:v>
                      </c:pt>
                      <c:pt idx="104">
                        <c:v>102.37922705314007</c:v>
                      </c:pt>
                      <c:pt idx="105">
                        <c:v>102.5966183574879</c:v>
                      </c:pt>
                      <c:pt idx="106">
                        <c:v>102.57246376811592</c:v>
                      </c:pt>
                      <c:pt idx="107">
                        <c:v>102.31884057971013</c:v>
                      </c:pt>
                      <c:pt idx="108">
                        <c:v>102.19806763285023</c:v>
                      </c:pt>
                      <c:pt idx="109">
                        <c:v>101.95652173913042</c:v>
                      </c:pt>
                      <c:pt idx="110">
                        <c:v>101.57004830917874</c:v>
                      </c:pt>
                      <c:pt idx="111">
                        <c:v>101.72705314009663</c:v>
                      </c:pt>
                      <c:pt idx="112">
                        <c:v>101.73913043478261</c:v>
                      </c:pt>
                      <c:pt idx="113">
                        <c:v>101.79951690821255</c:v>
                      </c:pt>
                      <c:pt idx="114">
                        <c:v>102.01690821256037</c:v>
                      </c:pt>
                      <c:pt idx="115">
                        <c:v>102.04106280193236</c:v>
                      </c:pt>
                      <c:pt idx="116">
                        <c:v>102.66908212560385</c:v>
                      </c:pt>
                      <c:pt idx="117">
                        <c:v>102.8623188405797</c:v>
                      </c:pt>
                      <c:pt idx="118">
                        <c:v>103.03140096618355</c:v>
                      </c:pt>
                      <c:pt idx="119">
                        <c:v>102.86231884057969</c:v>
                      </c:pt>
                      <c:pt idx="120">
                        <c:v>102.94685990338162</c:v>
                      </c:pt>
                      <c:pt idx="121">
                        <c:v>102.39130434782606</c:v>
                      </c:pt>
                      <c:pt idx="122">
                        <c:v>102.51207729468598</c:v>
                      </c:pt>
                      <c:pt idx="123">
                        <c:v>103.1280193236715</c:v>
                      </c:pt>
                      <c:pt idx="124">
                        <c:v>103.10386473429951</c:v>
                      </c:pt>
                      <c:pt idx="125">
                        <c:v>103.41787439613525</c:v>
                      </c:pt>
                      <c:pt idx="126">
                        <c:v>103.2367149758454</c:v>
                      </c:pt>
                      <c:pt idx="127">
                        <c:v>102.81400966183573</c:v>
                      </c:pt>
                      <c:pt idx="128">
                        <c:v>102.72946859903381</c:v>
                      </c:pt>
                      <c:pt idx="129">
                        <c:v>102.57246376811594</c:v>
                      </c:pt>
                      <c:pt idx="130">
                        <c:v>102.75362318840578</c:v>
                      </c:pt>
                      <c:pt idx="131">
                        <c:v>102.37922705314008</c:v>
                      </c:pt>
                      <c:pt idx="132">
                        <c:v>102.35507246376811</c:v>
                      </c:pt>
                      <c:pt idx="133">
                        <c:v>102.25845410628018</c:v>
                      </c:pt>
                      <c:pt idx="134">
                        <c:v>102.00483091787439</c:v>
                      </c:pt>
                      <c:pt idx="135">
                        <c:v>101.69082125603863</c:v>
                      </c:pt>
                      <c:pt idx="136">
                        <c:v>101.63043478260869</c:v>
                      </c:pt>
                      <c:pt idx="137">
                        <c:v>101.72705314009661</c:v>
                      </c:pt>
                      <c:pt idx="138">
                        <c:v>101.99275362318841</c:v>
                      </c:pt>
                      <c:pt idx="139">
                        <c:v>102.19806763285023</c:v>
                      </c:pt>
                      <c:pt idx="140">
                        <c:v>102.11352657004829</c:v>
                      </c:pt>
                      <c:pt idx="141">
                        <c:v>102.21014492753622</c:v>
                      </c:pt>
                      <c:pt idx="142">
                        <c:v>102.24637681159419</c:v>
                      </c:pt>
                      <c:pt idx="143">
                        <c:v>102.29468599033814</c:v>
                      </c:pt>
                      <c:pt idx="144">
                        <c:v>102.18599033816422</c:v>
                      </c:pt>
                      <c:pt idx="145">
                        <c:v>102.63285024154585</c:v>
                      </c:pt>
                      <c:pt idx="146">
                        <c:v>102.97101449275358</c:v>
                      </c:pt>
                      <c:pt idx="147">
                        <c:v>102.97101449275358</c:v>
                      </c:pt>
                      <c:pt idx="148">
                        <c:v>102.98309178743956</c:v>
                      </c:pt>
                      <c:pt idx="149">
                        <c:v>103.30917874396131</c:v>
                      </c:pt>
                      <c:pt idx="150">
                        <c:v>102.87439613526566</c:v>
                      </c:pt>
                      <c:pt idx="151">
                        <c:v>103.06763285024151</c:v>
                      </c:pt>
                      <c:pt idx="152">
                        <c:v>103.24879227053135</c:v>
                      </c:pt>
                      <c:pt idx="153">
                        <c:v>103.35748792270526</c:v>
                      </c:pt>
                      <c:pt idx="154">
                        <c:v>104.11835748792265</c:v>
                      </c:pt>
                      <c:pt idx="155">
                        <c:v>104.25120772946856</c:v>
                      </c:pt>
                      <c:pt idx="156">
                        <c:v>104.13043478260866</c:v>
                      </c:pt>
                      <c:pt idx="157">
                        <c:v>103.90096618357484</c:v>
                      </c:pt>
                      <c:pt idx="158">
                        <c:v>104.11835748792267</c:v>
                      </c:pt>
                      <c:pt idx="159">
                        <c:v>104.48067632850238</c:v>
                      </c:pt>
                      <c:pt idx="160">
                        <c:v>104.52898550724635</c:v>
                      </c:pt>
                      <c:pt idx="161">
                        <c:v>104.37198067632846</c:v>
                      </c:pt>
                      <c:pt idx="162">
                        <c:v>104.54106280193234</c:v>
                      </c:pt>
                      <c:pt idx="163">
                        <c:v>104.73429951690819</c:v>
                      </c:pt>
                      <c:pt idx="164">
                        <c:v>104.16666666666666</c:v>
                      </c:pt>
                      <c:pt idx="165">
                        <c:v>104.13043478260867</c:v>
                      </c:pt>
                      <c:pt idx="166">
                        <c:v>104.09420289855071</c:v>
                      </c:pt>
                      <c:pt idx="167">
                        <c:v>103.99758454106278</c:v>
                      </c:pt>
                      <c:pt idx="168">
                        <c:v>103.79227053140094</c:v>
                      </c:pt>
                      <c:pt idx="169">
                        <c:v>103.63526570048306</c:v>
                      </c:pt>
                      <c:pt idx="170">
                        <c:v>103.88888888888886</c:v>
                      </c:pt>
                      <c:pt idx="171">
                        <c:v>103.65942028985503</c:v>
                      </c:pt>
                      <c:pt idx="172">
                        <c:v>104.02173913043475</c:v>
                      </c:pt>
                      <c:pt idx="173">
                        <c:v>104.14251207729467</c:v>
                      </c:pt>
                      <c:pt idx="174">
                        <c:v>104.04589371980676</c:v>
                      </c:pt>
                      <c:pt idx="175">
                        <c:v>103.3695652173913</c:v>
                      </c:pt>
                      <c:pt idx="176">
                        <c:v>104.43236714975845</c:v>
                      </c:pt>
                      <c:pt idx="177">
                        <c:v>104.04589371980677</c:v>
                      </c:pt>
                      <c:pt idx="178">
                        <c:v>104.28743961352659</c:v>
                      </c:pt>
                      <c:pt idx="179">
                        <c:v>103.98550724637681</c:v>
                      </c:pt>
                      <c:pt idx="180">
                        <c:v>104.51690821256039</c:v>
                      </c:pt>
                      <c:pt idx="181">
                        <c:v>104.39613526570049</c:v>
                      </c:pt>
                      <c:pt idx="182">
                        <c:v>104.20289855072465</c:v>
                      </c:pt>
                      <c:pt idx="183">
                        <c:v>104.15458937198071</c:v>
                      </c:pt>
                      <c:pt idx="184">
                        <c:v>105.18115942028989</c:v>
                      </c:pt>
                      <c:pt idx="185">
                        <c:v>105.45893719806766</c:v>
                      </c:pt>
                      <c:pt idx="186">
                        <c:v>105.44685990338166</c:v>
                      </c:pt>
                      <c:pt idx="187">
                        <c:v>106.20772946859906</c:v>
                      </c:pt>
                      <c:pt idx="188">
                        <c:v>106.66666666666669</c:v>
                      </c:pt>
                      <c:pt idx="189">
                        <c:v>106.69082125603866</c:v>
                      </c:pt>
                      <c:pt idx="190">
                        <c:v>106.19565217391306</c:v>
                      </c:pt>
                      <c:pt idx="191">
                        <c:v>106.96859903381646</c:v>
                      </c:pt>
                      <c:pt idx="192">
                        <c:v>107.46376811594206</c:v>
                      </c:pt>
                      <c:pt idx="193">
                        <c:v>107.35507246376815</c:v>
                      </c:pt>
                      <c:pt idx="194">
                        <c:v>107.83816425120777</c:v>
                      </c:pt>
                      <c:pt idx="195">
                        <c:v>107.74154589371985</c:v>
                      </c:pt>
                      <c:pt idx="196">
                        <c:v>106.67874396135269</c:v>
                      </c:pt>
                      <c:pt idx="197">
                        <c:v>106.94444444444449</c:v>
                      </c:pt>
                      <c:pt idx="198">
                        <c:v>106.50966183574884</c:v>
                      </c:pt>
                      <c:pt idx="199">
                        <c:v>106.67874396135271</c:v>
                      </c:pt>
                      <c:pt idx="200">
                        <c:v>106.84782608695659</c:v>
                      </c:pt>
                      <c:pt idx="201">
                        <c:v>106.71497584541069</c:v>
                      </c:pt>
                      <c:pt idx="202">
                        <c:v>106.99275362318848</c:v>
                      </c:pt>
                      <c:pt idx="203">
                        <c:v>107.17391304347834</c:v>
                      </c:pt>
                      <c:pt idx="204">
                        <c:v>106.47342995169092</c:v>
                      </c:pt>
                      <c:pt idx="205">
                        <c:v>106.93236714975853</c:v>
                      </c:pt>
                      <c:pt idx="206">
                        <c:v>106.73913043478269</c:v>
                      </c:pt>
                      <c:pt idx="207">
                        <c:v>107.01690821256048</c:v>
                      </c:pt>
                      <c:pt idx="208">
                        <c:v>107.24637681159429</c:v>
                      </c:pt>
                      <c:pt idx="209">
                        <c:v>106.9806763285025</c:v>
                      </c:pt>
                      <c:pt idx="210">
                        <c:v>106.58212560386481</c:v>
                      </c:pt>
                      <c:pt idx="211">
                        <c:v>107.42753623188413</c:v>
                      </c:pt>
                      <c:pt idx="212">
                        <c:v>107.07729468599042</c:v>
                      </c:pt>
                      <c:pt idx="213">
                        <c:v>107.00483091787449</c:v>
                      </c:pt>
                      <c:pt idx="214">
                        <c:v>106.61835748792279</c:v>
                      </c:pt>
                      <c:pt idx="215">
                        <c:v>106.59420289855082</c:v>
                      </c:pt>
                      <c:pt idx="216">
                        <c:v>106.67874396135274</c:v>
                      </c:pt>
                      <c:pt idx="217">
                        <c:v>106.5942028985508</c:v>
                      </c:pt>
                      <c:pt idx="218">
                        <c:v>106.75120772946867</c:v>
                      </c:pt>
                      <c:pt idx="219">
                        <c:v>106.38888888888897</c:v>
                      </c:pt>
                      <c:pt idx="220">
                        <c:v>106.63043478260877</c:v>
                      </c:pt>
                      <c:pt idx="221">
                        <c:v>106.2077294685991</c:v>
                      </c:pt>
                      <c:pt idx="222">
                        <c:v>106.89613526570055</c:v>
                      </c:pt>
                      <c:pt idx="223">
                        <c:v>106.98067632850248</c:v>
                      </c:pt>
                      <c:pt idx="224">
                        <c:v>106.71497584541071</c:v>
                      </c:pt>
                      <c:pt idx="225">
                        <c:v>106.92028985507253</c:v>
                      </c:pt>
                      <c:pt idx="226">
                        <c:v>106.28019323671504</c:v>
                      </c:pt>
                      <c:pt idx="227">
                        <c:v>106.61835748792276</c:v>
                      </c:pt>
                      <c:pt idx="228">
                        <c:v>106.24396135265707</c:v>
                      </c:pt>
                      <c:pt idx="229">
                        <c:v>105.51932367149765</c:v>
                      </c:pt>
                      <c:pt idx="230">
                        <c:v>105.41062801932374</c:v>
                      </c:pt>
                      <c:pt idx="231">
                        <c:v>105.77294685990346</c:v>
                      </c:pt>
                      <c:pt idx="232">
                        <c:v>105.8333333333334</c:v>
                      </c:pt>
                      <c:pt idx="233">
                        <c:v>106.60628019323678</c:v>
                      </c:pt>
                      <c:pt idx="234">
                        <c:v>106.46135265700489</c:v>
                      </c:pt>
                      <c:pt idx="235">
                        <c:v>106.75120772946866</c:v>
                      </c:pt>
                      <c:pt idx="236">
                        <c:v>106.46135265700488</c:v>
                      </c:pt>
                      <c:pt idx="237">
                        <c:v>106.61835748792276</c:v>
                      </c:pt>
                      <c:pt idx="238">
                        <c:v>106.84782608695659</c:v>
                      </c:pt>
                      <c:pt idx="239">
                        <c:v>107.4396135265701</c:v>
                      </c:pt>
                      <c:pt idx="240">
                        <c:v>108.34541062801938</c:v>
                      </c:pt>
                      <c:pt idx="241">
                        <c:v>108.34541062801938</c:v>
                      </c:pt>
                      <c:pt idx="242">
                        <c:v>107.47584541062807</c:v>
                      </c:pt>
                      <c:pt idx="243">
                        <c:v>107.13768115942034</c:v>
                      </c:pt>
                      <c:pt idx="244">
                        <c:v>106.82367149758458</c:v>
                      </c:pt>
                      <c:pt idx="245">
                        <c:v>105.55555555555561</c:v>
                      </c:pt>
                      <c:pt idx="246">
                        <c:v>105.48309178743966</c:v>
                      </c:pt>
                      <c:pt idx="247">
                        <c:v>105.54347826086962</c:v>
                      </c:pt>
                      <c:pt idx="248">
                        <c:v>105.7971014492754</c:v>
                      </c:pt>
                      <c:pt idx="249">
                        <c:v>105.70048309178748</c:v>
                      </c:pt>
                      <c:pt idx="250">
                        <c:v>105.6763285024155</c:v>
                      </c:pt>
                      <c:pt idx="251">
                        <c:v>106.37681159420293</c:v>
                      </c:pt>
                      <c:pt idx="252">
                        <c:v>106.79951690821258</c:v>
                      </c:pt>
                      <c:pt idx="253">
                        <c:v>106.31642512077296</c:v>
                      </c:pt>
                      <c:pt idx="254">
                        <c:v>106.17149758454109</c:v>
                      </c:pt>
                      <c:pt idx="255">
                        <c:v>106.29227053140099</c:v>
                      </c:pt>
                      <c:pt idx="256">
                        <c:v>106.6425120772947</c:v>
                      </c:pt>
                      <c:pt idx="257">
                        <c:v>106.76328502415458</c:v>
                      </c:pt>
                      <c:pt idx="258">
                        <c:v>106.61835748792269</c:v>
                      </c:pt>
                      <c:pt idx="259">
                        <c:v>106.75120772946859</c:v>
                      </c:pt>
                      <c:pt idx="260">
                        <c:v>107.88647342995168</c:v>
                      </c:pt>
                      <c:pt idx="261">
                        <c:v>107.14975845410628</c:v>
                      </c:pt>
                      <c:pt idx="262">
                        <c:v>107.60869565217391</c:v>
                      </c:pt>
                      <c:pt idx="263">
                        <c:v>108.34541062801931</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9-3801-4424-8D6A-73CF653766E8}"/>
                  </c:ext>
                </c:extLst>
              </c15:ser>
            </c15:filteredLineSeries>
            <c15:filteredLineSeries>
              <c15:ser>
                <c:idx val="8"/>
                <c:order val="8"/>
                <c:tx>
                  <c:strRef>
                    <c:extLst xmlns:c15="http://schemas.microsoft.com/office/drawing/2012/chart" xmlns:c16r2="http://schemas.microsoft.com/office/drawing/2015/06/chart">
                      <c:ext xmlns:c15="http://schemas.microsoft.com/office/drawing/2012/chart" uri="{02D57815-91ED-43cb-92C2-25804820EDAC}">
                        <c15:formulaRef>
                          <c15:sqref>'Currency Chart'!$X$5</c15:sqref>
                        </c15:formulaRef>
                      </c:ext>
                    </c:extLst>
                    <c:strCache>
                      <c:ptCount val="1"/>
                      <c:pt idx="0">
                        <c:v>Yen</c:v>
                      </c:pt>
                    </c:strCache>
                  </c:strRef>
                </c:tx>
                <c:spPr>
                  <a:ln w="28575" cap="rnd">
                    <a:solidFill>
                      <a:schemeClr val="accent3">
                        <a:lumMod val="60000"/>
                      </a:schemeClr>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Chart'!$X$6:$X$291</c15:sqref>
                        </c15:formulaRef>
                      </c:ext>
                    </c:extLst>
                    <c:numCache>
                      <c:formatCode>0</c:formatCode>
                      <c:ptCount val="286"/>
                      <c:pt idx="0" formatCode="General">
                        <c:v>100</c:v>
                      </c:pt>
                      <c:pt idx="1">
                        <c:v>100.15950459748547</c:v>
                      </c:pt>
                      <c:pt idx="2">
                        <c:v>100.0844436104335</c:v>
                      </c:pt>
                      <c:pt idx="3">
                        <c:v>100.38468755864142</c:v>
                      </c:pt>
                      <c:pt idx="4">
                        <c:v>101.30418465002816</c:v>
                      </c:pt>
                      <c:pt idx="5">
                        <c:v>101.65134171514357</c:v>
                      </c:pt>
                      <c:pt idx="6">
                        <c:v>102.13923813098144</c:v>
                      </c:pt>
                      <c:pt idx="7">
                        <c:v>101.76393319572153</c:v>
                      </c:pt>
                      <c:pt idx="8">
                        <c:v>101.68887220866957</c:v>
                      </c:pt>
                      <c:pt idx="9">
                        <c:v>101.79208106586604</c:v>
                      </c:pt>
                      <c:pt idx="10">
                        <c:v>102.27059485832241</c:v>
                      </c:pt>
                      <c:pt idx="11">
                        <c:v>102.38318633890039</c:v>
                      </c:pt>
                      <c:pt idx="12">
                        <c:v>102.25182961155942</c:v>
                      </c:pt>
                      <c:pt idx="13">
                        <c:v>102.11109026083696</c:v>
                      </c:pt>
                      <c:pt idx="14">
                        <c:v>102.15800337774445</c:v>
                      </c:pt>
                      <c:pt idx="15">
                        <c:v>102.14862075436297</c:v>
                      </c:pt>
                      <c:pt idx="16">
                        <c:v>102.11109026083696</c:v>
                      </c:pt>
                      <c:pt idx="17">
                        <c:v>101.85775942953653</c:v>
                      </c:pt>
                      <c:pt idx="18">
                        <c:v>102.00788140364048</c:v>
                      </c:pt>
                      <c:pt idx="19">
                        <c:v>102.43009945580788</c:v>
                      </c:pt>
                      <c:pt idx="20">
                        <c:v>102.87108275473825</c:v>
                      </c:pt>
                      <c:pt idx="21">
                        <c:v>103.00243948207923</c:v>
                      </c:pt>
                      <c:pt idx="22">
                        <c:v>103.52786639144308</c:v>
                      </c:pt>
                      <c:pt idx="23">
                        <c:v>103.865640833177</c:v>
                      </c:pt>
                      <c:pt idx="24">
                        <c:v>103.77181459936202</c:v>
                      </c:pt>
                      <c:pt idx="25">
                        <c:v>103.87502345655849</c:v>
                      </c:pt>
                      <c:pt idx="26">
                        <c:v>103.36836179395763</c:v>
                      </c:pt>
                      <c:pt idx="27">
                        <c:v>102.96490898855323</c:v>
                      </c:pt>
                      <c:pt idx="28">
                        <c:v>103.05873522236823</c:v>
                      </c:pt>
                      <c:pt idx="29">
                        <c:v>102.49577781947836</c:v>
                      </c:pt>
                      <c:pt idx="30">
                        <c:v>102.88046537811978</c:v>
                      </c:pt>
                      <c:pt idx="31">
                        <c:v>102.61775192343785</c:v>
                      </c:pt>
                      <c:pt idx="32">
                        <c:v>102.31750797522992</c:v>
                      </c:pt>
                      <c:pt idx="33">
                        <c:v>102.18615124788896</c:v>
                      </c:pt>
                      <c:pt idx="34">
                        <c:v>102.02664665040349</c:v>
                      </c:pt>
                      <c:pt idx="35">
                        <c:v>102.05479452054799</c:v>
                      </c:pt>
                      <c:pt idx="36">
                        <c:v>101.47307187089515</c:v>
                      </c:pt>
                      <c:pt idx="37">
                        <c:v>101.40739350722467</c:v>
                      </c:pt>
                      <c:pt idx="38">
                        <c:v>101.37924563708017</c:v>
                      </c:pt>
                      <c:pt idx="39">
                        <c:v>101.29480202664669</c:v>
                      </c:pt>
                      <c:pt idx="40">
                        <c:v>101.24788890973922</c:v>
                      </c:pt>
                      <c:pt idx="41">
                        <c:v>101.24788890973922</c:v>
                      </c:pt>
                      <c:pt idx="42">
                        <c:v>101.40739350722468</c:v>
                      </c:pt>
                      <c:pt idx="43">
                        <c:v>101.97035091011455</c:v>
                      </c:pt>
                      <c:pt idx="44">
                        <c:v>101.88590729968107</c:v>
                      </c:pt>
                      <c:pt idx="45">
                        <c:v>102.18615124788897</c:v>
                      </c:pt>
                      <c:pt idx="46">
                        <c:v>102.52392568962289</c:v>
                      </c:pt>
                      <c:pt idx="47">
                        <c:v>102.32689059861144</c:v>
                      </c:pt>
                      <c:pt idx="48">
                        <c:v>102.58022142991187</c:v>
                      </c:pt>
                      <c:pt idx="49">
                        <c:v>102.43948207918942</c:v>
                      </c:pt>
                      <c:pt idx="50">
                        <c:v>102.34565584537444</c:v>
                      </c:pt>
                      <c:pt idx="51">
                        <c:v>101.89528992306256</c:v>
                      </c:pt>
                      <c:pt idx="52">
                        <c:v>102.06417714392953</c:v>
                      </c:pt>
                      <c:pt idx="53">
                        <c:v>101.90467254644406</c:v>
                      </c:pt>
                      <c:pt idx="54">
                        <c:v>102.88046537811981</c:v>
                      </c:pt>
                      <c:pt idx="55">
                        <c:v>102.69281291048985</c:v>
                      </c:pt>
                      <c:pt idx="56">
                        <c:v>102.58960405329337</c:v>
                      </c:pt>
                      <c:pt idx="57">
                        <c:v>102.4488647025709</c:v>
                      </c:pt>
                      <c:pt idx="58">
                        <c:v>102.15800337774448</c:v>
                      </c:pt>
                      <c:pt idx="59">
                        <c:v>102.4676299493339</c:v>
                      </c:pt>
                      <c:pt idx="60">
                        <c:v>102.03602927378502</c:v>
                      </c:pt>
                      <c:pt idx="61">
                        <c:v>102.21429911803348</c:v>
                      </c:pt>
                      <c:pt idx="62">
                        <c:v>102.02664665040353</c:v>
                      </c:pt>
                      <c:pt idx="63">
                        <c:v>102.04541189716655</c:v>
                      </c:pt>
                      <c:pt idx="64">
                        <c:v>102.40195158566344</c:v>
                      </c:pt>
                      <c:pt idx="65">
                        <c:v>103.02120472884228</c:v>
                      </c:pt>
                      <c:pt idx="66">
                        <c:v>103.03058735222378</c:v>
                      </c:pt>
                      <c:pt idx="67">
                        <c:v>102.77725652092336</c:v>
                      </c:pt>
                      <c:pt idx="68">
                        <c:v>102.69281291048988</c:v>
                      </c:pt>
                      <c:pt idx="69">
                        <c:v>102.77725652092336</c:v>
                      </c:pt>
                      <c:pt idx="70">
                        <c:v>103.47157065115417</c:v>
                      </c:pt>
                      <c:pt idx="71">
                        <c:v>102.73034340401587</c:v>
                      </c:pt>
                      <c:pt idx="72">
                        <c:v>102.49577781947843</c:v>
                      </c:pt>
                      <c:pt idx="73">
                        <c:v>102.73034340401587</c:v>
                      </c:pt>
                      <c:pt idx="74">
                        <c:v>102.84293488459383</c:v>
                      </c:pt>
                      <c:pt idx="75">
                        <c:v>102.56145618314892</c:v>
                      </c:pt>
                      <c:pt idx="76">
                        <c:v>102.88046537811984</c:v>
                      </c:pt>
                      <c:pt idx="77">
                        <c:v>103.26515293676124</c:v>
                      </c:pt>
                      <c:pt idx="78">
                        <c:v>103.27453556014274</c:v>
                      </c:pt>
                      <c:pt idx="79">
                        <c:v>103.8562582097956</c:v>
                      </c:pt>
                      <c:pt idx="80">
                        <c:v>103.39650966410223</c:v>
                      </c:pt>
                      <c:pt idx="81">
                        <c:v>103.38712704072073</c:v>
                      </c:pt>
                      <c:pt idx="82">
                        <c:v>103.49033589791721</c:v>
                      </c:pt>
                      <c:pt idx="83">
                        <c:v>103.80934509288811</c:v>
                      </c:pt>
                      <c:pt idx="84">
                        <c:v>104.09082379433303</c:v>
                      </c:pt>
                      <c:pt idx="85">
                        <c:v>104.01576280728106</c:v>
                      </c:pt>
                      <c:pt idx="86">
                        <c:v>103.93131919684758</c:v>
                      </c:pt>
                      <c:pt idx="87">
                        <c:v>103.79057984612513</c:v>
                      </c:pt>
                      <c:pt idx="88">
                        <c:v>103.67798836554715</c:v>
                      </c:pt>
                      <c:pt idx="89">
                        <c:v>104.240945768437</c:v>
                      </c:pt>
                      <c:pt idx="90">
                        <c:v>104.61625070369692</c:v>
                      </c:pt>
                      <c:pt idx="91">
                        <c:v>104.18465002814804</c:v>
                      </c:pt>
                      <c:pt idx="92">
                        <c:v>104.10958904109606</c:v>
                      </c:pt>
                      <c:pt idx="93">
                        <c:v>103.77181459936214</c:v>
                      </c:pt>
                      <c:pt idx="94">
                        <c:v>103.81872771626963</c:v>
                      </c:pt>
                      <c:pt idx="95">
                        <c:v>103.01182210546085</c:v>
                      </c:pt>
                      <c:pt idx="96">
                        <c:v>103.34021392381325</c:v>
                      </c:pt>
                      <c:pt idx="97">
                        <c:v>103.5372490148247</c:v>
                      </c:pt>
                      <c:pt idx="98">
                        <c:v>103.78119722274363</c:v>
                      </c:pt>
                      <c:pt idx="99">
                        <c:v>103.19947457309078</c:v>
                      </c:pt>
                      <c:pt idx="100">
                        <c:v>103.07750046913132</c:v>
                      </c:pt>
                      <c:pt idx="101">
                        <c:v>103.28391818352426</c:v>
                      </c:pt>
                      <c:pt idx="102">
                        <c:v>102.68343028710842</c:v>
                      </c:pt>
                      <c:pt idx="103">
                        <c:v>103.05873522236833</c:v>
                      </c:pt>
                      <c:pt idx="104">
                        <c:v>103.46218802777271</c:v>
                      </c:pt>
                      <c:pt idx="105">
                        <c:v>103.34021392381325</c:v>
                      </c:pt>
                      <c:pt idx="106">
                        <c:v>103.71551885907314</c:v>
                      </c:pt>
                      <c:pt idx="107">
                        <c:v>103.5278663914432</c:v>
                      </c:pt>
                      <c:pt idx="108">
                        <c:v>102.98367423531634</c:v>
                      </c:pt>
                      <c:pt idx="109">
                        <c:v>103.1150309626573</c:v>
                      </c:pt>
                      <c:pt idx="110">
                        <c:v>102.7021955338714</c:v>
                      </c:pt>
                      <c:pt idx="111">
                        <c:v>102.92737849502734</c:v>
                      </c:pt>
                      <c:pt idx="112">
                        <c:v>102.53330831300445</c:v>
                      </c:pt>
                      <c:pt idx="113">
                        <c:v>102.30812535184852</c:v>
                      </c:pt>
                      <c:pt idx="114">
                        <c:v>102.7115781572529</c:v>
                      </c:pt>
                      <c:pt idx="115">
                        <c:v>102.96490898855333</c:v>
                      </c:pt>
                      <c:pt idx="116">
                        <c:v>103.4434227810097</c:v>
                      </c:pt>
                      <c:pt idx="117">
                        <c:v>103.47157065115418</c:v>
                      </c:pt>
                      <c:pt idx="118">
                        <c:v>103.73428410583611</c:v>
                      </c:pt>
                      <c:pt idx="119">
                        <c:v>103.58416213173216</c:v>
                      </c:pt>
                      <c:pt idx="120">
                        <c:v>103.56539688496915</c:v>
                      </c:pt>
                      <c:pt idx="121">
                        <c:v>102.80540439106785</c:v>
                      </c:pt>
                      <c:pt idx="122">
                        <c:v>102.48639519609695</c:v>
                      </c:pt>
                      <c:pt idx="123">
                        <c:v>102.80540439106785</c:v>
                      </c:pt>
                      <c:pt idx="124">
                        <c:v>102.9649089885533</c:v>
                      </c:pt>
                      <c:pt idx="125">
                        <c:v>102.94614374179031</c:v>
                      </c:pt>
                      <c:pt idx="126">
                        <c:v>103.02120472884228</c:v>
                      </c:pt>
                      <c:pt idx="127">
                        <c:v>102.90861324826432</c:v>
                      </c:pt>
                      <c:pt idx="128">
                        <c:v>102.85231750797533</c:v>
                      </c:pt>
                      <c:pt idx="129">
                        <c:v>103.19947457309071</c:v>
                      </c:pt>
                      <c:pt idx="130">
                        <c:v>103.2745355601427</c:v>
                      </c:pt>
                      <c:pt idx="131">
                        <c:v>103.03996997560526</c:v>
                      </c:pt>
                      <c:pt idx="132">
                        <c:v>103.13379620942025</c:v>
                      </c:pt>
                      <c:pt idx="133">
                        <c:v>103.22762244323523</c:v>
                      </c:pt>
                      <c:pt idx="134">
                        <c:v>103.19947457309074</c:v>
                      </c:pt>
                      <c:pt idx="135">
                        <c:v>103.13379620942027</c:v>
                      </c:pt>
                      <c:pt idx="136">
                        <c:v>102.95552636517181</c:v>
                      </c:pt>
                      <c:pt idx="137">
                        <c:v>103.04935259898679</c:v>
                      </c:pt>
                      <c:pt idx="138">
                        <c:v>103.46218802777267</c:v>
                      </c:pt>
                      <c:pt idx="139">
                        <c:v>103.42465753424668</c:v>
                      </c:pt>
                      <c:pt idx="140">
                        <c:v>102.92737849502731</c:v>
                      </c:pt>
                      <c:pt idx="141">
                        <c:v>103.14317883280175</c:v>
                      </c:pt>
                      <c:pt idx="142">
                        <c:v>103.19009194970924</c:v>
                      </c:pt>
                      <c:pt idx="143">
                        <c:v>102.89923062488282</c:v>
                      </c:pt>
                      <c:pt idx="144">
                        <c:v>102.6083693000564</c:v>
                      </c:pt>
                      <c:pt idx="145">
                        <c:v>102.92737849502731</c:v>
                      </c:pt>
                      <c:pt idx="146">
                        <c:v>103.17132670294625</c:v>
                      </c:pt>
                      <c:pt idx="147">
                        <c:v>102.6365171702009</c:v>
                      </c:pt>
                      <c:pt idx="148">
                        <c:v>102.46762994933395</c:v>
                      </c:pt>
                      <c:pt idx="149">
                        <c:v>103.00243948207932</c:v>
                      </c:pt>
                      <c:pt idx="150">
                        <c:v>103.49033589791719</c:v>
                      </c:pt>
                      <c:pt idx="151">
                        <c:v>103.88440607994008</c:v>
                      </c:pt>
                      <c:pt idx="152">
                        <c:v>104.14711953462202</c:v>
                      </c:pt>
                      <c:pt idx="153">
                        <c:v>104.61625070369689</c:v>
                      </c:pt>
                      <c:pt idx="154">
                        <c:v>105.04785137924577</c:v>
                      </c:pt>
                      <c:pt idx="155">
                        <c:v>104.40045036592244</c:v>
                      </c:pt>
                      <c:pt idx="156">
                        <c:v>104.1940326515295</c:v>
                      </c:pt>
                      <c:pt idx="157">
                        <c:v>104.02514543066255</c:v>
                      </c:pt>
                      <c:pt idx="158">
                        <c:v>104.5693375867894</c:v>
                      </c:pt>
                      <c:pt idx="159">
                        <c:v>104.53180709326341</c:v>
                      </c:pt>
                      <c:pt idx="160">
                        <c:v>104.70069431413037</c:v>
                      </c:pt>
                      <c:pt idx="161">
                        <c:v>105.29179958716472</c:v>
                      </c:pt>
                      <c:pt idx="162">
                        <c:v>106.30512291236646</c:v>
                      </c:pt>
                      <c:pt idx="163">
                        <c:v>106.5866016138114</c:v>
                      </c:pt>
                      <c:pt idx="164">
                        <c:v>106.239444548696</c:v>
                      </c:pt>
                      <c:pt idx="165">
                        <c:v>106.64289735410038</c:v>
                      </c:pt>
                      <c:pt idx="166">
                        <c:v>107.14955901670125</c:v>
                      </c:pt>
                      <c:pt idx="167">
                        <c:v>107.25276787389771</c:v>
                      </c:pt>
                      <c:pt idx="168">
                        <c:v>107.29968099080519</c:v>
                      </c:pt>
                      <c:pt idx="169">
                        <c:v>107.20585475699022</c:v>
                      </c:pt>
                      <c:pt idx="170">
                        <c:v>106.93375867892679</c:v>
                      </c:pt>
                      <c:pt idx="171">
                        <c:v>106.45524488647041</c:v>
                      </c:pt>
                      <c:pt idx="172">
                        <c:v>106.68042784762635</c:v>
                      </c:pt>
                      <c:pt idx="173">
                        <c:v>107.09326327641223</c:v>
                      </c:pt>
                      <c:pt idx="174">
                        <c:v>106.78363670482281</c:v>
                      </c:pt>
                      <c:pt idx="175">
                        <c:v>106.54907112028538</c:v>
                      </c:pt>
                      <c:pt idx="176">
                        <c:v>106.96190654907126</c:v>
                      </c:pt>
                      <c:pt idx="177">
                        <c:v>106.94314130230828</c:v>
                      </c:pt>
                      <c:pt idx="178">
                        <c:v>106.91499343216378</c:v>
                      </c:pt>
                      <c:pt idx="179">
                        <c:v>106.94314130230828</c:v>
                      </c:pt>
                      <c:pt idx="180">
                        <c:v>106.72734096453384</c:v>
                      </c:pt>
                      <c:pt idx="181">
                        <c:v>106.39894914618144</c:v>
                      </c:pt>
                      <c:pt idx="182">
                        <c:v>106.23006192531447</c:v>
                      </c:pt>
                      <c:pt idx="183">
                        <c:v>105.88290486019906</c:v>
                      </c:pt>
                      <c:pt idx="184">
                        <c:v>106.86808031525629</c:v>
                      </c:pt>
                      <c:pt idx="185">
                        <c:v>107.00881966597875</c:v>
                      </c:pt>
                      <c:pt idx="186">
                        <c:v>106.8211671983488</c:v>
                      </c:pt>
                      <c:pt idx="187">
                        <c:v>107.07449802964923</c:v>
                      </c:pt>
                      <c:pt idx="188">
                        <c:v>107.73128166635405</c:v>
                      </c:pt>
                      <c:pt idx="189">
                        <c:v>107.02758491274173</c:v>
                      </c:pt>
                      <c:pt idx="190">
                        <c:v>107.1870895102272</c:v>
                      </c:pt>
                      <c:pt idx="191">
                        <c:v>106.94314130230828</c:v>
                      </c:pt>
                      <c:pt idx="192">
                        <c:v>107.76881215988006</c:v>
                      </c:pt>
                      <c:pt idx="193">
                        <c:v>108.01276036779899</c:v>
                      </c:pt>
                      <c:pt idx="194">
                        <c:v>108.28485644586242</c:v>
                      </c:pt>
                      <c:pt idx="195">
                        <c:v>108.22856070557343</c:v>
                      </c:pt>
                      <c:pt idx="196">
                        <c:v>106.31450553574794</c:v>
                      </c:pt>
                      <c:pt idx="197">
                        <c:v>106.51154062675938</c:v>
                      </c:pt>
                      <c:pt idx="198">
                        <c:v>106.14561831488099</c:v>
                      </c:pt>
                      <c:pt idx="199">
                        <c:v>105.78907862638408</c:v>
                      </c:pt>
                      <c:pt idx="200">
                        <c:v>106.16438356164399</c:v>
                      </c:pt>
                      <c:pt idx="201">
                        <c:v>105.83599174329157</c:v>
                      </c:pt>
                      <c:pt idx="202">
                        <c:v>106.45524488647041</c:v>
                      </c:pt>
                      <c:pt idx="203">
                        <c:v>106.55845374366687</c:v>
                      </c:pt>
                      <c:pt idx="204">
                        <c:v>106.64289735410036</c:v>
                      </c:pt>
                      <c:pt idx="205">
                        <c:v>106.43647963970741</c:v>
                      </c:pt>
                      <c:pt idx="206">
                        <c:v>106.38018389941843</c:v>
                      </c:pt>
                      <c:pt idx="207">
                        <c:v>106.54907112028538</c:v>
                      </c:pt>
                      <c:pt idx="208">
                        <c:v>106.68981047100783</c:v>
                      </c:pt>
                      <c:pt idx="209">
                        <c:v>106.98067179583425</c:v>
                      </c:pt>
                      <c:pt idx="210">
                        <c:v>106.68042784762635</c:v>
                      </c:pt>
                      <c:pt idx="211">
                        <c:v>106.65227997748185</c:v>
                      </c:pt>
                      <c:pt idx="212">
                        <c:v>106.56783636704837</c:v>
                      </c:pt>
                      <c:pt idx="213">
                        <c:v>107.03696753612323</c:v>
                      </c:pt>
                      <c:pt idx="214">
                        <c:v>107.06511540626772</c:v>
                      </c:pt>
                      <c:pt idx="215">
                        <c:v>107.30906361418667</c:v>
                      </c:pt>
                      <c:pt idx="216">
                        <c:v>107.34659410771265</c:v>
                      </c:pt>
                      <c:pt idx="217">
                        <c:v>107.74066428973553</c:v>
                      </c:pt>
                      <c:pt idx="218">
                        <c:v>107.72189904297254</c:v>
                      </c:pt>
                      <c:pt idx="219">
                        <c:v>107.84387314693201</c:v>
                      </c:pt>
                      <c:pt idx="220">
                        <c:v>107.95646462750999</c:v>
                      </c:pt>
                      <c:pt idx="221">
                        <c:v>107.97522987427297</c:v>
                      </c:pt>
                      <c:pt idx="222">
                        <c:v>108.20041283542891</c:v>
                      </c:pt>
                      <c:pt idx="223">
                        <c:v>108.96978795271171</c:v>
                      </c:pt>
                      <c:pt idx="224">
                        <c:v>108.93225745918572</c:v>
                      </c:pt>
                      <c:pt idx="225">
                        <c:v>108.66954400450379</c:v>
                      </c:pt>
                      <c:pt idx="226">
                        <c:v>108.41621317320336</c:v>
                      </c:pt>
                      <c:pt idx="227">
                        <c:v>108.08782135485096</c:v>
                      </c:pt>
                      <c:pt idx="228">
                        <c:v>108.16288234190293</c:v>
                      </c:pt>
                      <c:pt idx="229">
                        <c:v>107.55301182210559</c:v>
                      </c:pt>
                      <c:pt idx="230">
                        <c:v>107.12141114655671</c:v>
                      </c:pt>
                      <c:pt idx="231">
                        <c:v>107.1495590167012</c:v>
                      </c:pt>
                      <c:pt idx="232">
                        <c:v>107.52486395196109</c:v>
                      </c:pt>
                      <c:pt idx="233">
                        <c:v>107.53424657534259</c:v>
                      </c:pt>
                      <c:pt idx="234">
                        <c:v>107.26215049727915</c:v>
                      </c:pt>
                      <c:pt idx="235">
                        <c:v>107.04635015950473</c:v>
                      </c:pt>
                      <c:pt idx="236">
                        <c:v>106.66166260086334</c:v>
                      </c:pt>
                      <c:pt idx="237">
                        <c:v>106.88684556201927</c:v>
                      </c:pt>
                      <c:pt idx="238">
                        <c:v>106.83054982173029</c:v>
                      </c:pt>
                      <c:pt idx="239">
                        <c:v>107.55301182210559</c:v>
                      </c:pt>
                      <c:pt idx="240">
                        <c:v>108.21917808219192</c:v>
                      </c:pt>
                      <c:pt idx="241">
                        <c:v>108.12535184837694</c:v>
                      </c:pt>
                      <c:pt idx="242">
                        <c:v>107.99399512103598</c:v>
                      </c:pt>
                      <c:pt idx="243">
                        <c:v>107.62807280915759</c:v>
                      </c:pt>
                      <c:pt idx="244">
                        <c:v>107.37474197785716</c:v>
                      </c:pt>
                      <c:pt idx="245">
                        <c:v>107.85325577031352</c:v>
                      </c:pt>
                      <c:pt idx="246">
                        <c:v>108.08782135485096</c:v>
                      </c:pt>
                      <c:pt idx="247">
                        <c:v>108.01276036779898</c:v>
                      </c:pt>
                      <c:pt idx="248">
                        <c:v>108.40683054982188</c:v>
                      </c:pt>
                      <c:pt idx="249">
                        <c:v>108.35991743291437</c:v>
                      </c:pt>
                      <c:pt idx="250">
                        <c:v>108.83843122537075</c:v>
                      </c:pt>
                      <c:pt idx="251">
                        <c:v>108.2848564458624</c:v>
                      </c:pt>
                      <c:pt idx="252">
                        <c:v>108.39744792644038</c:v>
                      </c:pt>
                      <c:pt idx="253">
                        <c:v>108.48189153687386</c:v>
                      </c:pt>
                      <c:pt idx="254">
                        <c:v>108.33176956276989</c:v>
                      </c:pt>
                      <c:pt idx="255">
                        <c:v>107.83449052355053</c:v>
                      </c:pt>
                      <c:pt idx="256">
                        <c:v>107.90016888722101</c:v>
                      </c:pt>
                      <c:pt idx="257">
                        <c:v>107.65622067930208</c:v>
                      </c:pt>
                      <c:pt idx="258">
                        <c:v>107.975229874273</c:v>
                      </c:pt>
                      <c:pt idx="259">
                        <c:v>107.87202101707652</c:v>
                      </c:pt>
                      <c:pt idx="260">
                        <c:v>108.38806530305889</c:v>
                      </c:pt>
                      <c:pt idx="261">
                        <c:v>108.42559579658489</c:v>
                      </c:pt>
                      <c:pt idx="262">
                        <c:v>107.89078626383953</c:v>
                      </c:pt>
                      <c:pt idx="263">
                        <c:v>108.12535184837697</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A-3801-4424-8D6A-73CF653766E8}"/>
                  </c:ext>
                </c:extLst>
              </c15:ser>
            </c15:filteredLineSeries>
            <c15:filteredLineSeries>
              <c15:ser>
                <c:idx val="9"/>
                <c:order val="9"/>
                <c:tx>
                  <c:strRef>
                    <c:extLst xmlns:c15="http://schemas.microsoft.com/office/drawing/2012/chart" xmlns:c16r2="http://schemas.microsoft.com/office/drawing/2015/06/chart">
                      <c:ext xmlns:c15="http://schemas.microsoft.com/office/drawing/2012/chart" uri="{02D57815-91ED-43cb-92C2-25804820EDAC}">
                        <c15:formulaRef>
                          <c15:sqref>'Currency Chart'!$Y$5</c15:sqref>
                        </c15:formulaRef>
                      </c:ext>
                    </c:extLst>
                    <c:strCache>
                      <c:ptCount val="1"/>
                      <c:pt idx="0">
                        <c:v>Swiss Franc</c:v>
                      </c:pt>
                    </c:strCache>
                  </c:strRef>
                </c:tx>
                <c:spPr>
                  <a:ln w="28575" cap="rnd">
                    <a:solidFill>
                      <a:schemeClr val="accent4">
                        <a:lumMod val="60000"/>
                      </a:schemeClr>
                    </a:solidFill>
                    <a:round/>
                  </a:ln>
                  <a:effectLst/>
                </c:spPr>
                <c:marker>
                  <c:symbol val="none"/>
                </c:marker>
                <c:cat>
                  <c:numRef>
                    <c:extLst xmlns:c15="http://schemas.microsoft.com/office/drawing/2012/chart" xmlns:c16r2="http://schemas.microsoft.com/office/drawing/2015/06/chart">
                      <c:ext xmlns:c15="http://schemas.microsoft.com/office/drawing/2012/chart" uri="{02D57815-91ED-43cb-92C2-25804820EDAC}">
                        <c15:formulaRef>
                          <c15:sqref>'Currency Chart'!$O$6:$O$291</c15:sqref>
                        </c15:formulaRef>
                      </c:ext>
                    </c:extLst>
                    <c:numCache>
                      <c:formatCode>m/d/yyyy</c:formatCode>
                      <c:ptCount val="286"/>
                      <c:pt idx="0">
                        <c:v>44253</c:v>
                      </c:pt>
                      <c:pt idx="1">
                        <c:v>44256</c:v>
                      </c:pt>
                      <c:pt idx="2">
                        <c:v>44257</c:v>
                      </c:pt>
                      <c:pt idx="3">
                        <c:v>44258</c:v>
                      </c:pt>
                      <c:pt idx="4">
                        <c:v>44259</c:v>
                      </c:pt>
                      <c:pt idx="5">
                        <c:v>44260</c:v>
                      </c:pt>
                      <c:pt idx="6">
                        <c:v>44263</c:v>
                      </c:pt>
                      <c:pt idx="7">
                        <c:v>44264</c:v>
                      </c:pt>
                      <c:pt idx="8">
                        <c:v>44265</c:v>
                      </c:pt>
                      <c:pt idx="9">
                        <c:v>44266</c:v>
                      </c:pt>
                      <c:pt idx="10">
                        <c:v>44267</c:v>
                      </c:pt>
                      <c:pt idx="11">
                        <c:v>44270</c:v>
                      </c:pt>
                      <c:pt idx="12">
                        <c:v>44271</c:v>
                      </c:pt>
                      <c:pt idx="13">
                        <c:v>44272</c:v>
                      </c:pt>
                      <c:pt idx="14">
                        <c:v>44273</c:v>
                      </c:pt>
                      <c:pt idx="15">
                        <c:v>44274</c:v>
                      </c:pt>
                      <c:pt idx="16">
                        <c:v>44277</c:v>
                      </c:pt>
                      <c:pt idx="17">
                        <c:v>44278</c:v>
                      </c:pt>
                      <c:pt idx="18">
                        <c:v>44279</c:v>
                      </c:pt>
                      <c:pt idx="19">
                        <c:v>44280</c:v>
                      </c:pt>
                      <c:pt idx="20">
                        <c:v>44281</c:v>
                      </c:pt>
                      <c:pt idx="21">
                        <c:v>44284</c:v>
                      </c:pt>
                      <c:pt idx="22">
                        <c:v>44285</c:v>
                      </c:pt>
                      <c:pt idx="23">
                        <c:v>44286</c:v>
                      </c:pt>
                      <c:pt idx="24">
                        <c:v>44287</c:v>
                      </c:pt>
                      <c:pt idx="25">
                        <c:v>44288</c:v>
                      </c:pt>
                      <c:pt idx="26">
                        <c:v>44291</c:v>
                      </c:pt>
                      <c:pt idx="27">
                        <c:v>44292</c:v>
                      </c:pt>
                      <c:pt idx="28">
                        <c:v>44293</c:v>
                      </c:pt>
                      <c:pt idx="29">
                        <c:v>44294</c:v>
                      </c:pt>
                      <c:pt idx="30">
                        <c:v>44295</c:v>
                      </c:pt>
                      <c:pt idx="31">
                        <c:v>44298</c:v>
                      </c:pt>
                      <c:pt idx="32">
                        <c:v>44299</c:v>
                      </c:pt>
                      <c:pt idx="33">
                        <c:v>44300</c:v>
                      </c:pt>
                      <c:pt idx="34">
                        <c:v>44301</c:v>
                      </c:pt>
                      <c:pt idx="35">
                        <c:v>44302</c:v>
                      </c:pt>
                      <c:pt idx="36">
                        <c:v>44305</c:v>
                      </c:pt>
                      <c:pt idx="37">
                        <c:v>44306</c:v>
                      </c:pt>
                      <c:pt idx="38">
                        <c:v>44307</c:v>
                      </c:pt>
                      <c:pt idx="39">
                        <c:v>44308</c:v>
                      </c:pt>
                      <c:pt idx="40">
                        <c:v>44309</c:v>
                      </c:pt>
                      <c:pt idx="41">
                        <c:v>44311</c:v>
                      </c:pt>
                      <c:pt idx="42">
                        <c:v>44312</c:v>
                      </c:pt>
                      <c:pt idx="43">
                        <c:v>44313</c:v>
                      </c:pt>
                      <c:pt idx="44">
                        <c:v>44314</c:v>
                      </c:pt>
                      <c:pt idx="45">
                        <c:v>44315</c:v>
                      </c:pt>
                      <c:pt idx="46">
                        <c:v>44316</c:v>
                      </c:pt>
                      <c:pt idx="47">
                        <c:v>44319</c:v>
                      </c:pt>
                      <c:pt idx="48">
                        <c:v>44320</c:v>
                      </c:pt>
                      <c:pt idx="49">
                        <c:v>44321</c:v>
                      </c:pt>
                      <c:pt idx="50">
                        <c:v>44322</c:v>
                      </c:pt>
                      <c:pt idx="51">
                        <c:v>44323</c:v>
                      </c:pt>
                      <c:pt idx="52">
                        <c:v>44326</c:v>
                      </c:pt>
                      <c:pt idx="53">
                        <c:v>44327</c:v>
                      </c:pt>
                      <c:pt idx="54">
                        <c:v>44328</c:v>
                      </c:pt>
                      <c:pt idx="55">
                        <c:v>44329</c:v>
                      </c:pt>
                      <c:pt idx="56">
                        <c:v>44330</c:v>
                      </c:pt>
                      <c:pt idx="57">
                        <c:v>44333</c:v>
                      </c:pt>
                      <c:pt idx="58">
                        <c:v>44334</c:v>
                      </c:pt>
                      <c:pt idx="59">
                        <c:v>44335</c:v>
                      </c:pt>
                      <c:pt idx="60">
                        <c:v>44336</c:v>
                      </c:pt>
                      <c:pt idx="61">
                        <c:v>44337</c:v>
                      </c:pt>
                      <c:pt idx="62">
                        <c:v>44340</c:v>
                      </c:pt>
                      <c:pt idx="63">
                        <c:v>44341</c:v>
                      </c:pt>
                      <c:pt idx="64">
                        <c:v>44342</c:v>
                      </c:pt>
                      <c:pt idx="65">
                        <c:v>44343</c:v>
                      </c:pt>
                      <c:pt idx="66">
                        <c:v>44344</c:v>
                      </c:pt>
                      <c:pt idx="67">
                        <c:v>44347</c:v>
                      </c:pt>
                      <c:pt idx="68">
                        <c:v>44348</c:v>
                      </c:pt>
                      <c:pt idx="69">
                        <c:v>44349</c:v>
                      </c:pt>
                      <c:pt idx="70">
                        <c:v>44350</c:v>
                      </c:pt>
                      <c:pt idx="71">
                        <c:v>44351</c:v>
                      </c:pt>
                      <c:pt idx="72">
                        <c:v>44354</c:v>
                      </c:pt>
                      <c:pt idx="73">
                        <c:v>44355</c:v>
                      </c:pt>
                      <c:pt idx="74">
                        <c:v>44356</c:v>
                      </c:pt>
                      <c:pt idx="75">
                        <c:v>44357</c:v>
                      </c:pt>
                      <c:pt idx="76">
                        <c:v>44358</c:v>
                      </c:pt>
                      <c:pt idx="77">
                        <c:v>44361</c:v>
                      </c:pt>
                      <c:pt idx="78">
                        <c:v>44362</c:v>
                      </c:pt>
                      <c:pt idx="79">
                        <c:v>44363</c:v>
                      </c:pt>
                      <c:pt idx="80">
                        <c:v>44364</c:v>
                      </c:pt>
                      <c:pt idx="81">
                        <c:v>44365</c:v>
                      </c:pt>
                      <c:pt idx="82">
                        <c:v>44368</c:v>
                      </c:pt>
                      <c:pt idx="83">
                        <c:v>44369</c:v>
                      </c:pt>
                      <c:pt idx="84">
                        <c:v>44370</c:v>
                      </c:pt>
                      <c:pt idx="85">
                        <c:v>44371</c:v>
                      </c:pt>
                      <c:pt idx="86">
                        <c:v>44372</c:v>
                      </c:pt>
                      <c:pt idx="87">
                        <c:v>44375</c:v>
                      </c:pt>
                      <c:pt idx="88">
                        <c:v>44376</c:v>
                      </c:pt>
                      <c:pt idx="89">
                        <c:v>44377</c:v>
                      </c:pt>
                      <c:pt idx="90">
                        <c:v>44378</c:v>
                      </c:pt>
                      <c:pt idx="91">
                        <c:v>44379</c:v>
                      </c:pt>
                      <c:pt idx="92">
                        <c:v>44382</c:v>
                      </c:pt>
                      <c:pt idx="93">
                        <c:v>44383</c:v>
                      </c:pt>
                      <c:pt idx="94">
                        <c:v>44384</c:v>
                      </c:pt>
                      <c:pt idx="95">
                        <c:v>44385</c:v>
                      </c:pt>
                      <c:pt idx="96">
                        <c:v>44386</c:v>
                      </c:pt>
                      <c:pt idx="97">
                        <c:v>44389</c:v>
                      </c:pt>
                      <c:pt idx="98">
                        <c:v>44390</c:v>
                      </c:pt>
                      <c:pt idx="99">
                        <c:v>44391</c:v>
                      </c:pt>
                      <c:pt idx="100">
                        <c:v>44392</c:v>
                      </c:pt>
                      <c:pt idx="101">
                        <c:v>44393</c:v>
                      </c:pt>
                      <c:pt idx="102">
                        <c:v>44396</c:v>
                      </c:pt>
                      <c:pt idx="103">
                        <c:v>44397</c:v>
                      </c:pt>
                      <c:pt idx="104">
                        <c:v>44398</c:v>
                      </c:pt>
                      <c:pt idx="105">
                        <c:v>44399</c:v>
                      </c:pt>
                      <c:pt idx="106">
                        <c:v>44400</c:v>
                      </c:pt>
                      <c:pt idx="107">
                        <c:v>44403</c:v>
                      </c:pt>
                      <c:pt idx="108">
                        <c:v>44404</c:v>
                      </c:pt>
                      <c:pt idx="109">
                        <c:v>44405</c:v>
                      </c:pt>
                      <c:pt idx="110">
                        <c:v>44406</c:v>
                      </c:pt>
                      <c:pt idx="111">
                        <c:v>44407</c:v>
                      </c:pt>
                      <c:pt idx="112">
                        <c:v>44410</c:v>
                      </c:pt>
                      <c:pt idx="113">
                        <c:v>44411</c:v>
                      </c:pt>
                      <c:pt idx="114">
                        <c:v>44412</c:v>
                      </c:pt>
                      <c:pt idx="115">
                        <c:v>44413</c:v>
                      </c:pt>
                      <c:pt idx="116">
                        <c:v>44414</c:v>
                      </c:pt>
                      <c:pt idx="117">
                        <c:v>44417</c:v>
                      </c:pt>
                      <c:pt idx="118">
                        <c:v>44418</c:v>
                      </c:pt>
                      <c:pt idx="119">
                        <c:v>44419</c:v>
                      </c:pt>
                      <c:pt idx="120">
                        <c:v>44420</c:v>
                      </c:pt>
                      <c:pt idx="121">
                        <c:v>44421</c:v>
                      </c:pt>
                      <c:pt idx="122">
                        <c:v>44424</c:v>
                      </c:pt>
                      <c:pt idx="123">
                        <c:v>44425</c:v>
                      </c:pt>
                      <c:pt idx="124">
                        <c:v>44426</c:v>
                      </c:pt>
                      <c:pt idx="125">
                        <c:v>44427</c:v>
                      </c:pt>
                      <c:pt idx="126">
                        <c:v>44428</c:v>
                      </c:pt>
                      <c:pt idx="127">
                        <c:v>44431</c:v>
                      </c:pt>
                      <c:pt idx="128">
                        <c:v>44432</c:v>
                      </c:pt>
                      <c:pt idx="129">
                        <c:v>44433</c:v>
                      </c:pt>
                      <c:pt idx="130">
                        <c:v>44434</c:v>
                      </c:pt>
                      <c:pt idx="131">
                        <c:v>44435</c:v>
                      </c:pt>
                      <c:pt idx="132">
                        <c:v>44438</c:v>
                      </c:pt>
                      <c:pt idx="133">
                        <c:v>44439</c:v>
                      </c:pt>
                      <c:pt idx="134">
                        <c:v>44440</c:v>
                      </c:pt>
                      <c:pt idx="135">
                        <c:v>44441</c:v>
                      </c:pt>
                      <c:pt idx="136">
                        <c:v>44442</c:v>
                      </c:pt>
                      <c:pt idx="137">
                        <c:v>44445</c:v>
                      </c:pt>
                      <c:pt idx="138">
                        <c:v>44446</c:v>
                      </c:pt>
                      <c:pt idx="139">
                        <c:v>44447</c:v>
                      </c:pt>
                      <c:pt idx="140">
                        <c:v>44448</c:v>
                      </c:pt>
                      <c:pt idx="141">
                        <c:v>44449</c:v>
                      </c:pt>
                      <c:pt idx="142">
                        <c:v>44452</c:v>
                      </c:pt>
                      <c:pt idx="143">
                        <c:v>44453</c:v>
                      </c:pt>
                      <c:pt idx="144">
                        <c:v>44454</c:v>
                      </c:pt>
                      <c:pt idx="145">
                        <c:v>44455</c:v>
                      </c:pt>
                      <c:pt idx="146">
                        <c:v>44456</c:v>
                      </c:pt>
                      <c:pt idx="147">
                        <c:v>44459</c:v>
                      </c:pt>
                      <c:pt idx="148">
                        <c:v>44460</c:v>
                      </c:pt>
                      <c:pt idx="149">
                        <c:v>44461</c:v>
                      </c:pt>
                      <c:pt idx="150">
                        <c:v>44462</c:v>
                      </c:pt>
                      <c:pt idx="151">
                        <c:v>44463</c:v>
                      </c:pt>
                      <c:pt idx="152">
                        <c:v>44466</c:v>
                      </c:pt>
                      <c:pt idx="153">
                        <c:v>44467</c:v>
                      </c:pt>
                      <c:pt idx="154">
                        <c:v>44468</c:v>
                      </c:pt>
                      <c:pt idx="155">
                        <c:v>44469</c:v>
                      </c:pt>
                      <c:pt idx="156">
                        <c:v>44470</c:v>
                      </c:pt>
                      <c:pt idx="157">
                        <c:v>44473</c:v>
                      </c:pt>
                      <c:pt idx="158">
                        <c:v>44474</c:v>
                      </c:pt>
                      <c:pt idx="159">
                        <c:v>44475</c:v>
                      </c:pt>
                      <c:pt idx="160">
                        <c:v>44476</c:v>
                      </c:pt>
                      <c:pt idx="161">
                        <c:v>44477</c:v>
                      </c:pt>
                      <c:pt idx="162">
                        <c:v>44480</c:v>
                      </c:pt>
                      <c:pt idx="163">
                        <c:v>44481</c:v>
                      </c:pt>
                      <c:pt idx="164">
                        <c:v>44482</c:v>
                      </c:pt>
                      <c:pt idx="165">
                        <c:v>44483</c:v>
                      </c:pt>
                      <c:pt idx="166">
                        <c:v>44484</c:v>
                      </c:pt>
                      <c:pt idx="167">
                        <c:v>44487</c:v>
                      </c:pt>
                      <c:pt idx="168">
                        <c:v>44488</c:v>
                      </c:pt>
                      <c:pt idx="169">
                        <c:v>44489</c:v>
                      </c:pt>
                      <c:pt idx="170">
                        <c:v>44490</c:v>
                      </c:pt>
                      <c:pt idx="171">
                        <c:v>44491</c:v>
                      </c:pt>
                      <c:pt idx="172">
                        <c:v>44494</c:v>
                      </c:pt>
                      <c:pt idx="173">
                        <c:v>44495</c:v>
                      </c:pt>
                      <c:pt idx="174">
                        <c:v>44496</c:v>
                      </c:pt>
                      <c:pt idx="175">
                        <c:v>44497</c:v>
                      </c:pt>
                      <c:pt idx="176">
                        <c:v>44498</c:v>
                      </c:pt>
                      <c:pt idx="177">
                        <c:v>44501</c:v>
                      </c:pt>
                      <c:pt idx="178">
                        <c:v>44502</c:v>
                      </c:pt>
                      <c:pt idx="179">
                        <c:v>44503</c:v>
                      </c:pt>
                      <c:pt idx="180">
                        <c:v>44504</c:v>
                      </c:pt>
                      <c:pt idx="181">
                        <c:v>44505</c:v>
                      </c:pt>
                      <c:pt idx="182">
                        <c:v>44508</c:v>
                      </c:pt>
                      <c:pt idx="183">
                        <c:v>44509</c:v>
                      </c:pt>
                      <c:pt idx="184">
                        <c:v>44510</c:v>
                      </c:pt>
                      <c:pt idx="185">
                        <c:v>44511</c:v>
                      </c:pt>
                      <c:pt idx="186">
                        <c:v>44512</c:v>
                      </c:pt>
                      <c:pt idx="187">
                        <c:v>44515</c:v>
                      </c:pt>
                      <c:pt idx="188">
                        <c:v>44516</c:v>
                      </c:pt>
                      <c:pt idx="189">
                        <c:v>44517</c:v>
                      </c:pt>
                      <c:pt idx="190">
                        <c:v>44518</c:v>
                      </c:pt>
                      <c:pt idx="191">
                        <c:v>44519</c:v>
                      </c:pt>
                      <c:pt idx="192">
                        <c:v>44522</c:v>
                      </c:pt>
                      <c:pt idx="193">
                        <c:v>44523</c:v>
                      </c:pt>
                      <c:pt idx="194">
                        <c:v>44524</c:v>
                      </c:pt>
                      <c:pt idx="195">
                        <c:v>44525</c:v>
                      </c:pt>
                      <c:pt idx="196">
                        <c:v>44526</c:v>
                      </c:pt>
                      <c:pt idx="197">
                        <c:v>44529</c:v>
                      </c:pt>
                      <c:pt idx="198">
                        <c:v>44530</c:v>
                      </c:pt>
                      <c:pt idx="199">
                        <c:v>44531</c:v>
                      </c:pt>
                      <c:pt idx="200">
                        <c:v>44532</c:v>
                      </c:pt>
                      <c:pt idx="201">
                        <c:v>44533</c:v>
                      </c:pt>
                      <c:pt idx="202">
                        <c:v>44536</c:v>
                      </c:pt>
                      <c:pt idx="203">
                        <c:v>44537</c:v>
                      </c:pt>
                      <c:pt idx="204">
                        <c:v>44538</c:v>
                      </c:pt>
                      <c:pt idx="205">
                        <c:v>44539</c:v>
                      </c:pt>
                      <c:pt idx="206">
                        <c:v>44540</c:v>
                      </c:pt>
                      <c:pt idx="207">
                        <c:v>44543</c:v>
                      </c:pt>
                      <c:pt idx="208">
                        <c:v>44544</c:v>
                      </c:pt>
                      <c:pt idx="209">
                        <c:v>44545</c:v>
                      </c:pt>
                      <c:pt idx="210">
                        <c:v>44546</c:v>
                      </c:pt>
                      <c:pt idx="211">
                        <c:v>44547</c:v>
                      </c:pt>
                      <c:pt idx="212">
                        <c:v>44550</c:v>
                      </c:pt>
                      <c:pt idx="213">
                        <c:v>44551</c:v>
                      </c:pt>
                      <c:pt idx="214">
                        <c:v>44552</c:v>
                      </c:pt>
                      <c:pt idx="215">
                        <c:v>44553</c:v>
                      </c:pt>
                      <c:pt idx="216">
                        <c:v>44554</c:v>
                      </c:pt>
                      <c:pt idx="217">
                        <c:v>44557</c:v>
                      </c:pt>
                      <c:pt idx="218">
                        <c:v>44558</c:v>
                      </c:pt>
                      <c:pt idx="219">
                        <c:v>44559</c:v>
                      </c:pt>
                      <c:pt idx="220">
                        <c:v>44560</c:v>
                      </c:pt>
                      <c:pt idx="221">
                        <c:v>44561</c:v>
                      </c:pt>
                      <c:pt idx="222">
                        <c:v>44564</c:v>
                      </c:pt>
                      <c:pt idx="223">
                        <c:v>44565</c:v>
                      </c:pt>
                      <c:pt idx="224">
                        <c:v>44566</c:v>
                      </c:pt>
                      <c:pt idx="225">
                        <c:v>44567</c:v>
                      </c:pt>
                      <c:pt idx="226">
                        <c:v>44568</c:v>
                      </c:pt>
                      <c:pt idx="227">
                        <c:v>44571</c:v>
                      </c:pt>
                      <c:pt idx="228">
                        <c:v>44572</c:v>
                      </c:pt>
                      <c:pt idx="229">
                        <c:v>44573</c:v>
                      </c:pt>
                      <c:pt idx="230">
                        <c:v>44574</c:v>
                      </c:pt>
                      <c:pt idx="231">
                        <c:v>44575</c:v>
                      </c:pt>
                      <c:pt idx="232">
                        <c:v>44578</c:v>
                      </c:pt>
                      <c:pt idx="233">
                        <c:v>44579</c:v>
                      </c:pt>
                      <c:pt idx="234">
                        <c:v>44580</c:v>
                      </c:pt>
                      <c:pt idx="235">
                        <c:v>44581</c:v>
                      </c:pt>
                      <c:pt idx="236">
                        <c:v>44582</c:v>
                      </c:pt>
                      <c:pt idx="237">
                        <c:v>44585</c:v>
                      </c:pt>
                      <c:pt idx="238">
                        <c:v>44586</c:v>
                      </c:pt>
                      <c:pt idx="239">
                        <c:v>44587</c:v>
                      </c:pt>
                      <c:pt idx="240">
                        <c:v>44588</c:v>
                      </c:pt>
                      <c:pt idx="241">
                        <c:v>44589</c:v>
                      </c:pt>
                      <c:pt idx="242">
                        <c:v>44592</c:v>
                      </c:pt>
                      <c:pt idx="243">
                        <c:v>44593</c:v>
                      </c:pt>
                      <c:pt idx="244">
                        <c:v>44594</c:v>
                      </c:pt>
                      <c:pt idx="245">
                        <c:v>44595</c:v>
                      </c:pt>
                      <c:pt idx="246">
                        <c:v>44596</c:v>
                      </c:pt>
                      <c:pt idx="247">
                        <c:v>44599</c:v>
                      </c:pt>
                      <c:pt idx="248">
                        <c:v>44600</c:v>
                      </c:pt>
                      <c:pt idx="249">
                        <c:v>44601</c:v>
                      </c:pt>
                      <c:pt idx="250">
                        <c:v>44602</c:v>
                      </c:pt>
                      <c:pt idx="251">
                        <c:v>44603</c:v>
                      </c:pt>
                      <c:pt idx="252">
                        <c:v>44606</c:v>
                      </c:pt>
                      <c:pt idx="253">
                        <c:v>44607</c:v>
                      </c:pt>
                      <c:pt idx="254">
                        <c:v>44608</c:v>
                      </c:pt>
                      <c:pt idx="255">
                        <c:v>44609</c:v>
                      </c:pt>
                      <c:pt idx="256">
                        <c:v>44610</c:v>
                      </c:pt>
                      <c:pt idx="257">
                        <c:v>44613</c:v>
                      </c:pt>
                      <c:pt idx="258">
                        <c:v>44614</c:v>
                      </c:pt>
                      <c:pt idx="259">
                        <c:v>44615</c:v>
                      </c:pt>
                      <c:pt idx="260">
                        <c:v>44616</c:v>
                      </c:pt>
                      <c:pt idx="261">
                        <c:v>44617</c:v>
                      </c:pt>
                      <c:pt idx="262">
                        <c:v>44620</c:v>
                      </c:pt>
                      <c:pt idx="263">
                        <c:v>44589</c:v>
                      </c:pt>
                      <c:pt idx="264">
                        <c:v>44621</c:v>
                      </c:pt>
                    </c:numCache>
                  </c:numRef>
                </c:cat>
                <c:val>
                  <c:numRef>
                    <c:extLst xmlns:c15="http://schemas.microsoft.com/office/drawing/2012/chart" xmlns:c16r2="http://schemas.microsoft.com/office/drawing/2015/06/chart">
                      <c:ext xmlns:c15="http://schemas.microsoft.com/office/drawing/2012/chart" uri="{02D57815-91ED-43cb-92C2-25804820EDAC}">
                        <c15:formulaRef>
                          <c15:sqref>'Currency Chart'!$Y$6:$Y$291</c15:sqref>
                        </c15:formulaRef>
                      </c:ext>
                    </c:extLst>
                    <c:numCache>
                      <c:formatCode>0</c:formatCode>
                      <c:ptCount val="286"/>
                      <c:pt idx="0" formatCode="General">
                        <c:v>100</c:v>
                      </c:pt>
                      <c:pt idx="1">
                        <c:v>100.72671217793436</c:v>
                      </c:pt>
                      <c:pt idx="2">
                        <c:v>100.70469059678484</c:v>
                      </c:pt>
                      <c:pt idx="3">
                        <c:v>101.26624091609777</c:v>
                      </c:pt>
                      <c:pt idx="4">
                        <c:v>102.23519048667694</c:v>
                      </c:pt>
                      <c:pt idx="5">
                        <c:v>102.49944946047125</c:v>
                      </c:pt>
                      <c:pt idx="6">
                        <c:v>103.116053732658</c:v>
                      </c:pt>
                      <c:pt idx="7">
                        <c:v>102.1250825809293</c:v>
                      </c:pt>
                      <c:pt idx="8">
                        <c:v>102.34529839242455</c:v>
                      </c:pt>
                      <c:pt idx="9">
                        <c:v>101.76172649196209</c:v>
                      </c:pt>
                      <c:pt idx="10">
                        <c:v>102.36731997357408</c:v>
                      </c:pt>
                      <c:pt idx="11">
                        <c:v>102.092050209205</c:v>
                      </c:pt>
                      <c:pt idx="12">
                        <c:v>101.79475886368638</c:v>
                      </c:pt>
                      <c:pt idx="13">
                        <c:v>101.56353226161634</c:v>
                      </c:pt>
                      <c:pt idx="14">
                        <c:v>102.0590178374807</c:v>
                      </c:pt>
                      <c:pt idx="15">
                        <c:v>102.31226602070026</c:v>
                      </c:pt>
                      <c:pt idx="16">
                        <c:v>101.62959700506494</c:v>
                      </c:pt>
                      <c:pt idx="17">
                        <c:v>102.81876238713936</c:v>
                      </c:pt>
                      <c:pt idx="18">
                        <c:v>103.00594582691032</c:v>
                      </c:pt>
                      <c:pt idx="19">
                        <c:v>103.50143140277466</c:v>
                      </c:pt>
                      <c:pt idx="20">
                        <c:v>103.38031270645226</c:v>
                      </c:pt>
                      <c:pt idx="21">
                        <c:v>103.39132349702702</c:v>
                      </c:pt>
                      <c:pt idx="22">
                        <c:v>103.72164721426991</c:v>
                      </c:pt>
                      <c:pt idx="23">
                        <c:v>103.87579828231661</c:v>
                      </c:pt>
                      <c:pt idx="24">
                        <c:v>103.72164721426992</c:v>
                      </c:pt>
                      <c:pt idx="25">
                        <c:v>103.73265800484471</c:v>
                      </c:pt>
                      <c:pt idx="26">
                        <c:v>103.1050429420832</c:v>
                      </c:pt>
                      <c:pt idx="27">
                        <c:v>102.48843866989645</c:v>
                      </c:pt>
                      <c:pt idx="28">
                        <c:v>102.33428760184977</c:v>
                      </c:pt>
                      <c:pt idx="29">
                        <c:v>101.8167804448359</c:v>
                      </c:pt>
                      <c:pt idx="30">
                        <c:v>101.82779123541066</c:v>
                      </c:pt>
                      <c:pt idx="31">
                        <c:v>101.56353226161634</c:v>
                      </c:pt>
                      <c:pt idx="32">
                        <c:v>101.38735961242013</c:v>
                      </c:pt>
                      <c:pt idx="33">
                        <c:v>101.56353226161636</c:v>
                      </c:pt>
                      <c:pt idx="34">
                        <c:v>101.58555384276588</c:v>
                      </c:pt>
                      <c:pt idx="35">
                        <c:v>101.29927328782205</c:v>
                      </c:pt>
                      <c:pt idx="36">
                        <c:v>100.74873375908388</c:v>
                      </c:pt>
                      <c:pt idx="37">
                        <c:v>100.83682008368197</c:v>
                      </c:pt>
                      <c:pt idx="38">
                        <c:v>100.95793878000437</c:v>
                      </c:pt>
                      <c:pt idx="39">
                        <c:v>100.92490640828007</c:v>
                      </c:pt>
                      <c:pt idx="40">
                        <c:v>100.57256110988764</c:v>
                      </c:pt>
                      <c:pt idx="41">
                        <c:v>100.57256110988764</c:v>
                      </c:pt>
                      <c:pt idx="42">
                        <c:v>100.62761506276148</c:v>
                      </c:pt>
                      <c:pt idx="43">
                        <c:v>100.57256110988766</c:v>
                      </c:pt>
                      <c:pt idx="44">
                        <c:v>100.13212948689713</c:v>
                      </c:pt>
                      <c:pt idx="45">
                        <c:v>100.01101079057473</c:v>
                      </c:pt>
                      <c:pt idx="46">
                        <c:v>100.5615503193129</c:v>
                      </c:pt>
                      <c:pt idx="47">
                        <c:v>100.29729134551859</c:v>
                      </c:pt>
                      <c:pt idx="48">
                        <c:v>100.58357190046242</c:v>
                      </c:pt>
                      <c:pt idx="49">
                        <c:v>100.50649636643907</c:v>
                      </c:pt>
                      <c:pt idx="50">
                        <c:v>99.867870513102801</c:v>
                      </c:pt>
                      <c:pt idx="51">
                        <c:v>99.207223078617005</c:v>
                      </c:pt>
                      <c:pt idx="52">
                        <c:v>99.218233869191778</c:v>
                      </c:pt>
                      <c:pt idx="53">
                        <c:v>99.504514424135607</c:v>
                      </c:pt>
                      <c:pt idx="54">
                        <c:v>100.09909711517284</c:v>
                      </c:pt>
                      <c:pt idx="55">
                        <c:v>99.746751816780417</c:v>
                      </c:pt>
                      <c:pt idx="56">
                        <c:v>99.218233869191778</c:v>
                      </c:pt>
                      <c:pt idx="57">
                        <c:v>99.449460471261801</c:v>
                      </c:pt>
                      <c:pt idx="58">
                        <c:v>98.832856199075053</c:v>
                      </c:pt>
                      <c:pt idx="59">
                        <c:v>99.515525214710394</c:v>
                      </c:pt>
                      <c:pt idx="60">
                        <c:v>98.777802246201247</c:v>
                      </c:pt>
                      <c:pt idx="61">
                        <c:v>98.832856199075067</c:v>
                      </c:pt>
                      <c:pt idx="62">
                        <c:v>98.755780665051731</c:v>
                      </c:pt>
                      <c:pt idx="63">
                        <c:v>98.579608015855513</c:v>
                      </c:pt>
                      <c:pt idx="64">
                        <c:v>98.865888570799356</c:v>
                      </c:pt>
                      <c:pt idx="65">
                        <c:v>98.744769874476958</c:v>
                      </c:pt>
                      <c:pt idx="66">
                        <c:v>99.064082801145105</c:v>
                      </c:pt>
                      <c:pt idx="67">
                        <c:v>99.009028848271285</c:v>
                      </c:pt>
                      <c:pt idx="68">
                        <c:v>98.744769874476972</c:v>
                      </c:pt>
                      <c:pt idx="69">
                        <c:v>98.832856199075067</c:v>
                      </c:pt>
                      <c:pt idx="70">
                        <c:v>99.471482052411346</c:v>
                      </c:pt>
                      <c:pt idx="71">
                        <c:v>99.009028848271285</c:v>
                      </c:pt>
                      <c:pt idx="72">
                        <c:v>98.810834617925551</c:v>
                      </c:pt>
                      <c:pt idx="73">
                        <c:v>98.722748293327442</c:v>
                      </c:pt>
                      <c:pt idx="74">
                        <c:v>98.612640387579802</c:v>
                      </c:pt>
                      <c:pt idx="75">
                        <c:v>98.469500110107887</c:v>
                      </c:pt>
                      <c:pt idx="76">
                        <c:v>98.86588857079937</c:v>
                      </c:pt>
                      <c:pt idx="77">
                        <c:v>99.075093591719877</c:v>
                      </c:pt>
                      <c:pt idx="78">
                        <c:v>98.86588857079937</c:v>
                      </c:pt>
                      <c:pt idx="79">
                        <c:v>100.03303237172427</c:v>
                      </c:pt>
                      <c:pt idx="80">
                        <c:v>101.00198194230344</c:v>
                      </c:pt>
                      <c:pt idx="81">
                        <c:v>101.56353226161637</c:v>
                      </c:pt>
                      <c:pt idx="82">
                        <c:v>101.05703589517726</c:v>
                      </c:pt>
                      <c:pt idx="83">
                        <c:v>101.05703589517726</c:v>
                      </c:pt>
                      <c:pt idx="84">
                        <c:v>101.15613301035013</c:v>
                      </c:pt>
                      <c:pt idx="85">
                        <c:v>101.02400352345298</c:v>
                      </c:pt>
                      <c:pt idx="86">
                        <c:v>101.02400352345298</c:v>
                      </c:pt>
                      <c:pt idx="87">
                        <c:v>101.22219775379872</c:v>
                      </c:pt>
                      <c:pt idx="88">
                        <c:v>101.36533803127065</c:v>
                      </c:pt>
                      <c:pt idx="89">
                        <c:v>101.83880202598549</c:v>
                      </c:pt>
                      <c:pt idx="90">
                        <c:v>101.87183439770976</c:v>
                      </c:pt>
                      <c:pt idx="91">
                        <c:v>101.36533803127064</c:v>
                      </c:pt>
                      <c:pt idx="92">
                        <c:v>101.50847830874258</c:v>
                      </c:pt>
                      <c:pt idx="93">
                        <c:v>101.75071570138736</c:v>
                      </c:pt>
                      <c:pt idx="94">
                        <c:v>101.88284518828452</c:v>
                      </c:pt>
                      <c:pt idx="95">
                        <c:v>100.80378771195772</c:v>
                      </c:pt>
                      <c:pt idx="96">
                        <c:v>100.61660427218673</c:v>
                      </c:pt>
                      <c:pt idx="97">
                        <c:v>100.73772296850913</c:v>
                      </c:pt>
                      <c:pt idx="98">
                        <c:v>101.12310063862584</c:v>
                      </c:pt>
                      <c:pt idx="99">
                        <c:v>100.73772296850913</c:v>
                      </c:pt>
                      <c:pt idx="100">
                        <c:v>101.03501431402772</c:v>
                      </c:pt>
                      <c:pt idx="101">
                        <c:v>101.23320854437345</c:v>
                      </c:pt>
                      <c:pt idx="102">
                        <c:v>101.06804668575201</c:v>
                      </c:pt>
                      <c:pt idx="103">
                        <c:v>101.48645672759299</c:v>
                      </c:pt>
                      <c:pt idx="104">
                        <c:v>101.02400352345295</c:v>
                      </c:pt>
                      <c:pt idx="105">
                        <c:v>101.16714380092486</c:v>
                      </c:pt>
                      <c:pt idx="106">
                        <c:v>101.18916538207439</c:v>
                      </c:pt>
                      <c:pt idx="107">
                        <c:v>100.84783087425673</c:v>
                      </c:pt>
                      <c:pt idx="108">
                        <c:v>100.67165822506051</c:v>
                      </c:pt>
                      <c:pt idx="109">
                        <c:v>100.18718343977093</c:v>
                      </c:pt>
                      <c:pt idx="110">
                        <c:v>99.779784188504692</c:v>
                      </c:pt>
                      <c:pt idx="111">
                        <c:v>99.691697863906583</c:v>
                      </c:pt>
                      <c:pt idx="112">
                        <c:v>99.691697863906583</c:v>
                      </c:pt>
                      <c:pt idx="113">
                        <c:v>99.493503633560849</c:v>
                      </c:pt>
                      <c:pt idx="114">
                        <c:v>99.845848931953284</c:v>
                      </c:pt>
                      <c:pt idx="115">
                        <c:v>99.911913675401863</c:v>
                      </c:pt>
                      <c:pt idx="116">
                        <c:v>100.68266901563528</c:v>
                      </c:pt>
                      <c:pt idx="117">
                        <c:v>101.35432724069585</c:v>
                      </c:pt>
                      <c:pt idx="118">
                        <c:v>101.58555384276589</c:v>
                      </c:pt>
                      <c:pt idx="119">
                        <c:v>101.49746751816778</c:v>
                      </c:pt>
                      <c:pt idx="120">
                        <c:v>101.65161858621447</c:v>
                      </c:pt>
                      <c:pt idx="121">
                        <c:v>100.79277692138294</c:v>
                      </c:pt>
                      <c:pt idx="122">
                        <c:v>100.41841004184099</c:v>
                      </c:pt>
                      <c:pt idx="123">
                        <c:v>100.6826690156353</c:v>
                      </c:pt>
                      <c:pt idx="124">
                        <c:v>100.9469279894296</c:v>
                      </c:pt>
                      <c:pt idx="125">
                        <c:v>101.1561330103501</c:v>
                      </c:pt>
                      <c:pt idx="126">
                        <c:v>100.9799603611539</c:v>
                      </c:pt>
                      <c:pt idx="127">
                        <c:v>100.4404316229905</c:v>
                      </c:pt>
                      <c:pt idx="128">
                        <c:v>100.4404316229905</c:v>
                      </c:pt>
                      <c:pt idx="129">
                        <c:v>100.59458269103717</c:v>
                      </c:pt>
                      <c:pt idx="130">
                        <c:v>101.03501431402771</c:v>
                      </c:pt>
                      <c:pt idx="131">
                        <c:v>100.3193129266681</c:v>
                      </c:pt>
                      <c:pt idx="132">
                        <c:v>100.94692798942961</c:v>
                      </c:pt>
                      <c:pt idx="133">
                        <c:v>100.74873375908388</c:v>
                      </c:pt>
                      <c:pt idx="134">
                        <c:v>100.74873375908388</c:v>
                      </c:pt>
                      <c:pt idx="135">
                        <c:v>100.64963664391101</c:v>
                      </c:pt>
                      <c:pt idx="136">
                        <c:v>100.58357190046242</c:v>
                      </c:pt>
                      <c:pt idx="137">
                        <c:v>100.72671217793433</c:v>
                      </c:pt>
                      <c:pt idx="138">
                        <c:v>101.2442193349482</c:v>
                      </c:pt>
                      <c:pt idx="139">
                        <c:v>101.51948909931728</c:v>
                      </c:pt>
                      <c:pt idx="140">
                        <c:v>100.94692798942958</c:v>
                      </c:pt>
                      <c:pt idx="141">
                        <c:v>101.03501431402771</c:v>
                      </c:pt>
                      <c:pt idx="142">
                        <c:v>101.53049988989207</c:v>
                      </c:pt>
                      <c:pt idx="143">
                        <c:v>101.32129486897156</c:v>
                      </c:pt>
                      <c:pt idx="144">
                        <c:v>101.25523012552297</c:v>
                      </c:pt>
                      <c:pt idx="145">
                        <c:v>102.12508258092927</c:v>
                      </c:pt>
                      <c:pt idx="146">
                        <c:v>102.65360052851791</c:v>
                      </c:pt>
                      <c:pt idx="147">
                        <c:v>102.13609337150403</c:v>
                      </c:pt>
                      <c:pt idx="148">
                        <c:v>101.66262937678923</c:v>
                      </c:pt>
                      <c:pt idx="149">
                        <c:v>101.97093151288261</c:v>
                      </c:pt>
                      <c:pt idx="150">
                        <c:v>101.73970491081258</c:v>
                      </c:pt>
                      <c:pt idx="151">
                        <c:v>101.72869412023782</c:v>
                      </c:pt>
                      <c:pt idx="152">
                        <c:v>101.91587756000878</c:v>
                      </c:pt>
                      <c:pt idx="153">
                        <c:v>102.31226602070026</c:v>
                      </c:pt>
                      <c:pt idx="154">
                        <c:v>102.928870292887</c:v>
                      </c:pt>
                      <c:pt idx="155">
                        <c:v>102.56551420391982</c:v>
                      </c:pt>
                      <c:pt idx="156">
                        <c:v>102.49944946047124</c:v>
                      </c:pt>
                      <c:pt idx="157">
                        <c:v>101.81678044483591</c:v>
                      </c:pt>
                      <c:pt idx="158">
                        <c:v>102.14710416207882</c:v>
                      </c:pt>
                      <c:pt idx="159">
                        <c:v>102.092050209205</c:v>
                      </c:pt>
                      <c:pt idx="160">
                        <c:v>102.27923364897597</c:v>
                      </c:pt>
                      <c:pt idx="161">
                        <c:v>102.08103941863024</c:v>
                      </c:pt>
                      <c:pt idx="162">
                        <c:v>102.12508258092929</c:v>
                      </c:pt>
                      <c:pt idx="163">
                        <c:v>102.46641708874694</c:v>
                      </c:pt>
                      <c:pt idx="164">
                        <c:v>101.76172649196209</c:v>
                      </c:pt>
                      <c:pt idx="165">
                        <c:v>101.66262937678923</c:v>
                      </c:pt>
                      <c:pt idx="166">
                        <c:v>101.58555384276588</c:v>
                      </c:pt>
                      <c:pt idx="167">
                        <c:v>101.70667253908827</c:v>
                      </c:pt>
                      <c:pt idx="168">
                        <c:v>101.60757542391539</c:v>
                      </c:pt>
                      <c:pt idx="169">
                        <c:v>101.16714380092486</c:v>
                      </c:pt>
                      <c:pt idx="170">
                        <c:v>101.10107905747628</c:v>
                      </c:pt>
                      <c:pt idx="171">
                        <c:v>100.83682008368196</c:v>
                      </c:pt>
                      <c:pt idx="172">
                        <c:v>101.27725170667247</c:v>
                      </c:pt>
                      <c:pt idx="173">
                        <c:v>101.31028407839678</c:v>
                      </c:pt>
                      <c:pt idx="174">
                        <c:v>101.07905747632675</c:v>
                      </c:pt>
                      <c:pt idx="175">
                        <c:v>100.38537767011665</c:v>
                      </c:pt>
                      <c:pt idx="176">
                        <c:v>100.81479850253243</c:v>
                      </c:pt>
                      <c:pt idx="177">
                        <c:v>100.08808632459807</c:v>
                      </c:pt>
                      <c:pt idx="178">
                        <c:v>100.68266901563528</c:v>
                      </c:pt>
                      <c:pt idx="179">
                        <c:v>100.37436687954191</c:v>
                      </c:pt>
                      <c:pt idx="180">
                        <c:v>100.46245320414002</c:v>
                      </c:pt>
                      <c:pt idx="181">
                        <c:v>100.42942083241573</c:v>
                      </c:pt>
                      <c:pt idx="182">
                        <c:v>100.58357190046242</c:v>
                      </c:pt>
                      <c:pt idx="183">
                        <c:v>100.3193129266681</c:v>
                      </c:pt>
                      <c:pt idx="184">
                        <c:v>101.02400352345295</c:v>
                      </c:pt>
                      <c:pt idx="185">
                        <c:v>101.37634882184538</c:v>
                      </c:pt>
                      <c:pt idx="186">
                        <c:v>101.44241356529398</c:v>
                      </c:pt>
                      <c:pt idx="187">
                        <c:v>101.84981281656022</c:v>
                      </c:pt>
                      <c:pt idx="188">
                        <c:v>102.37833076414884</c:v>
                      </c:pt>
                      <c:pt idx="189">
                        <c:v>102.20215811495264</c:v>
                      </c:pt>
                      <c:pt idx="190">
                        <c:v>101.95992072230784</c:v>
                      </c:pt>
                      <c:pt idx="191">
                        <c:v>102.19114732437787</c:v>
                      </c:pt>
                      <c:pt idx="192">
                        <c:v>102.73067606254128</c:v>
                      </c:pt>
                      <c:pt idx="193">
                        <c:v>102.71966527196651</c:v>
                      </c:pt>
                      <c:pt idx="194">
                        <c:v>102.89583792116274</c:v>
                      </c:pt>
                      <c:pt idx="195">
                        <c:v>103.04998898920941</c:v>
                      </c:pt>
                      <c:pt idx="196">
                        <c:v>101.72869412023783</c:v>
                      </c:pt>
                      <c:pt idx="197">
                        <c:v>101.62959700506497</c:v>
                      </c:pt>
                      <c:pt idx="198">
                        <c:v>101.14512221977537</c:v>
                      </c:pt>
                      <c:pt idx="199">
                        <c:v>101.34331645012112</c:v>
                      </c:pt>
                      <c:pt idx="200">
                        <c:v>101.32129486897159</c:v>
                      </c:pt>
                      <c:pt idx="201">
                        <c:v>101.05703589517726</c:v>
                      </c:pt>
                      <c:pt idx="202">
                        <c:v>101.91587756000881</c:v>
                      </c:pt>
                      <c:pt idx="203">
                        <c:v>101.860823607135</c:v>
                      </c:pt>
                      <c:pt idx="204">
                        <c:v>101.33230565954636</c:v>
                      </c:pt>
                      <c:pt idx="205">
                        <c:v>101.65161858621451</c:v>
                      </c:pt>
                      <c:pt idx="206">
                        <c:v>101.39837040299496</c:v>
                      </c:pt>
                      <c:pt idx="207">
                        <c:v>101.57454305219117</c:v>
                      </c:pt>
                      <c:pt idx="208">
                        <c:v>101.72869412023786</c:v>
                      </c:pt>
                      <c:pt idx="209">
                        <c:v>101.82779123541071</c:v>
                      </c:pt>
                      <c:pt idx="210">
                        <c:v>101.20017617264922</c:v>
                      </c:pt>
                      <c:pt idx="211">
                        <c:v>101.70667253908833</c:v>
                      </c:pt>
                      <c:pt idx="212">
                        <c:v>101.40938119356973</c:v>
                      </c:pt>
                      <c:pt idx="213">
                        <c:v>101.69566174851356</c:v>
                      </c:pt>
                      <c:pt idx="214">
                        <c:v>101.27725170667254</c:v>
                      </c:pt>
                      <c:pt idx="215">
                        <c:v>101.1120898480511</c:v>
                      </c:pt>
                      <c:pt idx="216">
                        <c:v>101.22219775379872</c:v>
                      </c:pt>
                      <c:pt idx="217">
                        <c:v>100.9909711517287</c:v>
                      </c:pt>
                      <c:pt idx="218">
                        <c:v>101.01299273287823</c:v>
                      </c:pt>
                      <c:pt idx="219">
                        <c:v>100.70469059678486</c:v>
                      </c:pt>
                      <c:pt idx="220">
                        <c:v>100.5725611098877</c:v>
                      </c:pt>
                      <c:pt idx="221">
                        <c:v>100.44043162299054</c:v>
                      </c:pt>
                      <c:pt idx="222">
                        <c:v>101.20017617264921</c:v>
                      </c:pt>
                      <c:pt idx="223">
                        <c:v>100.86985245540632</c:v>
                      </c:pt>
                      <c:pt idx="224">
                        <c:v>100.94692798942965</c:v>
                      </c:pt>
                      <c:pt idx="225">
                        <c:v>101.42039198414449</c:v>
                      </c:pt>
                      <c:pt idx="226">
                        <c:v>101.16714380092492</c:v>
                      </c:pt>
                      <c:pt idx="227">
                        <c:v>102.09205020920506</c:v>
                      </c:pt>
                      <c:pt idx="228">
                        <c:v>101.62959700506499</c:v>
                      </c:pt>
                      <c:pt idx="229">
                        <c:v>100.64963664391107</c:v>
                      </c:pt>
                      <c:pt idx="230">
                        <c:v>100.28628055494389</c:v>
                      </c:pt>
                      <c:pt idx="231">
                        <c:v>100.62761506276154</c:v>
                      </c:pt>
                      <c:pt idx="232">
                        <c:v>100.61660427218676</c:v>
                      </c:pt>
                      <c:pt idx="233">
                        <c:v>101.00198194230347</c:v>
                      </c:pt>
                      <c:pt idx="234">
                        <c:v>100.80378771195774</c:v>
                      </c:pt>
                      <c:pt idx="235">
                        <c:v>100.90288482713061</c:v>
                      </c:pt>
                      <c:pt idx="236">
                        <c:v>100.33032371724292</c:v>
                      </c:pt>
                      <c:pt idx="237">
                        <c:v>100.59458269103725</c:v>
                      </c:pt>
                      <c:pt idx="238">
                        <c:v>101.09006826690161</c:v>
                      </c:pt>
                      <c:pt idx="239">
                        <c:v>101.72869412023788</c:v>
                      </c:pt>
                      <c:pt idx="240">
                        <c:v>102.45540629817225</c:v>
                      </c:pt>
                      <c:pt idx="241">
                        <c:v>102.47742787932177</c:v>
                      </c:pt>
                      <c:pt idx="242">
                        <c:v>102.05901783748075</c:v>
                      </c:pt>
                      <c:pt idx="243">
                        <c:v>101.45342435586878</c:v>
                      </c:pt>
                      <c:pt idx="244">
                        <c:v>101.11208984805113</c:v>
                      </c:pt>
                      <c:pt idx="245">
                        <c:v>101.26624091609781</c:v>
                      </c:pt>
                      <c:pt idx="246">
                        <c:v>101.89385597885932</c:v>
                      </c:pt>
                      <c:pt idx="247">
                        <c:v>101.73970491081265</c:v>
                      </c:pt>
                      <c:pt idx="248">
                        <c:v>101.81678044483598</c:v>
                      </c:pt>
                      <c:pt idx="249">
                        <c:v>101.77273728253694</c:v>
                      </c:pt>
                      <c:pt idx="250">
                        <c:v>101.8718343977098</c:v>
                      </c:pt>
                      <c:pt idx="251">
                        <c:v>101.91587756000885</c:v>
                      </c:pt>
                      <c:pt idx="252">
                        <c:v>101.7837480731117</c:v>
                      </c:pt>
                      <c:pt idx="253">
                        <c:v>101.89385597885932</c:v>
                      </c:pt>
                      <c:pt idx="254">
                        <c:v>101.58555384276595</c:v>
                      </c:pt>
                      <c:pt idx="255">
                        <c:v>101.31028407839686</c:v>
                      </c:pt>
                      <c:pt idx="256">
                        <c:v>101.46443514644353</c:v>
                      </c:pt>
                      <c:pt idx="257">
                        <c:v>100.8147985025325</c:v>
                      </c:pt>
                      <c:pt idx="258">
                        <c:v>101.45342435586876</c:v>
                      </c:pt>
                      <c:pt idx="259">
                        <c:v>101.09006826690158</c:v>
                      </c:pt>
                      <c:pt idx="260">
                        <c:v>101.9489099317331</c:v>
                      </c:pt>
                      <c:pt idx="261">
                        <c:v>101.84981281656025</c:v>
                      </c:pt>
                      <c:pt idx="262">
                        <c:v>100.92490640828012</c:v>
                      </c:pt>
                      <c:pt idx="263">
                        <c:v>102.47742787932175</c:v>
                      </c:pt>
                    </c:numCache>
                  </c:numRef>
                </c:val>
                <c:smooth val="0"/>
                <c:extLst xmlns:c15="http://schemas.microsoft.com/office/drawing/2012/chart" xmlns:c16r2="http://schemas.microsoft.com/office/drawing/2015/06/chart">
                  <c:ext xmlns:c16="http://schemas.microsoft.com/office/drawing/2014/chart" uri="{C3380CC4-5D6E-409C-BE32-E72D297353CC}">
                    <c16:uniqueId val="{0000000B-3801-4424-8D6A-73CF653766E8}"/>
                  </c:ext>
                </c:extLst>
              </c15:ser>
            </c15:filteredLineSeries>
          </c:ext>
        </c:extLst>
      </c:lineChart>
      <c:dateAx>
        <c:axId val="437272840"/>
        <c:scaling>
          <c:orientation val="minMax"/>
        </c:scaling>
        <c:delete val="0"/>
        <c:axPos val="b"/>
        <c:numFmt formatCode="[$-409]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37271272"/>
        <c:crosses val="autoZero"/>
        <c:auto val="1"/>
        <c:lblOffset val="100"/>
        <c:baseTimeUnit val="days"/>
      </c:dateAx>
      <c:valAx>
        <c:axId val="437271272"/>
        <c:scaling>
          <c:orientation val="minMax"/>
          <c:min val="9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37272840"/>
        <c:crosses val="autoZero"/>
        <c:crossBetween val="between"/>
        <c:majorUnit val="5"/>
      </c:valAx>
      <c:spPr>
        <a:noFill/>
        <a:ln>
          <a:noFill/>
        </a:ln>
        <a:effectLst/>
      </c:spPr>
    </c:plotArea>
    <c:legend>
      <c:legendPos val="b"/>
      <c:layout>
        <c:manualLayout>
          <c:xMode val="edge"/>
          <c:yMode val="edge"/>
          <c:x val="6.0165354330708659E-2"/>
          <c:y val="0.80497521143190431"/>
          <c:w val="0.87966929133858263"/>
          <c:h val="0.167247010790317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2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75000"/>
            <a:lumOff val="25000"/>
          </a:schemeClr>
        </a:solidFill>
      </a:ln>
    </cs:spPr>
  </cs:downBar>
  <cs:dropLine>
    <cs:lnRef idx="0"/>
    <cs:fillRef idx="0"/>
    <cs:effectRef idx="0"/>
    <cs:fontRef idx="minor">
      <a:schemeClr val="dk1"/>
    </cs:fontRef>
    <cs:spPr>
      <a:ln w="9525">
        <a:solidFill>
          <a:schemeClr val="tx1">
            <a:lumMod val="75000"/>
            <a:lumOff val="25000"/>
          </a:schemeClr>
        </a:solidFill>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75000"/>
            <a:lumOff val="2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Klassify>
  <SNO>1</SNO>
  <KDate>2019-10-14 14:59:27</KDate>
  <Classification>SEBI-CONFIDENTIAL</Classification>
  <HostName>MUM0111832</HostName>
  <Domain_User>SEBINT/1832</Domain_User>
  <IPAdd>10.21.77.31</IPAdd>
  <FilePath>C:\Users\1832\Documents\Work_HO_DEPA\2019-20\Bulletin\October 2019\SEBI Bulletin October 2019 Issue.docx</FilePath>
  <KID>7427EA48EFCA637066619672483538</KID>
  <UniqueName/>
  <Suggested/>
  <Justification/>
</Klassify>
</file>

<file path=customXml/item4.xml><?xml version="1.0" encoding="utf-8"?>
<Klassify>
  <SNO>3</SNO>
  <KDate>2021-03-03 12:56:47</KDate>
  <Classification>SEBI-INTERNAL</Classification>
  <HostName>MUM0111564</HostName>
  <Domain_User>SEBINT/1564</Domain_User>
  <IPAdd>10.88.101.238</IPAdd>
  <FilePath>C:\Users\1564\AppData\Roaming\Klassify\47103\Bulletin-February 2021.docx</FilePath>
  <KID>7427EA48EFCA637066619672483538</KID>
</Klassify>
</file>

<file path=customXml/item5.xml>
</file>

<file path=customXml/item6.xml><?xml version="1.0" encoding="utf-8"?>
<Klassify>
  <SNO>6</SNO>
  <KDate>2021-03-04 13:03:23</KDate>
  <Classification>SEBI-PUBLIC</Classification>
  <HostName>MUM0111649</HostName>
  <Domain_User>SEBINT/1649</Domain_User>
  <IPAdd>10.88.99.116</IPAdd>
  <FilePath>C:\Users\1649\Desktop\Bulletin Feb 2021\Bulletin Files\Bulletin-February 2021 Revised.docx</FilePath>
  <KID>7427EA48EFCA637066619672483538</KID>
  <UniqueName/>
  <Suggested/>
  <Justification/>
</Klassify>
</file>

<file path=customXml/item7.xml><?xml version="1.0" encoding="utf-8"?>
<Klassify>
  <SNO>2</SNO>
  <KDate>2019-10-17 16:00:03</KDate>
  <Classification>SEBI-PUBLIC</Classification>
  <HostName>MUM0111515A</HostName>
  <Domain_User>SEBINT/1515</Domain_User>
  <IPAdd>10.21.53.15</IPAdd>
  <FilePath>E:\C Drive Data 19.12.2017\DEPA 2019\10. October 2019\SEBI Bulletin October 2019 Issue.docx</FilePath>
  <KID>7427EA48EFCA637066619672483538</KID>
  <UniqueName/>
  <Suggested/>
  <Justification/>
</Klassify>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90E88-F8CE-47CC-B1F2-2802B9D4F2FE}"/>
</file>

<file path=customXml/itemProps2.xml><?xml version="1.0" encoding="utf-8"?>
<ds:datastoreItem xmlns:ds="http://schemas.openxmlformats.org/officeDocument/2006/customXml" ds:itemID="{8A5DE7B4-0207-485C-AD2D-76752FDBC33F}"/>
</file>

<file path=customXml/itemProps3.xml><?xml version="1.0" encoding="utf-8"?>
<ds:datastoreItem xmlns:ds="http://schemas.openxmlformats.org/officeDocument/2006/customXml" ds:itemID="{AC874CF5-52D4-4685-80EC-6F1B86646A89}">
  <ds:schemaRefs/>
</ds:datastoreItem>
</file>

<file path=customXml/itemProps4.xml><?xml version="1.0" encoding="utf-8"?>
<ds:datastoreItem xmlns:ds="http://schemas.openxmlformats.org/officeDocument/2006/customXml" ds:itemID="{D7543C77-5EBC-46F2-AC21-5D702358D3EF}">
  <ds:schemaRefs/>
</ds:datastoreItem>
</file>

<file path=customXml/itemProps5.xml><?xml version="1.0" encoding="utf-8"?>
<ds:datastoreItem xmlns:ds="http://schemas.openxmlformats.org/officeDocument/2006/customXml" ds:itemID="{FFFCDC47-2152-406C-A3E3-98A02192763B}"/>
</file>

<file path=customXml/itemProps6.xml><?xml version="1.0" encoding="utf-8"?>
<ds:datastoreItem xmlns:ds="http://schemas.openxmlformats.org/officeDocument/2006/customXml" ds:itemID="{2C38164C-8094-471D-AC2C-77D018C8E0F2}">
  <ds:schemaRefs/>
</ds:datastoreItem>
</file>

<file path=customXml/itemProps7.xml><?xml version="1.0" encoding="utf-8"?>
<ds:datastoreItem xmlns:ds="http://schemas.openxmlformats.org/officeDocument/2006/customXml" ds:itemID="{982F008C-5608-4977-B1FB-BF780A09BDC2}">
  <ds:schemaRefs/>
</ds:datastoreItem>
</file>

<file path=customXml/itemProps8.xml><?xml version="1.0" encoding="utf-8"?>
<ds:datastoreItem xmlns:ds="http://schemas.openxmlformats.org/officeDocument/2006/customXml" ds:itemID="{2DFB3A19-518A-43EE-9D39-C4AE1E34D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48</Pages>
  <Words>13066</Words>
  <Characters>74479</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Tathagata Biswas</dc:creator>
  <cp:keywords/>
  <dc:description/>
  <cp:lastModifiedBy>Deepthi L S</cp:lastModifiedBy>
  <cp:revision>6</cp:revision>
  <cp:lastPrinted>2021-09-22T10:08:00Z</cp:lastPrinted>
  <dcterms:created xsi:type="dcterms:W3CDTF">2022-03-21T06:41:00Z</dcterms:created>
  <dcterms:modified xsi:type="dcterms:W3CDTF">2022-03-24T08:06:00Z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les">
    <vt:lpwstr/>
  </property>
  <property fmtid="{D5CDD505-2E9C-101B-9397-08002B2CF9AE}" pid="3" name="Classification">
    <vt:lpwstr>SEBI-PUBLIC</vt:lpwstr>
  </property>
  <property fmtid="{D5CDD505-2E9C-101B-9397-08002B2CF9AE}" pid="4" name="KID">
    <vt:lpwstr>7427EA48EFCA637066619672483538</vt:lpwstr>
  </property>
</Properties>
</file>